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Exchange Act of 1934</w:t>
      </w:r>
    </w:p>
    <w:p>
      <w:pPr>
        <w:spacing w:after="0" w:line="101" w:lineRule="exact"/>
        <w:rPr>
          <w:sz w:val="24"/>
          <w:szCs w:val="24"/>
          <w:color w:val="auto"/>
        </w:rPr>
      </w:pPr>
    </w:p>
    <w:p>
      <w:pPr>
        <w:ind w:left="20"/>
        <w:spacing w:after="0" w:line="207" w:lineRule="exact"/>
        <w:tabs>
          <w:tab w:leader="none" w:pos="32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2" w:lineRule="exact"/>
        <w:rPr>
          <w:sz w:val="24"/>
          <w:szCs w:val="24"/>
          <w:color w:val="auto"/>
        </w:rPr>
      </w:pPr>
    </w:p>
    <w:p>
      <w:pPr>
        <w:ind w:left="376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5"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-845820</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-562610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131445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19" w:lineRule="exact"/>
        <w:rPr>
          <w:sz w:val="24"/>
          <w:szCs w:val="24"/>
          <w:color w:val="auto"/>
        </w:rPr>
      </w:pPr>
    </w:p>
    <w:p>
      <w:pPr>
        <w:ind w:left="900" w:hanging="446"/>
        <w:spacing w:after="0"/>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387"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-1686560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-716915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-434340</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-151130</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122555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320"/>
          </w:cols>
          <w:pgMar w:left="240" w:top="219"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4, 2011</w:t>
      </w:r>
    </w:p>
    <w:p>
      <w:pPr>
        <w:spacing w:after="0" w:line="77" w:lineRule="exact"/>
        <w:rPr>
          <w:sz w:val="20"/>
          <w:szCs w:val="20"/>
          <w:color w:val="auto"/>
        </w:rPr>
      </w:pPr>
    </w:p>
    <w:p>
      <w:pPr>
        <w:ind w:right="60"/>
        <w:spacing w:after="0" w:line="325" w:lineRule="auto"/>
        <w:rPr>
          <w:sz w:val="20"/>
          <w:szCs w:val="20"/>
          <w:color w:val="auto"/>
        </w:rPr>
      </w:pPr>
      <w:r>
        <w:rPr>
          <w:rFonts w:ascii="Arial" w:cs="Arial" w:eastAsia="Arial" w:hAnsi="Arial"/>
          <w:sz w:val="16"/>
          <w:szCs w:val="16"/>
          <w:color w:val="auto"/>
        </w:rPr>
        <w:t>Notice is hereby given that the 2011 Annual Meeting of Stockholders of Casual Male Retail Group, Inc. (the “Company”) will be held at the corporate offices of the Company, 555 Turnpike Street, Canton, Massachusetts 02021 at 9:00 A.M., local time, on Thursday, August 4, 2011 for the following purposes:</w:t>
      </w:r>
    </w:p>
    <w:p>
      <w:pPr>
        <w:spacing w:after="0" w:line="1" w:lineRule="exact"/>
        <w:rPr>
          <w:sz w:val="20"/>
          <w:szCs w:val="20"/>
          <w:color w:val="auto"/>
        </w:rPr>
      </w:pPr>
    </w:p>
    <w:p>
      <w:pPr>
        <w:ind w:left="900" w:right="4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hold an advisory vote on named executive officer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hold an advisory vote on the frequency of holding advisory votes on named executive officer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our independent registered public accounting firm for fiscal year ending January 28, 2012.</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7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Board of Directors recommends that you vote (i) FOR the election of all eight nominees to serve as directors of the Company, (ii) FOR the advisory vote on named executive compensation, (iii) FOR the “one year” option with respect to the advisory vote on the preferred frequency of holding advisory votes on named executive officer compensation, and (iv) FOR the ratification of the appointment of Ernst &amp; Young LLP as our independent registered public accounting firm.</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January 29, 2011.</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13, 2011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13, 2011, will be available for inspection by any of our stockholders for any purpose germane to the Annual Meeting during normal business hours at our principal executive offices, 555 Turnpike Street, Canton, Massachusetts 02021, beginning on July 25, 2011 and at the Annual Meeting.</w:t>
      </w:r>
    </w:p>
    <w:p>
      <w:pPr>
        <w:spacing w:after="0" w:line="4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of record at the close of business on the record date whose shares are registered directly in their name, and not in the name of a broker or other nominee, may vote their shares in person at the Annual Meeting, even though they have sent in proxies.</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21, 2011</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4, 2011: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2011 Annual Report to Stockholders are available at www.casualmale.com/proxymaterials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276465" cy="484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03" w:lineRule="exact"/>
        <w:rPr>
          <w:sz w:val="20"/>
          <w:szCs w:val="20"/>
          <w:color w:val="auto"/>
        </w:rPr>
      </w:pPr>
    </w:p>
    <w:p>
      <w:pPr>
        <w:ind w:left="140" w:right="3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4, 2011</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21, 2011, in connection with the solicitation by the Board of Directors of Casual Male Retail Group, Inc. (the “Company”) of proxies to be used at the Annual Meeting of Stockholders, to be held at the Company’s corporate headquarters located at 555 Turnpike Street, Canton, Massachusetts 02021 at 9:00 A.M, local time, on Thursday, August 4, 2011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advisory vote on named executive officer compensation, (iii) FOR the “one year” option with respect to the advisory vote on the preferred frequency of holding advisory votes on named executive officer compensation, (iv) FOR the ratification of the appointment of Ernst &amp; Young LLP as our independent registered public accounting firm,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June 13, 2011, the record date for the Annual Meeting, will be entitled to notice of and to vote at the Annual Meeting. On that date, there were 48,460,485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 majority of the votes properly cast is required for all other matters. With respect to Proposal 3, if none of the three frequency options receives the vote of the holders of a majority of the votes cast, the Company will consider the frequency option (one year, two years or three years) receiving the highest number of votes cast by stockholders to be the frequency that has been recommended by stockholders. However, as described in more detail in Proposal 3, because this proposal is advisory and non-binding, the Board of Directors may decide that it is in the best interest of the stockholders and the Company to hold future advisory votes on named executive officer compensation more or less frequently. Proposal 2 is also a non-binding proposal.</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With respect to all proposals presented at the Annual Meeting, such shares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2011.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85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2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Owned</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2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5,577,290(2)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1266 East Main Street, 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60" w:type="dxa"/>
            <w:vAlign w:val="bottom"/>
            <w:gridSpan w:val="3"/>
          </w:tcPr>
          <w:p>
            <w:pPr>
              <w:spacing w:after="0"/>
              <w:rPr>
                <w:sz w:val="20"/>
                <w:szCs w:val="20"/>
                <w:color w:val="auto"/>
              </w:rPr>
            </w:pPr>
            <w:r>
              <w:rPr>
                <w:rFonts w:ascii="Arial" w:cs="Arial" w:eastAsia="Arial" w:hAnsi="Arial"/>
                <w:sz w:val="18"/>
                <w:szCs w:val="18"/>
                <w:color w:val="auto"/>
              </w:rPr>
              <w:t>Seymour Holtzman</w:t>
            </w:r>
          </w:p>
        </w:tc>
        <w:tc>
          <w:tcPr>
            <w:tcW w:w="2060" w:type="dxa"/>
            <w:vAlign w:val="bottom"/>
            <w:gridSpan w:val="3"/>
          </w:tcPr>
          <w:p>
            <w:pPr>
              <w:ind w:left="580"/>
              <w:spacing w:after="0"/>
              <w:rPr>
                <w:sz w:val="20"/>
                <w:szCs w:val="20"/>
                <w:color w:val="auto"/>
              </w:rPr>
            </w:pPr>
            <w:r>
              <w:rPr>
                <w:rFonts w:ascii="Arial" w:cs="Arial" w:eastAsia="Arial" w:hAnsi="Arial"/>
                <w:sz w:val="18"/>
                <w:szCs w:val="18"/>
                <w:color w:val="auto"/>
              </w:rPr>
              <w:t>5,653,769(3)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Wilkes Barre, Pennsylvania 18702</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p>
        </w:tc>
        <w:tc>
          <w:tcPr>
            <w:tcW w:w="2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4,116,928(4)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 Devonshire Street</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60" w:type="dxa"/>
            <w:vAlign w:val="bottom"/>
            <w:gridSpan w:val="3"/>
          </w:tcPr>
          <w:p>
            <w:pPr>
              <w:spacing w:after="0"/>
              <w:rPr>
                <w:sz w:val="20"/>
                <w:szCs w:val="20"/>
                <w:color w:val="auto"/>
              </w:rPr>
            </w:pPr>
            <w:r>
              <w:rPr>
                <w:rFonts w:ascii="Arial" w:cs="Arial" w:eastAsia="Arial" w:hAnsi="Arial"/>
                <w:sz w:val="18"/>
                <w:szCs w:val="18"/>
                <w:color w:val="auto"/>
              </w:rPr>
              <w:t>Royce &amp; Associates, LLC</w:t>
            </w:r>
          </w:p>
        </w:tc>
        <w:tc>
          <w:tcPr>
            <w:tcW w:w="2060" w:type="dxa"/>
            <w:vAlign w:val="bottom"/>
            <w:gridSpan w:val="3"/>
          </w:tcPr>
          <w:p>
            <w:pPr>
              <w:ind w:left="580"/>
              <w:spacing w:after="0"/>
              <w:rPr>
                <w:sz w:val="20"/>
                <w:szCs w:val="20"/>
                <w:color w:val="auto"/>
              </w:rPr>
            </w:pPr>
            <w:r>
              <w:rPr>
                <w:rFonts w:ascii="Arial" w:cs="Arial" w:eastAsia="Arial" w:hAnsi="Arial"/>
                <w:sz w:val="18"/>
                <w:szCs w:val="18"/>
                <w:color w:val="auto"/>
              </w:rPr>
              <w:t>3,858,734(5)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745 Fifth Avenue</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New York, New York 10151</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20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3,783,690(6)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Capital Management, LLC</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 West 56</w:t>
            </w:r>
            <w:r>
              <w:rPr>
                <w:rFonts w:ascii="Arial" w:cs="Arial" w:eastAsia="Arial" w:hAnsi="Arial"/>
                <w:sz w:val="11"/>
                <w:szCs w:val="11"/>
                <w:color w:val="auto"/>
              </w:rPr>
              <w:t>th</w:t>
            </w:r>
            <w:r>
              <w:rPr>
                <w:rFonts w:ascii="Arial" w:cs="Arial" w:eastAsia="Arial" w:hAnsi="Arial"/>
                <w:sz w:val="18"/>
                <w:szCs w:val="18"/>
                <w:color w:val="auto"/>
              </w:rPr>
              <w:t xml:space="preserve"> Street, 17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560" w:type="dxa"/>
            <w:vAlign w:val="bottom"/>
            <w:gridSpan w:val="3"/>
          </w:tcPr>
          <w:p>
            <w:pPr>
              <w:spacing w:after="0"/>
              <w:rPr>
                <w:sz w:val="20"/>
                <w:szCs w:val="20"/>
                <w:color w:val="auto"/>
              </w:rPr>
            </w:pPr>
            <w:r>
              <w:rPr>
                <w:rFonts w:ascii="Arial" w:cs="Arial" w:eastAsia="Arial" w:hAnsi="Arial"/>
                <w:sz w:val="18"/>
                <w:szCs w:val="18"/>
                <w:color w:val="auto"/>
              </w:rPr>
              <w:t>RBC Global Asset Management (U.S.) Inc.</w:t>
            </w:r>
          </w:p>
        </w:tc>
        <w:tc>
          <w:tcPr>
            <w:tcW w:w="2060" w:type="dxa"/>
            <w:vAlign w:val="bottom"/>
            <w:gridSpan w:val="3"/>
          </w:tcPr>
          <w:p>
            <w:pPr>
              <w:ind w:left="580"/>
              <w:spacing w:after="0"/>
              <w:rPr>
                <w:sz w:val="20"/>
                <w:szCs w:val="20"/>
                <w:color w:val="auto"/>
              </w:rPr>
            </w:pPr>
            <w:r>
              <w:rPr>
                <w:rFonts w:ascii="Arial" w:cs="Arial" w:eastAsia="Arial" w:hAnsi="Arial"/>
                <w:sz w:val="18"/>
                <w:szCs w:val="18"/>
                <w:color w:val="auto"/>
              </w:rPr>
              <w:t>2,998,203(7)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100 South Fifth Street</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Suite 2300</w:t>
            </w: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60" w:type="dxa"/>
            <w:vAlign w:val="bottom"/>
            <w:gridSpan w:val="3"/>
          </w:tcPr>
          <w:p>
            <w:pPr>
              <w:spacing w:after="0"/>
              <w:rPr>
                <w:sz w:val="20"/>
                <w:szCs w:val="20"/>
                <w:color w:val="auto"/>
              </w:rPr>
            </w:pPr>
            <w:r>
              <w:rPr>
                <w:rFonts w:ascii="Arial" w:cs="Arial" w:eastAsia="Arial" w:hAnsi="Arial"/>
                <w:sz w:val="18"/>
                <w:szCs w:val="18"/>
                <w:color w:val="auto"/>
              </w:rPr>
              <w:t>Minneapolis, Minnesota 55402</w:t>
            </w: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5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and Exchange Commission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48,431,074 shares of our common stock outstanding as of May 15, 2011, plus securities deemed to be outstanding with respect to individual stockholders pursuant to Rule 13d-3(d)(1) under the Securities Exchange Act of 1934, as amended (the “Exchange Act”).</w:t>
      </w:r>
    </w:p>
    <w:p>
      <w:pPr>
        <w:spacing w:after="0" w:line="3"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Amendment No. 7 to Schedule 13G, dated as of December 31, 2010, stating that Chilton Investment Company, LLC was the beneficial owner of the number of shares of common stock set forth opposite its name in the table.</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4,043,769 outstanding shares of common stock and 1,610,000 shares subject to options exercisable within 60 days.</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Amendment No. 3 to Schedule 13G, dated as of December 31, 2010, stating that FMR LLC was the beneficial owner of the number of shares of common stock set forth opposite its name in the table.</w:t>
      </w:r>
    </w:p>
    <w:p>
      <w:pPr>
        <w:ind w:left="460" w:right="1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Amendment No. 4 to Schedule 13G, dated December 31, 2010, stating that Royce &amp; Associates, LLC was the beneficial owner of the number of shares of common stock set forth opposite its name in the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right="60" w:hanging="452"/>
        <w:spacing w:after="0" w:line="28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Amendment No. 2 to Schedule 13G, dated as of December 31, 2010,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 Management, LLC. Glenhill Capital Management, LLC is the general partner and investment advisor of Glenhill Capital LP, a security holder of the Company, managing member of Glenhill Concentrated Long Master Fund, LLC, a security holder of the Company, and sole shareholder of Glenhill Capital Overseas GP,</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Ltd. Glenhill Capital Overseas GP, Ltd. is general partner of Glenhill Capital Overseas Master Fund, LP, a security holder of the Company.</w:t>
      </w:r>
    </w:p>
    <w:p>
      <w:pPr>
        <w:spacing w:after="0" w:line="32" w:lineRule="exact"/>
        <w:rPr>
          <w:rFonts w:ascii="Arial" w:cs="Arial" w:eastAsia="Arial" w:hAnsi="Arial"/>
          <w:sz w:val="16"/>
          <w:szCs w:val="16"/>
          <w:color w:val="auto"/>
        </w:rPr>
      </w:pPr>
    </w:p>
    <w:p>
      <w:pPr>
        <w:ind w:left="460" w:right="1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Amendment No. 1 to Schedule 13G, dated December 31, 2010, stating that RBC Global Asset Management (U.S.) Inc.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jc w:val="both"/>
        <w:ind w:right="440"/>
        <w:spacing w:after="0" w:line="306" w:lineRule="auto"/>
        <w:rPr>
          <w:sz w:val="20"/>
          <w:szCs w:val="20"/>
          <w:color w:val="auto"/>
        </w:rPr>
      </w:pPr>
      <w:r>
        <w:rPr>
          <w:rFonts w:ascii="Arial" w:cs="Arial" w:eastAsia="Arial" w:hAnsi="Arial"/>
          <w:sz w:val="16"/>
          <w:szCs w:val="16"/>
          <w:color w:val="auto"/>
        </w:rPr>
        <w:t>The following table sets forth certain information as of May 15, 2011,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828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620" w:type="dxa"/>
            <w:vAlign w:val="bottom"/>
          </w:tcPr>
          <w:p>
            <w:pPr>
              <w:spacing w:after="0"/>
              <w:rPr>
                <w:sz w:val="14"/>
                <w:szCs w:val="14"/>
                <w:color w:val="auto"/>
              </w:rPr>
            </w:pPr>
          </w:p>
        </w:tc>
        <w:tc>
          <w:tcPr>
            <w:tcW w:w="17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5,653,769(2)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1,660,555(3)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704,520(4)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6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95,836(5)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Hearn</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13,332(6)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Former Senior Vice President, General Merchandise Manager,</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Casual Male XL and Global Sourcing</w:t>
            </w: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62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38,833(7)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Former Senior Vice President, General Merchandise Manager,</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Direct Businesses and President of Footwear</w:t>
            </w: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3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92,629(8)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Jesse H. Choper, Director</w:t>
            </w:r>
          </w:p>
        </w:tc>
        <w:tc>
          <w:tcPr>
            <w:tcW w:w="2340" w:type="dxa"/>
            <w:vAlign w:val="bottom"/>
            <w:gridSpan w:val="3"/>
          </w:tcPr>
          <w:p>
            <w:pPr>
              <w:jc w:val="right"/>
              <w:ind w:right="760"/>
              <w:spacing w:after="0"/>
              <w:rPr>
                <w:sz w:val="20"/>
                <w:szCs w:val="20"/>
                <w:color w:val="auto"/>
              </w:rPr>
            </w:pPr>
            <w:r>
              <w:rPr>
                <w:rFonts w:ascii="Arial" w:cs="Arial" w:eastAsia="Arial" w:hAnsi="Arial"/>
                <w:sz w:val="18"/>
                <w:szCs w:val="18"/>
                <w:color w:val="auto"/>
              </w:rPr>
              <w:t>166,258(9)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Kyees, Director</w:t>
            </w:r>
          </w:p>
        </w:tc>
        <w:tc>
          <w:tcPr>
            <w:tcW w:w="2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11,677(10)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Ward K. Mooney, Director</w:t>
            </w:r>
          </w:p>
        </w:tc>
        <w:tc>
          <w:tcPr>
            <w:tcW w:w="2340" w:type="dxa"/>
            <w:vAlign w:val="bottom"/>
            <w:gridSpan w:val="3"/>
          </w:tcPr>
          <w:p>
            <w:pPr>
              <w:jc w:val="right"/>
              <w:ind w:right="660"/>
              <w:spacing w:after="0"/>
              <w:rPr>
                <w:sz w:val="20"/>
                <w:szCs w:val="20"/>
                <w:color w:val="auto"/>
              </w:rPr>
            </w:pPr>
            <w:r>
              <w:rPr>
                <w:rFonts w:ascii="Arial" w:cs="Arial" w:eastAsia="Arial" w:hAnsi="Arial"/>
                <w:sz w:val="18"/>
                <w:szCs w:val="18"/>
                <w:color w:val="auto"/>
              </w:rPr>
              <w:t>40,273(11)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2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137,224(12)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2340" w:type="dxa"/>
            <w:vAlign w:val="bottom"/>
            <w:gridSpan w:val="3"/>
          </w:tcPr>
          <w:p>
            <w:pPr>
              <w:jc w:val="right"/>
              <w:ind w:right="660"/>
              <w:spacing w:after="0"/>
              <w:rPr>
                <w:sz w:val="20"/>
                <w:szCs w:val="20"/>
                <w:color w:val="auto"/>
              </w:rPr>
            </w:pPr>
            <w:r>
              <w:rPr>
                <w:rFonts w:ascii="Arial" w:cs="Arial" w:eastAsia="Arial" w:hAnsi="Arial"/>
                <w:sz w:val="18"/>
                <w:szCs w:val="18"/>
                <w:color w:val="auto"/>
              </w:rPr>
              <w:t>74,924(11)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2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9,229,976(13)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30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452"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deemed outstanding. Such shares, however, are not deemed outstanding for the purpose of computing the percentage ownership of any other person. Percentage ownership is based on 48,431,074 shares of our common stock outstanding as of May 15, 2011, plus securities deemed to be outstanding with respect to individual stockholders pursuant to Rule 13d-3(d)(1) under the Exchange Act.</w:t>
      </w:r>
    </w:p>
    <w:p>
      <w:pPr>
        <w:ind w:left="452" w:right="38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5,653,769 shares of common stock, which includes 1,610,000 shares subject to stock options exercisable within 60 days.</w:t>
      </w:r>
    </w:p>
    <w:p>
      <w:pPr>
        <w:ind w:left="452" w:right="8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636,324 shares subject to stock options exercisable within 60 days, 204,232 shares of unvested restricted stock and 3,539 shares held pursuant to his 401(k) Plan account.</w:t>
      </w:r>
    </w:p>
    <w:p>
      <w:pPr>
        <w:ind w:left="452"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250,763 shares subject to stock options exercisable within 60 days, 234,867 shares of unvested restricted stock and 10,614 shares held pursuant to his 401(k) Plan account.</w:t>
      </w: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30,606 shares subject to stock options exercisable within 60 days and 44,897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6,667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85,000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11,667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55,000 shares subject to stock options exercisable within 60 days.</w:t>
      </w:r>
    </w:p>
    <w:p>
      <w:pPr>
        <w:spacing w:after="0" w:line="9" w:lineRule="exact"/>
        <w:rPr>
          <w:rFonts w:ascii="Arial" w:cs="Arial" w:eastAsia="Arial" w:hAnsi="Arial"/>
          <w:sz w:val="18"/>
          <w:szCs w:val="18"/>
          <w:color w:val="auto"/>
        </w:rPr>
      </w:pPr>
    </w:p>
    <w:p>
      <w:pPr>
        <w:ind w:left="452" w:right="500" w:hanging="452"/>
        <w:spacing w:after="0" w:line="261"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2,921,037 shares subject to stock options exercisable within 60 days, 768,437 of unvested shares of restricted stock and 19,525 shares held pursuant to respective 401(k) Plan accounts.</w:t>
      </w:r>
    </w:p>
    <w:p>
      <w:pPr>
        <w:spacing w:after="0" w:line="124"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32"/>
          </w:cols>
          <w:pgMar w:left="248" w:top="280" w:right="31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2012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Ward K. Mooney, George T. Porter Jr. and Mitchell S. Presser. Although the Board of Directors does not intend to nominate an individual to fill the vacancy at this time, in accordance with our By-Laws, a new director could be named at any time.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May 15, 2011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DIRECTOR</w:t>
            </w:r>
          </w:p>
        </w:tc>
      </w:t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AGE</w:t>
            </w:r>
          </w:p>
        </w:tc>
        <w:tc>
          <w:tcPr>
            <w:tcW w:w="27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POSITION</w:t>
            </w:r>
          </w:p>
        </w:tc>
        <w:tc>
          <w:tcPr>
            <w:tcW w:w="2700" w:type="dxa"/>
            <w:vAlign w:val="bottom"/>
          </w:tcPr>
          <w:p>
            <w:pPr>
              <w:spacing w:after="0"/>
              <w:rPr>
                <w:sz w:val="14"/>
                <w:szCs w:val="14"/>
                <w:color w:val="auto"/>
              </w:rPr>
            </w:pPr>
          </w:p>
        </w:tc>
        <w:tc>
          <w:tcPr>
            <w:tcW w:w="7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SINCE</w:t>
            </w:r>
          </w:p>
        </w:tc>
      </w:tr>
      <w:tr>
        <w:trPr>
          <w:trHeight w:val="201"/>
        </w:trPr>
        <w:tc>
          <w:tcPr>
            <w:tcW w:w="4120" w:type="dxa"/>
            <w:vAlign w:val="bottom"/>
            <w:gridSpan w:val="2"/>
          </w:tcPr>
          <w:p>
            <w:pPr>
              <w:spacing w:after="0" w:line="201" w:lineRule="exact"/>
              <w:rPr>
                <w:sz w:val="20"/>
                <w:szCs w:val="20"/>
                <w:color w:val="auto"/>
              </w:rPr>
            </w:pPr>
            <w:r>
              <w:rPr>
                <w:rFonts w:ascii="Arial" w:cs="Arial" w:eastAsia="Arial" w:hAnsi="Arial"/>
                <w:sz w:val="18"/>
                <w:szCs w:val="18"/>
                <w:color w:val="auto"/>
              </w:rPr>
              <w:t>Seymour Holtzman</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75</w:t>
            </w:r>
          </w:p>
        </w:tc>
        <w:tc>
          <w:tcPr>
            <w:tcW w:w="34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Chairman of the Board and Director</w:t>
            </w:r>
          </w:p>
        </w:tc>
        <w:tc>
          <w:tcPr>
            <w:tcW w:w="27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Director(1),(2)</w:t>
            </w:r>
          </w:p>
        </w:tc>
        <w:tc>
          <w:tcPr>
            <w:tcW w:w="72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Director(1),(2),(3)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John Edward Kyees</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Director(1),(4)</w:t>
            </w:r>
          </w:p>
        </w:tc>
        <w:tc>
          <w:tcPr>
            <w:tcW w:w="72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Director(3)</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Director(3),(5)</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Director(2)</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Kyees was appointed a director of the Company on May 3, 2010. Mr. Kyees was also appointed a member of the Audit Committee effective May 3, 2010.</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Porter was a member of the Audit Committee until his seat was filled by Mr. Kyees effective May 3, 2010.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owner and Chief Executive Officer of each of C.D.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Peacock, Inc., a Chicago, Illinois retail jewelry establishment,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 w:name="page8"/>
    <w:bookmarkEnd w:id="7"/>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Homeclick, LLC, a privately held internet retailer specializing in luxury brands for the home. Mr. Holtzman was the Chief Executive Officer and Co-Chairman of the Board of George Foreman Enterprises, Inc. (OTCBB: “GFME.PK”), formerly MM Companies, Inc., until his resignation in November 2010. Mr. Holtzman is a successful entrepreneur with extensive experience working with public companies and provides valuable insight to the Board with respect to strategic planning.</w:t>
      </w:r>
    </w:p>
    <w:p>
      <w:pPr>
        <w:spacing w:after="0" w:line="13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addition, Mr. Levin brings to the Board valuable experience in merchandising and marketing initiatives.</w:t>
      </w:r>
    </w:p>
    <w:p>
      <w:pPr>
        <w:spacing w:after="0" w:line="10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 member of the Board of Premier American Bank, as well a member of the Compensation Committee and Chairman of the Audit Committee of Premier American Bank; and serves as a Director of the Board of the UBS Global Asset Management (US) Inc.—a wholly owned subsidiary of UBS AG, including serving as Chairman of its Audit Committee. Mr. Bernikow has had extensive international experience in his role in Deloitte &amp; Touche’s management/risk management group, as well as worldwide insurance responsibilities.</w:t>
      </w:r>
    </w:p>
    <w:p>
      <w:pPr>
        <w:spacing w:after="0" w:line="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John E. Kyees </w:t>
      </w:r>
      <w:r>
        <w:rPr>
          <w:rFonts w:ascii="Arial" w:cs="Arial" w:eastAsia="Arial" w:hAnsi="Arial"/>
          <w:sz w:val="18"/>
          <w:szCs w:val="18"/>
          <w:color w:val="auto"/>
        </w:rPr>
        <w:t>has been a director since May 3, 2010. From 2003 until his retirement in 2010, Mr. Kyees was the Chief Financial Officer of Urban Outfitters, Inc.</w:t>
      </w:r>
      <w:r>
        <w:rPr>
          <w:rFonts w:ascii="Arial" w:cs="Arial" w:eastAsia="Arial" w:hAnsi="Arial"/>
          <w:sz w:val="18"/>
          <w:szCs w:val="18"/>
          <w:i w:val="1"/>
          <w:iCs w:val="1"/>
          <w:color w:val="auto"/>
        </w:rPr>
        <w:t xml:space="preserve"> </w:t>
      </w:r>
      <w:r>
        <w:rPr>
          <w:rFonts w:ascii="Arial" w:cs="Arial" w:eastAsia="Arial" w:hAnsi="Arial"/>
          <w:sz w:val="18"/>
          <w:szCs w:val="18"/>
          <w:color w:val="auto"/>
        </w:rPr>
        <w:t>Mr. Kyees continues to serve as the Chief of Investor Relations for Urban Outfitters. Prior to that, from 2002 to 2003, Mr. Kyees was the Chief Financial Officer and Chief Administrative Officer of bebe Stores, Inc. Mr. Kyees is a member of the Board of Directors of Vera Bradley and serves as Chairman of the Audit Committee and Compensation Committee and is a member of the Nominating and Corporate Governance Committee. Mr. Kyees brings to the Board extensive executive level retail experience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having served as Chief Financial Officer for several prominent retailers. His insight with respect to merchandising, operational activities and finance is an asset to our Board. Institutional Investor magazine selected Mr. Kyees as a top specialty retail chief financial officer on five separate occasions, evidencing his strong skills in corporate finance, strategic and accounting matters.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In 2005, Mr. Mooney was a founding partner of Crystal Financial LLC and since March 2010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the Chief 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apparel industry.</w:t>
      </w:r>
    </w:p>
    <w:p>
      <w:pPr>
        <w:spacing w:after="0" w:line="130"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1, 2007. Since November 2006, Mr. Presser has been a founding partner of Paine &amp; Partners, LLC,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that, Mr. Presser was a law partner with Wachtell, Lipton, Rosen &amp; Katz, specializing in mergers &amp; acquisitions. Mr. Presser serves as a director on the boards of three privately-held companies. Mr. Presser’s extensive experience in private equity and strategic planning provides valuable insight to the Board.</w:t>
      </w:r>
    </w:p>
    <w:p>
      <w:pPr>
        <w:spacing w:after="0" w:line="13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54,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48, has been our Senior Vice President of Distribution &amp;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2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i w:val="1"/>
          <w:iCs w:val="1"/>
          <w:color w:val="auto"/>
        </w:rPr>
        <w:t>Angela Chew</w:t>
      </w:r>
      <w:r>
        <w:rPr>
          <w:rFonts w:ascii="Arial" w:cs="Arial" w:eastAsia="Arial" w:hAnsi="Arial"/>
          <w:sz w:val="16"/>
          <w:szCs w:val="16"/>
          <w:color w:val="auto"/>
        </w:rPr>
        <w:t>, 44, has been our Vice President of Global Sourcing since May 2010. From October 2009 through May 2010, Ms. Chew was our Senior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Sourcing. Prior to that, Ms. Chew was our Director of Global Sourcing from February 2009 to October 2009. Prior to joining our Company, from October 2007 to December 2008 Ms. Chew was the Senior Product Merchant for Redcats USA. From 2007 to 2009, Ms. Chew was an Independent Retail Consultant and Analyst with the Gerson Lehrman Group and, from August 2006 to December 2006, the Executive Vice President of Global Sourcing for Rocawear.</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Richard Della Bernarda, </w:t>
      </w:r>
      <w:r>
        <w:rPr>
          <w:rFonts w:ascii="Arial" w:cs="Arial" w:eastAsia="Arial" w:hAnsi="Arial"/>
          <w:sz w:val="16"/>
          <w:szCs w:val="16"/>
          <w:color w:val="auto"/>
        </w:rPr>
        <w:t>49, has been our Senior Vice President and Chief Marketing Officer since June 2007. Mr. Della Bernarda began his career with Casual</w:t>
      </w:r>
      <w:r>
        <w:rPr>
          <w:rFonts w:ascii="Arial" w:cs="Arial" w:eastAsia="Arial" w:hAnsi="Arial"/>
          <w:sz w:val="16"/>
          <w:szCs w:val="16"/>
          <w:i w:val="1"/>
          <w:iCs w:val="1"/>
          <w:color w:val="auto"/>
        </w:rPr>
        <w:t xml:space="preserve"> </w:t>
      </w:r>
      <w:r>
        <w:rPr>
          <w:rFonts w:ascii="Arial" w:cs="Arial" w:eastAsia="Arial" w:hAnsi="Arial"/>
          <w:sz w:val="16"/>
          <w:szCs w:val="16"/>
          <w:color w:val="auto"/>
        </w:rPr>
        <w:t>Male Corp. in 1992 and joined our Company in May 2002 as part of our acquisition of Casual Male Corp. as our Senior Vice President of Marketing.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9" w:name="page10"/>
    <w:bookmarkEnd w:id="9"/>
    <w:p>
      <w:pPr>
        <w:ind w:right="300"/>
        <w:spacing w:after="0" w:line="29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Kenneth M. Ederle, </w:t>
      </w:r>
      <w:r>
        <w:rPr>
          <w:rFonts w:ascii="Arial" w:cs="Arial" w:eastAsia="Arial" w:hAnsi="Arial"/>
          <w:sz w:val="16"/>
          <w:szCs w:val="16"/>
          <w:color w:val="auto"/>
        </w:rPr>
        <w:t>46, has been our Senior Vice President—General Merchandise Manager DXL since May 2011. Prior to that, Mr. Ederle was our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55,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51, has been our Senior Vice President and General Counsel since April 2010. Prior to that, Mr. Molloy was the Vice President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since joining the Company in February 2008. Prior to joining the Company, Mr. Molloy served as Vice President, Assistant General Counsel at Staples, Inc. from May 1999 to February 2008. Prior to May 1999, Mr. Molloy served as a trial attorney.</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Francie Nguyen</w:t>
      </w:r>
      <w:r>
        <w:rPr>
          <w:rFonts w:ascii="Arial" w:cs="Arial" w:eastAsia="Arial" w:hAnsi="Arial"/>
          <w:sz w:val="18"/>
          <w:szCs w:val="18"/>
          <w:color w:val="auto"/>
        </w:rPr>
        <w:t>, 46, joined our Company in May 2011 as Senior Vice President—CMRG Direct Business. Prior to that, Ms. Nguyen was the General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Women’s, Men’s and Kids Apparel, Footwear and Home at Hanover Direct from May 2008 until May 2011. From October 2005 to May 2008, Ms. Nguyen was the Vice President of Merchandising, Women’s Fashion and Home at Spiegel.</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Brian Reaves</w:t>
      </w:r>
      <w:r>
        <w:rPr>
          <w:rFonts w:ascii="Arial" w:cs="Arial" w:eastAsia="Arial" w:hAnsi="Arial"/>
          <w:sz w:val="18"/>
          <w:szCs w:val="18"/>
          <w:color w:val="auto"/>
        </w:rPr>
        <w:t>, 50,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President—Outreach and Group Sales for David’s Bridal from 2007 to 2009. Before that, Mr. Reaves was the Senior Vice President of Sales for The Bridal Group from 2004 to 2007.</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52,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54,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 Penney.</w:t>
      </w:r>
    </w:p>
    <w:p>
      <w:pPr>
        <w:spacing w:after="0" w:line="1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39,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62,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for Woolworth Corporation, the predecessor company to Foot Locker Inc.</w:t>
      </w:r>
    </w:p>
    <w:p>
      <w:pPr>
        <w:spacing w:after="0" w:line="9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i w:val="1"/>
          <w:iCs w:val="1"/>
          <w:color w:val="auto"/>
        </w:rPr>
        <w:t>John R. Wagner</w:t>
      </w:r>
      <w:r>
        <w:rPr>
          <w:rFonts w:ascii="Arial" w:cs="Arial" w:eastAsia="Arial" w:hAnsi="Arial"/>
          <w:sz w:val="16"/>
          <w:szCs w:val="16"/>
          <w:color w:val="auto"/>
        </w:rPr>
        <w:t>, 56, has been our Vice President, Merchandise Manager for Tailored Clothing and Furnishings since November 2010. In April 2011, Mr. Wagner</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the oversight responsibilities for Shoes XL and Accessories for Rochester Clothing and Casual Male XL. Prior to joining our company, Mr. Wagner was President of Innovative Sourcing Group, a New York based product development and sourcing firm specializing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Select Market (“Nasdaq”). The Board has determined that the following directors are independent: Messrs. Bernikow, Choper, Kyees, Mooney, Porter and Presser.</w:t>
      </w:r>
    </w:p>
    <w:p>
      <w:pPr>
        <w:spacing w:after="0" w:line="12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Our Board of Directors met six times during our fiscal year ended January 29, 2011 (“fiscal 2010”).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August 5, 2010.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40" w:lineRule="exact"/>
        <w:rPr>
          <w:sz w:val="20"/>
          <w:szCs w:val="20"/>
          <w:color w:val="auto"/>
        </w:rPr>
      </w:pPr>
    </w:p>
    <w:p>
      <w:pPr>
        <w:ind w:left="780" w:right="340" w:hanging="326"/>
        <w:spacing w:after="0" w:line="27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Published Governance Guidelines</w:t>
      </w:r>
      <w:r>
        <w:rPr>
          <w:rFonts w:ascii="Arial" w:cs="Arial" w:eastAsia="Arial" w:hAnsi="Arial"/>
          <w:sz w:val="18"/>
          <w:szCs w:val="18"/>
          <w:color w:val="auto"/>
        </w:rPr>
        <w:t>. A copy of the Governance Guidelines can be found under “Corporate Governance” on the Investor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780" w:right="60" w:hanging="326"/>
        <w:spacing w:after="0" w:line="27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of their successors).</w:t>
      </w:r>
    </w:p>
    <w:p>
      <w:pPr>
        <w:spacing w:after="0" w:line="25" w:lineRule="exact"/>
        <w:rPr>
          <w:rFonts w:ascii="Arial" w:cs="Arial" w:eastAsia="Arial" w:hAnsi="Arial"/>
          <w:sz w:val="18"/>
          <w:szCs w:val="18"/>
          <w:color w:val="auto"/>
        </w:rPr>
      </w:pPr>
    </w:p>
    <w:p>
      <w:pPr>
        <w:ind w:left="780" w:right="40" w:hanging="326"/>
        <w:spacing w:after="0" w:line="27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w:t>
      </w:r>
      <w:r>
        <w:rPr>
          <w:rFonts w:ascii="Arial" w:cs="Arial" w:eastAsia="Arial" w:hAnsi="Arial"/>
          <w:sz w:val="18"/>
          <w:szCs w:val="18"/>
          <w:color w:val="auto"/>
        </w:rPr>
        <w:t>The vast majority of our Board is comprised of independent directors, with the exception only of our Chairman of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Chief Executive Officer.</w:t>
      </w:r>
    </w:p>
    <w:p>
      <w:pPr>
        <w:spacing w:after="0" w:line="25" w:lineRule="exact"/>
        <w:rPr>
          <w:rFonts w:ascii="Arial" w:cs="Arial" w:eastAsia="Arial" w:hAnsi="Arial"/>
          <w:sz w:val="18"/>
          <w:szCs w:val="18"/>
          <w:color w:val="auto"/>
        </w:rPr>
      </w:pPr>
    </w:p>
    <w:p>
      <w:pPr>
        <w:ind w:left="780" w:hanging="326"/>
        <w:spacing w:after="0" w:line="325"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auto"/>
        </w:rPr>
        <w:t>All members of our Audit, Compensation, and Nominating and Corporate Governance Committees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none of such members receives compensation from us other than for service on our Board of Directors or its committees.</w:t>
      </w:r>
    </w:p>
    <w:p>
      <w:pPr>
        <w:spacing w:after="0" w:line="1" w:lineRule="exact"/>
        <w:rPr>
          <w:rFonts w:ascii="Arial" w:cs="Arial" w:eastAsia="Arial" w:hAnsi="Arial"/>
          <w:sz w:val="16"/>
          <w:szCs w:val="16"/>
          <w:color w:val="auto"/>
        </w:rPr>
      </w:pPr>
    </w:p>
    <w:p>
      <w:pPr>
        <w:ind w:left="780" w:right="240" w:hanging="326"/>
        <w:spacing w:after="0" w:line="301"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Independent Executive Sessions</w:t>
      </w:r>
      <w:r>
        <w:rPr>
          <w:rFonts w:ascii="Arial" w:cs="Arial" w:eastAsia="Arial" w:hAnsi="Arial"/>
          <w:sz w:val="16"/>
          <w:szCs w:val="16"/>
          <w:color w:val="auto"/>
        </w:rPr>
        <w:t>. As contemplated by the Governance Guidelines, the Board of Directors is required to have at least semiannual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where independent directors meet without the Chairman (who does not qualify as “independent” under Nasdaq rules) and management. For fiscal 2010, the Board of Directors held two independent executive sessions. In addition, periodically throughout the year, the full Board of Directors, including the Chairman, may meet without management participation.</w:t>
      </w:r>
    </w:p>
    <w:p>
      <w:pPr>
        <w:spacing w:after="0" w:line="8" w:lineRule="exact"/>
        <w:rPr>
          <w:rFonts w:ascii="Arial" w:cs="Arial" w:eastAsia="Arial" w:hAnsi="Arial"/>
          <w:sz w:val="16"/>
          <w:szCs w:val="16"/>
          <w:color w:val="auto"/>
        </w:rPr>
      </w:pPr>
    </w:p>
    <w:p>
      <w:pPr>
        <w:ind w:left="780" w:right="140" w:hanging="326"/>
        <w:spacing w:after="0" w:line="27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Committee Authority to Retain Independent Advisors. </w:t>
      </w:r>
      <w:r>
        <w:rPr>
          <w:rFonts w:ascii="Arial" w:cs="Arial" w:eastAsia="Arial" w:hAnsi="Arial"/>
          <w:sz w:val="18"/>
          <w:szCs w:val="18"/>
          <w:color w:val="auto"/>
        </w:rPr>
        <w:t>Each of the Audit, Compensation and Nominating and Corporate Governance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authority to retain independent advisors, with all fees and expenses to be paid by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ind w:left="780" w:right="60" w:hanging="326"/>
        <w:spacing w:after="0" w:line="262"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Audit Committee Policies and Procedures. </w:t>
      </w:r>
      <w:r>
        <w:rPr>
          <w:rFonts w:ascii="Arial" w:cs="Arial" w:eastAsia="Arial" w:hAnsi="Arial"/>
          <w:sz w:val="18"/>
          <w:szCs w:val="18"/>
          <w:color w:val="auto"/>
        </w:rPr>
        <w:t>Under its charter, the Audit Committee’s prior approval is required for all audit services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permitted non-audit services as defined and permitted by the Sarbanes-Oxley Act of 2002) to be provided by our independent registered public accounting firm.</w:t>
      </w:r>
    </w:p>
    <w:p>
      <w:pPr>
        <w:spacing w:after="0" w:line="37" w:lineRule="exact"/>
        <w:rPr>
          <w:rFonts w:ascii="Arial" w:cs="Arial" w:eastAsia="Arial" w:hAnsi="Arial"/>
          <w:sz w:val="18"/>
          <w:szCs w:val="18"/>
          <w:color w:val="auto"/>
        </w:rPr>
      </w:pPr>
    </w:p>
    <w:p>
      <w:pPr>
        <w:ind w:left="780" w:hanging="326"/>
        <w:spacing w:after="0" w:line="27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Our Board has determined that Mr. Bernikow is an “audit committee financial expert” under the rules of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and is independent as defined by Nasdaq listing standards.</w:t>
      </w:r>
    </w:p>
    <w:p>
      <w:pPr>
        <w:spacing w:after="0" w:line="25" w:lineRule="exact"/>
        <w:rPr>
          <w:rFonts w:ascii="Arial" w:cs="Arial" w:eastAsia="Arial" w:hAnsi="Arial"/>
          <w:sz w:val="18"/>
          <w:szCs w:val="18"/>
          <w:color w:val="auto"/>
        </w:rPr>
      </w:pPr>
    </w:p>
    <w:p>
      <w:pPr>
        <w:ind w:left="780" w:right="180" w:hanging="326"/>
        <w:spacing w:after="0" w:line="293"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While we do not have any specific guidelines for stock ownership, we do encourage our directors and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to invest in the Company. Through our Non-Employee Director Compensation Plan, which is described below under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each director may elect to receive any or all of his compensation in shares of our common stock or in options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With respect to our senior management team, the Compensation Committee requires that each participant in our long-term incentive plan irrevocably elect to receive at least 50% of any award earned in the form of equity. A participant may choose shares of restricted stock or stock options, or any combination thereof.</w:t>
      </w:r>
    </w:p>
    <w:p>
      <w:pPr>
        <w:spacing w:after="0" w:line="16" w:lineRule="exact"/>
        <w:rPr>
          <w:rFonts w:ascii="Arial" w:cs="Arial" w:eastAsia="Arial" w:hAnsi="Arial"/>
          <w:sz w:val="16"/>
          <w:szCs w:val="16"/>
          <w:color w:val="auto"/>
        </w:rPr>
      </w:pPr>
    </w:p>
    <w:p>
      <w:pPr>
        <w:ind w:left="780" w:right="200" w:hanging="326"/>
        <w:spacing w:after="0" w:line="275"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Repricings Prohibited. </w:t>
      </w:r>
      <w:r>
        <w:rPr>
          <w:rFonts w:ascii="Arial" w:cs="Arial" w:eastAsia="Arial" w:hAnsi="Arial"/>
          <w:sz w:val="18"/>
          <w:szCs w:val="18"/>
          <w:color w:val="auto"/>
        </w:rPr>
        <w:t>Our 2006 Incentive Compensation Plan, as amended, prohibits the repricing of stock options or stock appreciation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that may be treated as a repricing, without shareholder approval.</w:t>
      </w:r>
    </w:p>
    <w:p>
      <w:pPr>
        <w:spacing w:after="0" w:line="25"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No Stockholder Rights Plan. </w:t>
      </w:r>
      <w:r>
        <w:rPr>
          <w:rFonts w:ascii="Arial" w:cs="Arial" w:eastAsia="Arial" w:hAnsi="Arial"/>
          <w:sz w:val="18"/>
          <w:szCs w:val="18"/>
          <w:color w:val="auto"/>
        </w:rPr>
        <w:t>We do not currently have a stockholder rights plan in effect and are not considering adopting one.</w:t>
      </w:r>
    </w:p>
    <w:p>
      <w:pPr>
        <w:spacing w:after="0" w:line="103" w:lineRule="exact"/>
        <w:rPr>
          <w:rFonts w:ascii="Arial" w:cs="Arial" w:eastAsia="Arial" w:hAnsi="Arial"/>
          <w:sz w:val="18"/>
          <w:szCs w:val="18"/>
          <w:color w:val="auto"/>
        </w:rPr>
      </w:pPr>
    </w:p>
    <w:p>
      <w:pPr>
        <w:ind w:left="780" w:right="20" w:hanging="326"/>
        <w:spacing w:after="0" w:line="29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our members of senior management contain a clawback provision which provides for remedies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the clawback provision of our employment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6"/>
          <w:szCs w:val="16"/>
          <w:i w:val="1"/>
          <w:iCs w:val="1"/>
          <w:color w:val="auto"/>
        </w:rPr>
        <w:t>www.casualmaleXL.com</w:t>
      </w:r>
      <w:r>
        <w:rPr>
          <w:rFonts w:ascii="Arial" w:cs="Arial" w:eastAsia="Arial" w:hAnsi="Arial"/>
          <w:sz w:val="16"/>
          <w:szCs w:val="16"/>
          <w:color w:val="auto"/>
        </w:rPr>
        <w:t>. The Corporate Governance Guidelines are also posted on the Investor Relations page of our website.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Although Mr. Holtzman is not a member of the Nominating and Corporate Governance Committee and is not entitled to vote or receive compensation for his participation, he routinely attends all meetings of the Nominating and Corporate Governance Committee. The Nominating and Corporate Governance Committee met ten times during fiscal 2010.</w:t>
      </w:r>
    </w:p>
    <w:p>
      <w:pPr>
        <w:spacing w:after="0" w:line="10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and Corporate Governance Committee will review and consider any director candidates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25" w:lineRule="auto"/>
        <w:tabs>
          <w:tab w:leader="none" w:pos="107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13" w:name="page14"/>
    <w:bookmarkEnd w:id="13"/>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 A description of all arrangements or understandings between the stockholder and the proposed director candidate.</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 The consent of the proposed director candidate (i) to be named in the proxy statement relating to our annual meeting of stockholders and</w:t>
      </w:r>
    </w:p>
    <w:p>
      <w:pPr>
        <w:spacing w:after="0" w:line="38" w:lineRule="exact"/>
        <w:rPr>
          <w:sz w:val="20"/>
          <w:szCs w:val="20"/>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0"/>
        <w:spacing w:after="0" w:line="268" w:lineRule="auto"/>
        <w:rPr>
          <w:rFonts w:ascii="Arial" w:cs="Arial" w:eastAsia="Arial" w:hAnsi="Arial"/>
          <w:sz w:val="18"/>
          <w:szCs w:val="18"/>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Mr. Kyees replaced Mr. Porter as a member of the Audit Committee on May 3, 2010. Each of the members of the Audit Committee is independent, as independence for Audit Committee members is defined under the rules of Nasdaq. In addition, the Board of Directors has determined that Mr. Bernikow is an “audit committee financial expert” under the rules of the SEC. No other directors attend audit committee meetings.</w:t>
      </w:r>
    </w:p>
    <w:p>
      <w:pPr>
        <w:spacing w:after="0" w:line="12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2010, the Audit Committee met six times.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“Report of the Audit Committee” included elsewhere in this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met eleven times during fiscal 2010. The present members of the Compensation Committee are Messrs. Choper, Mooney and Porter, each of whom is “independent” under the rules of the Nasdaq. Although Mr. Holtzman is not a member of the Compensation Committee and is not entitled to vote or receive compensation for his participation, he routinely attends all meetings of the Compensation Committee, except those portions of meetings during which the Compensation Committee discusses the consulting agreement between the Company and Jewelcor Management, Inc. (“JMI”).</w:t>
      </w:r>
    </w:p>
    <w:p>
      <w:pPr>
        <w:spacing w:after="0" w:line="13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17 of this Proxy Statement. Among other things, the Compensation Discussion and Analysis describes in greater detail the Compensation Committee’s role in the executive compensation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currently separate the positions of Chief Executive Officer and Chairman of the Board of Directors. Since 2002, Mr. Holtzman has served as our Chairman. The responsibilities of the Chairman of the Board of Directors include setting the agenda for each meeting of the Board of Directors, in consultation with management; attending board of director sessions of the non-management directors; and facilitating communication with the Board of Directors, executive officers and stockholders.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Separating the positions of Chief Executive Officer and Chairman of the Board of Directors allows our Chief Executive Officer to focus on our day-to-day business, while allowing the Chairman of the Board of Directors to lead the Board of Directors in its fundamental role of providing independent advice to and oversight of management. Although Mr. Holtzman is not an independent director, the Board of Directors believes that having Mr. Holtzman serve as Chairman of the Board of Directors is the appropriate leadership structure for the Company, given his wealth of retail experience, his extensive knowledge of the Company and his history of innovative and strategic thinking.</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 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fiscal 2009, our Board of Directors engaged Ernst &amp; Young LLP to assist our senior management team in completing a risk assessment. With Ernst &amp; Young LLP as the facilitator, our senior management team identified, assessed and prioritized various risks throughout the Company. Management has identified compensating controls or recommendations for minimizing risk and meets periodically to review such controls and identify new potential risks. In the first quarter of fiscal 2011, Ernst &amp; Young LLP met with senior management to re-assess and examine those risks and to review the current controls. The results of the risk reassessment were presented to the full Board of Directors.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Chief Executive Officer and Chief Financial Officer attend all meetings of the Board of Directors, except executive sessions, and are available to address any questions or concerns raised by the Board of Directors on risk management-related and any other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Casual Male Retail Group, Inc. Amended and Restated Non-Employee Director Compensation Plan (the “Non-Employee Director Compensation Plan”). As of January 29, 2011, there were 500,000 shares available for issuance under this plan for the sole purpose of satisfying elections to receive shares of common stock in lieu of cash for service as a director. The Non-Employee Director Compensation Plan is a stand-alone plan and is not a sub-plan under our 2006 Incentive Compensation Plan, as amended (the “2006 Plan”). Accordingly, shares issued under this plan do not reduce the shares available for issuance under the 2006 Plan.</w:t>
      </w:r>
    </w:p>
    <w:p>
      <w:pPr>
        <w:spacing w:after="0" w:line="10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In fiscal 2008, the Compensation Committee retained Sibson Consulting to review the compensation of directors at our peer companies. The following peer companies were used for this review:</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Bebe</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Citi Trends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Mothers Work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Cache</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Hibbett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Hot Topic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Charlotte Russe</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60" w:type="dxa"/>
            <w:vAlign w:val="bottom"/>
          </w:tcPr>
          <w:p>
            <w:pPr>
              <w:ind w:left="100"/>
              <w:spacing w:after="0"/>
              <w:rPr>
                <w:sz w:val="20"/>
                <w:szCs w:val="20"/>
                <w:color w:val="auto"/>
              </w:rPr>
            </w:pPr>
            <w:r>
              <w:rPr>
                <w:rFonts w:ascii="Arial" w:cs="Arial" w:eastAsia="Arial" w:hAnsi="Arial"/>
                <w:sz w:val="18"/>
                <w:szCs w:val="18"/>
                <w:color w:val="auto"/>
              </w:rPr>
              <w:t>Christopher Banks</w:t>
            </w:r>
          </w:p>
        </w:tc>
        <w:tc>
          <w:tcPr>
            <w:tcW w:w="2400" w:type="dxa"/>
            <w:vAlign w:val="bottom"/>
          </w:tcPr>
          <w:p>
            <w:pPr>
              <w:ind w:left="22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91"/>
              </w:rPr>
              <w:t>The Wet Seal</w:t>
            </w:r>
          </w:p>
        </w:tc>
      </w:tr>
    </w:tbl>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6" w:name="page17"/>
    <w:bookmarkEnd w:id="16"/>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following table sets forth the compensation paid to our Chairman and non-employee directors during fiscal 2010. David A. Levin is not included in the following table as he was a Named Executives Officer and, accordingly, received no compensation for his services as a director. The compensation received by Mr. Levin as an employee of our Company is shown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Fees Earned or</w:t>
            </w: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Awards</w:t>
            </w:r>
          </w:p>
        </w:tc>
        <w:tc>
          <w:tcPr>
            <w:tcW w:w="360" w:type="dxa"/>
            <w:vAlign w:val="bottom"/>
          </w:tcPr>
          <w:p>
            <w:pPr>
              <w:spacing w:after="0"/>
              <w:rPr>
                <w:sz w:val="12"/>
                <w:szCs w:val="12"/>
                <w:color w:val="auto"/>
              </w:rPr>
            </w:pP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3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3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680" w:type="dxa"/>
            <w:vAlign w:val="bottom"/>
          </w:tcPr>
          <w:p>
            <w:pPr>
              <w:jc w:val="right"/>
              <w:ind w:right="195"/>
              <w:spacing w:after="0"/>
              <w:rPr>
                <w:sz w:val="20"/>
                <w:szCs w:val="20"/>
                <w:color w:val="auto"/>
              </w:rPr>
            </w:pPr>
            <w:r>
              <w:rPr>
                <w:rFonts w:ascii="Arial" w:cs="Arial" w:eastAsia="Arial" w:hAnsi="Arial"/>
                <w:sz w:val="14"/>
                <w:szCs w:val="14"/>
                <w:b w:val="1"/>
                <w:bCs w:val="1"/>
                <w:color w:val="auto"/>
              </w:rPr>
              <w:t>($)(1)</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9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1"/>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 Chairman(3)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575,000(3)</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124,750</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150,250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32,813(4)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$183,063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John E. Kyees(5)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105,500</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400"/>
              <w:spacing w:after="0"/>
              <w:rPr>
                <w:sz w:val="20"/>
                <w:szCs w:val="20"/>
                <w:color w:val="auto"/>
              </w:rPr>
            </w:pPr>
            <w:r>
              <w:rPr>
                <w:rFonts w:ascii="Arial" w:cs="Arial" w:eastAsia="Arial" w:hAnsi="Arial"/>
                <w:sz w:val="18"/>
                <w:szCs w:val="18"/>
                <w:color w:val="auto"/>
              </w:rPr>
              <w:t>63,600</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$169,100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127,500</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118,750</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$ 118,750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89"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non-employee directors, with the exception of Mr. Presser, elected to receive all fees paid during fiscal 2010 in cash. Mr. Presser elected to receive all fees paid during fiscal 2010 in unrestricted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7" w:name="page18"/>
    <w:bookmarkEnd w:id="17"/>
    <w:p>
      <w:pPr>
        <w:ind w:left="460" w:right="40" w:hanging="452"/>
        <w:spacing w:after="0" w:line="28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Kyees was appointed a director of the Company on May 3, 2010 and, accordingly, received a stock option grant of 15,000 shares. The amount in the Option Awards column reflects the aggregate grant date fair value of this stock option award computed in accordance with Financial Accounting Standards Board (“FASB”) Accounting Standards Codification (“ASC”) Topic 718. The fair value of this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 There were no additional Stock Awards or Options Awards to any of the directors for fiscal 2010. Each director has the following number of stock options outstanding at January 29, 2011: Mr. Holtzman: 1,660,000; Mr. Bernikow: 70,000; Mr. Choper: 85,000; Mr. Kyees: 15,000; Mr. Mooney: 25,000; Mr. Porter: 55,000; and Mr. Presser: 25,000.</w:t>
      </w:r>
    </w:p>
    <w:p>
      <w:pPr>
        <w:spacing w:after="0" w:line="5"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fiscal 2010, Mr. Holtzman received compensation from us both directly (as an employee of our Company) and indirectly (as a consultant pursuant to a consulting agreement we have with JMI). Mr. Holtzman is the president and chief executive officer and, together with his wife, indirectly, the majority shareholder of JMI. There were no services performed on behalf of the Company by JMI, other than those performed by Mr. Holtzman. See below for our discussion of the compensation paid to Mr. Holtzman under “</w:t>
      </w:r>
      <w:r>
        <w:rPr>
          <w:rFonts w:ascii="Arial" w:cs="Arial" w:eastAsia="Arial" w:hAnsi="Arial"/>
          <w:sz w:val="16"/>
          <w:szCs w:val="16"/>
          <w:i w:val="1"/>
          <w:iCs w:val="1"/>
          <w:color w:val="auto"/>
        </w:rPr>
        <w:t>Chairman Compensation.</w:t>
      </w:r>
      <w:r>
        <w:rPr>
          <w:rFonts w:ascii="Arial" w:cs="Arial" w:eastAsia="Arial" w:hAnsi="Arial"/>
          <w:sz w:val="16"/>
          <w:szCs w:val="16"/>
          <w:color w:val="auto"/>
        </w:rPr>
        <w:t>” All Other Compensation for Mr. Holtzman includes annual compensation paid to Mr. Holtzman of $551,000 pursuant to a consulting agreement with the Company and salary of $24,000.</w:t>
      </w:r>
    </w:p>
    <w:p>
      <w:pPr>
        <w:spacing w:after="0" w:line="3"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August 2010, Mr. Choper was granted a cash award of $32,813 due to an oversight with respect to exercising his options and for his years of dedicated service to the Board in his capacity as a member of the Board.</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Kyees was appointed a director of our Company on May 3, 2010.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Pursuant to an employment agreement as well as a consulting agreement with JMI, which was most recently amended in April 2011, Mr. Holtzman receives, in aggregate, annual employment and consulting compensation of $575,000, payable in cash. Mr. Holtzman is the president and chief executive officer and, together with his wife, indirectly, the majority shareholder of JMI. If we engage Mr. Holtzman’s services to assist us in a specific and significant corporate transaction or event, the Compensation Committee, at its discretion, has the right to grant Mr. Holtzman a bonus for his additional services. No such bonus was granted during fiscal 2010. As Chairman of the Board of Directors, in his ex officio capacity pursuant to the Company’s by-laws, Mr. Holtzman regularly attends meetings of the Compensation Committee and the Nominating and Corporate Governance Committee. Mr. Holtzman does not receive compensation for attending these meetings.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fiscal 2010, the members of the Compensation Committee were Messrs. Choper, Mooney and Porter. Persons serving on the Compensation Committee had no relationships with our Company in fiscal 2010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for fiscal 2010 are collectively referred to herein as our “Named Executive Officers.”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Named Executive Officers for fiscal 2010 are: David A. Levin, President and Chief Executive Officer, Dennis R. Hernreich, Executive Vice President, Chief Financial Officer, Chief Operating Officer, Treasurer and Secretary, Robert S. Molloy, Senior Vice President and General Counsel, Douglas Hearn, Former Senior Vice President, General Merchandise Manager of Casual Male XL and Global Sourcing, and Henry J. Metscher, Former Senior Vice President, General Merchandise Manager, Direct Businesses and President of Footwear. Messrs. Hearn and Metscher were Senior Executives while employed with us prior to their departures on April 25, 2011 and May 14, 2011, respectively.</w:t>
      </w:r>
    </w:p>
    <w:p>
      <w:pPr>
        <w:spacing w:after="0" w:line="1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Key Executives are Messrs. Levin and Hernreich. Our Senior Executives are listed above under “</w:t>
      </w:r>
      <w:r>
        <w:rPr>
          <w:rFonts w:ascii="Arial" w:cs="Arial" w:eastAsia="Arial" w:hAnsi="Arial"/>
          <w:sz w:val="18"/>
          <w:szCs w:val="18"/>
          <w:i w:val="1"/>
          <w:iCs w:val="1"/>
          <w:color w:val="auto"/>
        </w:rPr>
        <w:t>Proposal 1. Election of Directors—Non-Director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w:t>
      </w:r>
      <w:r>
        <w:rPr>
          <w:rFonts w:ascii="Arial" w:cs="Arial" w:eastAsia="Arial" w:hAnsi="Arial"/>
          <w:sz w:val="18"/>
          <w:szCs w:val="18"/>
          <w:color w:val="auto"/>
        </w:rPr>
        <w:t>,” with the exception of Dennis R. Hernreich who is a Key Executive.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7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for 2010 consisted of base salary (“guaranteed compensation”) and performance-based compensation (“at-risk compensation”). The performance-based compensation consisted of: (i) an annual cash incentive based on achievement of a specified performance goal for fiscal 2010 and (ii) a long-term incentive which is also based on achievement of specified performance goals for fiscal 2010, but which vests ratably over a three-year period starting on the first anniversary of the date of grant. See “Components of Executive Compensation” below for a full description of these two incentive plans.</w:t>
      </w:r>
    </w:p>
    <w:p>
      <w:pPr>
        <w:spacing w:after="0" w:line="10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During fiscal 2010, with the exception of the reinstatement of a 5% salary reduction that all of senior management took in fiscal 2009, base salary for our Key Executives and Senior Executives remained flat for fiscal 2010. Accordingly, the only opportunity for our Key Executives and Senior Executives to achieve compensation above 2009 levels was to exceed the performance targets established for our annual and long-term incentive plans to the same degree as in fiscal 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charts show the breakdown of compensation for our Key Executives and Senior Executives, assuming performance under our annual and long-term incentive plans were achieved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80645</wp:posOffset>
            </wp:positionV>
            <wp:extent cx="3533140" cy="17411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3314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Summary of Fiscal 2010 Performance Compared to Fiscal 2009</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exceeded our original expectations for earnings in fiscal 2010, despite the slow economic recovery. With an essentially flat sales base in fiscal 2010, we were able to double our operating income from $8.0 million in fiscal 2009 to $16.2 million for fiscal 2010, resulting in diluted earnings per share of $0.32 per share as compared to $0.14 per share in fiscal 2009.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46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For the fiscal year ending:</w:t>
            </w:r>
          </w:p>
        </w:tc>
        <w:tc>
          <w:tcPr>
            <w:tcW w:w="0" w:type="dxa"/>
            <w:vAlign w:val="bottom"/>
          </w:tcPr>
          <w:p>
            <w:pPr>
              <w:spacing w:after="0"/>
              <w:rPr>
                <w:sz w:val="1"/>
                <w:szCs w:val="1"/>
                <w:color w:val="auto"/>
              </w:rPr>
            </w:pPr>
          </w:p>
        </w:tc>
      </w:tr>
      <w:tr>
        <w:trPr>
          <w:trHeight w:val="129"/>
        </w:trPr>
        <w:tc>
          <w:tcPr>
            <w:tcW w:w="67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January 29, 2011</w:t>
            </w:r>
          </w:p>
        </w:tc>
        <w:tc>
          <w:tcPr>
            <w:tcW w:w="10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30, 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72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right"/>
              <w:ind w:right="1052"/>
              <w:spacing w:after="0"/>
              <w:rPr>
                <w:sz w:val="20"/>
                <w:szCs w:val="20"/>
                <w:color w:val="auto"/>
              </w:rPr>
            </w:pPr>
            <w:r>
              <w:rPr>
                <w:rFonts w:ascii="Arial" w:cs="Arial" w:eastAsia="Arial" w:hAnsi="Arial"/>
                <w:sz w:val="14"/>
                <w:szCs w:val="14"/>
                <w:b w:val="1"/>
                <w:bCs w:val="1"/>
                <w:color w:val="auto"/>
                <w:w w:val="87"/>
              </w:rPr>
              <w:t>(Fiscal 2010)</w:t>
            </w: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(Fiscal 2009)</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4"/>
                <w:szCs w:val="14"/>
                <w:i w:val="1"/>
                <w:iCs w:val="1"/>
                <w:color w:val="auto"/>
                <w:w w:val="75"/>
              </w:rPr>
              <w:t>(in millions</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i w:val="1"/>
                <w:iCs w:val="1"/>
                <w:color w:val="auto"/>
                <w:w w:val="92"/>
              </w:rPr>
              <w:t>except per share</w:t>
            </w:r>
          </w:p>
        </w:tc>
        <w:tc>
          <w:tcPr>
            <w:tcW w:w="100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89"/>
              </w:rPr>
              <w:t>and percentages)</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102.5%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10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 Percentage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152.5%</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10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 non-GAAP measure(1)</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Earnings per share—diluted</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128.6%</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0.32</w:t>
            </w:r>
          </w:p>
        </w:tc>
        <w:tc>
          <w:tcPr>
            <w:tcW w:w="10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88"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which is defined as income from continuing operations before interest, taxes, depreciation and amortization, is adjusted each period to exclude other income (which represents the deferred gain related to the sale of our loss prevention subsidiary in fiscal 2006) (“Adjusted EBITDA”). EBITDA and Adjusted EBITDA are non-GAAP measures and should not be considered superior to or as a substitute for net income derived in accordance with GAAP. We use Adjusted EBITDA because: (i) it measures performance over the periods in which executives can have significant impact, (ii) is directly linked to our long-term growth plan, and (iii) is a key metric used by management and the board to assess our operating performance. Adjusted EBITDA for fiscal 2010 is calculated as net income of $15.4 million, plus interest of $0.7 million, taxes of $0.7 million and depreciation and amortization of $13.2 million minus other income (related to the deferred gain) of $0.5 million. Adjusted EBITDA for fiscal 2009 is calculated as net income of $6.1 million, plus interest of $1.0 million, taxes of $1.5 million and depreciation and amortization of $15.5 million minus other income (related to the deferred gain) of $0.6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of Total Compensation Earned for Fiscal 2010 Compared to Fiscal 2009</w:t>
      </w:r>
    </w:p>
    <w:p>
      <w:pPr>
        <w:spacing w:after="0" w:line="15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compensation earned by the Key Executives and Senior Executives recognized these financial achievements. However, on a comparative basis, the compensation earned by our Named Executive Officers for fiscal 2010 was slightly less than compensation earned for fiscal 2009. Because of the economic recession in fiscal 2009, the financial targets for fiscal 2009 did not include any sales growth and, instead, focused on strengthening gross margins and liquidity and reducing overhead. We exceeded these goals for fiscal 2009 by improving our gross margins through strong inventory control and negotiated rent reductions and by reducing our selling, general and administrative expenses by $30.0 million on an annualized basis. As a result, incentive payouts for fiscal 2009 under our annual and long-term incentive plans exceeded target levels. For fiscal 2010, the performance targets, which represented an increase of approximately 20% over fiscal 2009 actual results, were based on an expectation that retail sales would start to rebound. However, sales throughout the retail industry were much slower to recover than planned, resulting in an essentially flat sales base for us in fiscal 2010. Despite the sales shortfall against expectations, we were able to further improve our merchandise margins and control expenses. In addition, through improved sales productivity, we were able to improve our conversion rates in our stores (the number of people who visit a store and make a purchase) and average dollars per transaction metrics. These improvements helped us to offset the continued weak traffic flow. The combination of these achievements in fiscal 2010 enabled us to exceed slightly the performance targets established for fiscal 2010, but were insufficient to reach the level achieved in fiscal 2009. See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on page 30 for a detail breakdown of compensation for each Named Executive Officer. Based on our results for fiscal 2010, we achieved our performance targets for our annual and long-term incentive plans for fiscal 2010.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compensation earned by each Named Executive Officer for fiscal 2010 as compared to fiscal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 Change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0"/>
              </w:rPr>
              <w:t>2010 vs.</w:t>
            </w:r>
          </w:p>
        </w:tc>
        <w:tc>
          <w:tcPr>
            <w:tcW w:w="36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29, 2011</w:t>
            </w:r>
          </w:p>
        </w:tc>
        <w:tc>
          <w:tcPr>
            <w:tcW w:w="40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January 30, 2010</w:t>
            </w:r>
          </w:p>
        </w:tc>
        <w:tc>
          <w:tcPr>
            <w:tcW w:w="0" w:type="dxa"/>
            <w:vAlign w:val="bottom"/>
          </w:tcPr>
          <w:p>
            <w:pPr>
              <w:spacing w:after="0"/>
              <w:rPr>
                <w:sz w:val="1"/>
                <w:szCs w:val="1"/>
                <w:color w:val="auto"/>
              </w:rPr>
            </w:pPr>
          </w:p>
        </w:tc>
      </w:tr>
      <w:tr>
        <w:trPr>
          <w:trHeight w:val="161"/>
        </w:trPr>
        <w:tc>
          <w:tcPr>
            <w:tcW w:w="6940" w:type="dxa"/>
            <w:vAlign w:val="bottom"/>
            <w:gridSpan w:val="4"/>
          </w:tcPr>
          <w:p>
            <w:pPr>
              <w:spacing w:after="0"/>
              <w:rPr>
                <w:sz w:val="20"/>
                <w:szCs w:val="20"/>
                <w:color w:val="auto"/>
              </w:rPr>
            </w:pPr>
            <w:r>
              <w:rPr>
                <w:rFonts w:ascii="Arial" w:cs="Arial" w:eastAsia="Arial" w:hAnsi="Arial"/>
                <w:sz w:val="14"/>
                <w:szCs w:val="14"/>
                <w:b w:val="1"/>
                <w:bCs w:val="1"/>
                <w:color w:val="auto"/>
              </w:rPr>
              <w:t>Named Executive Officer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2010)(1)</w:t>
            </w:r>
          </w:p>
        </w:tc>
        <w:tc>
          <w:tcPr>
            <w:tcW w:w="40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2009)(1)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David A. Levin,</w:t>
            </w:r>
          </w:p>
        </w:tc>
        <w:tc>
          <w:tcPr>
            <w:tcW w:w="53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w w:val="97"/>
              </w:rPr>
              <w:t>2,922,629</w:t>
            </w:r>
          </w:p>
        </w:tc>
        <w:tc>
          <w:tcPr>
            <w:tcW w:w="6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7"/>
              </w:rPr>
              <w:t>2,959,541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Operating Officer</w:t>
            </w: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940" w:type="dxa"/>
            <w:vAlign w:val="bottom"/>
            <w:gridSpan w:val="4"/>
          </w:tcPr>
          <w:p>
            <w:pPr>
              <w:spacing w:after="0"/>
              <w:rPr>
                <w:sz w:val="20"/>
                <w:szCs w:val="20"/>
                <w:color w:val="auto"/>
              </w:rPr>
            </w:pPr>
            <w:r>
              <w:rPr>
                <w:rFonts w:ascii="Arial" w:cs="Arial" w:eastAsia="Arial" w:hAnsi="Arial"/>
                <w:sz w:val="18"/>
                <w:szCs w:val="18"/>
                <w:color w:val="auto"/>
              </w:rPr>
              <w:t>Dennis R. Hernreich</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(13.5)%</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1,969,221</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2,275,693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Chief Financial Officer, Chief Operating Officer, Treasurer</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and Secretary</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697,952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940" w:type="dxa"/>
            <w:vAlign w:val="bottom"/>
            <w:gridSpan w:val="4"/>
          </w:tcPr>
          <w:p>
            <w:pPr>
              <w:spacing w:after="0"/>
              <w:rPr>
                <w:sz w:val="20"/>
                <w:szCs w:val="20"/>
                <w:color w:val="auto"/>
              </w:rPr>
            </w:pPr>
            <w:r>
              <w:rPr>
                <w:rFonts w:ascii="Arial" w:cs="Arial" w:eastAsia="Arial" w:hAnsi="Arial"/>
                <w:sz w:val="18"/>
                <w:szCs w:val="18"/>
                <w:color w:val="auto"/>
              </w:rPr>
              <w:t>Douglas Hearn</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592,795</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652,445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Former Senior Vice President, General Merchandise Manager, Casual Male XL and</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Global Sourcing(2)</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644,711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8"/>
              </w:rPr>
              <w:t>Former Senior Vice President, General Merchandise Manager, Direct Businesses and</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of Footwear(2)</w:t>
            </w:r>
          </w:p>
        </w:tc>
        <w:tc>
          <w:tcPr>
            <w:tcW w:w="6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performance-based awards, see table below for components of performance-based compensation.</w:t>
      </w:r>
    </w:p>
    <w:p>
      <w:pPr>
        <w:spacing w:after="0" w:line="15"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Unvested long-term incentive awards for Messrs. Hearn and Metscher were forfeited due to their employment terminations. See “</w:t>
      </w:r>
      <w:r>
        <w:rPr>
          <w:rFonts w:ascii="Arial" w:cs="Arial" w:eastAsia="Arial" w:hAnsi="Arial"/>
          <w:sz w:val="18"/>
          <w:szCs w:val="18"/>
          <w:i w:val="1"/>
          <w:iCs w:val="1"/>
          <w:color w:val="auto"/>
        </w:rPr>
        <w:t>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for additional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Total Performance-Based Compensation Earned for Fiscal 2010 and Fiscal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88"/>
              </w:rPr>
              <w:t>Long-Term Incentive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6"/>
              </w:rPr>
              <w:t>Total Performance-Based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920" w:type="dxa"/>
            <w:vAlign w:val="bottom"/>
            <w:gridSpan w:val="5"/>
          </w:tcPr>
          <w:p>
            <w:pPr>
              <w:jc w:val="right"/>
              <w:ind w:right="196"/>
              <w:spacing w:after="0" w:line="149" w:lineRule="exact"/>
              <w:rPr>
                <w:sz w:val="20"/>
                <w:szCs w:val="20"/>
                <w:color w:val="auto"/>
              </w:rPr>
            </w:pPr>
            <w:r>
              <w:rPr>
                <w:rFonts w:ascii="Arial" w:cs="Arial" w:eastAsia="Arial" w:hAnsi="Arial"/>
                <w:sz w:val="14"/>
                <w:szCs w:val="14"/>
                <w:b w:val="1"/>
                <w:bCs w:val="1"/>
                <w:color w:val="auto"/>
              </w:rPr>
              <w:t>Annual Incentive Plan–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Cash/Equity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61"/>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Cash</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Subject to 3-yr vesting(1)</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88"/>
              </w:rPr>
              <w:t>Earned</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322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21"/>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$ 867,984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1,173,510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859,872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975,578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1,727,856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2,149,088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3"/>
              </w:rPr>
              <w:t>Dennis R. Hernreich</w:t>
            </w:r>
          </w:p>
        </w:tc>
        <w:tc>
          <w:tcPr>
            <w:tcW w:w="4000" w:type="dxa"/>
            <w:vAlign w:val="bottom"/>
            <w:gridSpan w:val="3"/>
          </w:tcPr>
          <w:p>
            <w:pPr>
              <w:jc w:val="center"/>
              <w:ind w:left="3092"/>
              <w:spacing w:after="0"/>
              <w:rPr>
                <w:sz w:val="20"/>
                <w:szCs w:val="20"/>
                <w:color w:val="auto"/>
              </w:rPr>
            </w:pPr>
            <w:r>
              <w:rPr>
                <w:rFonts w:ascii="Arial" w:cs="Arial" w:eastAsia="Arial" w:hAnsi="Arial"/>
                <w:sz w:val="18"/>
                <w:szCs w:val="18"/>
                <w:color w:val="auto"/>
                <w:w w:val="92"/>
              </w:rPr>
              <w:t>$ 665,454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899,691</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659,234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747,944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1,324,688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1,647,635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4000" w:type="dxa"/>
            <w:vAlign w:val="bottom"/>
            <w:gridSpan w:val="3"/>
            <w:shd w:val="clear" w:color="auto" w:fill="CCEEFF"/>
          </w:tcPr>
          <w:p>
            <w:pPr>
              <w:jc w:val="center"/>
              <w:ind w:left="3092"/>
              <w:spacing w:after="0"/>
              <w:rPr>
                <w:sz w:val="20"/>
                <w:szCs w:val="20"/>
                <w:color w:val="auto"/>
              </w:rPr>
            </w:pPr>
            <w:r>
              <w:rPr>
                <w:rFonts w:ascii="Arial" w:cs="Arial" w:eastAsia="Arial" w:hAnsi="Arial"/>
                <w:sz w:val="18"/>
                <w:szCs w:val="18"/>
                <w:color w:val="auto"/>
                <w:w w:val="92"/>
              </w:rPr>
              <w:t>$ 121,713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164,555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241,150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273,600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362,863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Douglas Hearn</w:t>
            </w:r>
          </w:p>
        </w:tc>
        <w:tc>
          <w:tcPr>
            <w:tcW w:w="4000" w:type="dxa"/>
            <w:vAlign w:val="bottom"/>
            <w:gridSpan w:val="3"/>
          </w:tcPr>
          <w:p>
            <w:pPr>
              <w:jc w:val="center"/>
              <w:ind w:left="3092"/>
              <w:spacing w:after="0"/>
              <w:rPr>
                <w:sz w:val="20"/>
                <w:szCs w:val="20"/>
                <w:color w:val="auto"/>
              </w:rPr>
            </w:pPr>
            <w:r>
              <w:rPr>
                <w:rFonts w:ascii="Arial" w:cs="Arial" w:eastAsia="Arial" w:hAnsi="Arial"/>
                <w:sz w:val="18"/>
                <w:szCs w:val="18"/>
                <w:color w:val="auto"/>
                <w:w w:val="92"/>
              </w:rPr>
              <w:t>$ 102,987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134,405</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ind w:left="40"/>
              <w:spacing w:after="0"/>
              <w:rPr>
                <w:sz w:val="20"/>
                <w:szCs w:val="20"/>
                <w:color w:val="auto"/>
              </w:rPr>
            </w:pPr>
            <w:r>
              <w:rPr>
                <w:rFonts w:ascii="Arial" w:cs="Arial" w:eastAsia="Arial" w:hAnsi="Arial"/>
                <w:sz w:val="18"/>
                <w:szCs w:val="18"/>
                <w:color w:val="auto"/>
                <w:w w:val="86"/>
              </w:rPr>
              <w:t>204,050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223,471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307,037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357,876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4000" w:type="dxa"/>
            <w:vAlign w:val="bottom"/>
            <w:gridSpan w:val="3"/>
            <w:shd w:val="clear" w:color="auto" w:fill="CCEEFF"/>
          </w:tcPr>
          <w:p>
            <w:pPr>
              <w:jc w:val="center"/>
              <w:ind w:left="3092"/>
              <w:spacing w:after="0"/>
              <w:rPr>
                <w:sz w:val="20"/>
                <w:szCs w:val="20"/>
                <w:color w:val="auto"/>
              </w:rPr>
            </w:pPr>
            <w:r>
              <w:rPr>
                <w:rFonts w:ascii="Arial" w:cs="Arial" w:eastAsia="Arial" w:hAnsi="Arial"/>
                <w:sz w:val="18"/>
                <w:szCs w:val="18"/>
                <w:color w:val="auto"/>
                <w:w w:val="92"/>
              </w:rPr>
              <w:t>$ 112,350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151,897</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222,600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252,553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60" w:hanging="452"/>
        <w:spacing w:after="0" w:line="30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awards granted under our long-term incentive plan, which were granted on March 16, 2011 for fiscal 2010 performance and on March 19, 2010 for fiscal 2009 performance. Each award vests over three years from the respective dates of grant. Messrs. Hearn and Metscher awards for fiscal 2010 were fully forfeited and for fiscal 2009, two-thirds of their award was forfeited due to their termination of employment.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 Given the recent economic recession and its direct impact on our business and market capitalization, the Committee is challenged with providing competitive compensation opportunities to our executives, both short-term and long-term, during a period where our sales trends are expected to recover slowly.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7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needs to deliver on our performance expectations;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that available to similarly situated executives at our peer companies.</w:t>
      </w:r>
    </w:p>
    <w:p>
      <w:pPr>
        <w:spacing w:after="0" w:line="1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72"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With respect to the overall compensation paid to our Key Executives, the Compensation Committee’s objective is to aim toward a total direct compensation amount that is within our peer median if we are able to achieve financial targets. As such, the Compensation Committee’s objective is to allocate the Key Executive’s total direct compensation equally between base salary, short-term and long-term rewards.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our Senior Executives, the Compensation Committee’s overall objective is to provide them with a competitive base salary that is within our peer median, while providing them with an opportunity for short-term and long-term compensation if our Company meets or exceeds its financial targets, such as Adjusted EBITDA and overall operating margins.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which was amended in June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long-term incentive plan, which includes our Key Executives and Senior Executives, are required to elect at least 50% of any award earned in equity, either through stock options or shares of restricted stock or a combination thereof, in order to be more aligned with our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consultation with Sibson Consulting, an independent firm which specializes in benefits and compensation, the Compensation Committee has developed a compensation program that is competitive within our peer group. The consultant analyzed compensation and benefits of our peer companies with respect to the compensation for our Named Executive Officers as well as compensation levels and practices for our Board of Directors.</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The purpose of their study for fiscal 2010 compensation was to provide the Compensation Committee with current information on the competitiveness of our total compensation and employment package provided to our Named Executive Officers through their current employment agreements. This review also required Sibson Consulting to compare our current Annual Incentive Plan and Long-Term Incentive Plan with similar incentive programs of our peer group.</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Coldwater Creek</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dELiA*s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w w:val="88"/>
              </w:rPr>
              <w:t>Pacific Sunwear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Cache.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Rue 21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The Finish Line</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Sport Chalet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Christopher Banks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Wet Seal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Hot Topic</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 comparable positions and responsibilities. Based on that review for fiscal 2010, the Committee concluded that the total cash and total direct compensation for the two Key Executives was appropriate. This conclusion was based on the following observations:</w:t>
      </w:r>
    </w:p>
    <w:p>
      <w:pPr>
        <w:spacing w:after="0" w:line="18" w:lineRule="exact"/>
        <w:rPr>
          <w:sz w:val="20"/>
          <w:szCs w:val="20"/>
          <w:color w:val="auto"/>
        </w:rPr>
      </w:pPr>
    </w:p>
    <w:p>
      <w:pPr>
        <w:ind w:left="780" w:right="320" w:hanging="326"/>
        <w:spacing w:after="0" w:line="268"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Company, unlike most of our peers, does not have a Chief Merchandising Officer and a separate Chief Financial Officer. The concentration of these key responsibilities reside with the two Key Executives.</w:t>
      </w:r>
    </w:p>
    <w:p>
      <w:pPr>
        <w:spacing w:after="0" w:line="37" w:lineRule="exact"/>
        <w:rPr>
          <w:rFonts w:ascii="Arial" w:cs="Arial" w:eastAsia="Arial" w:hAnsi="Arial"/>
          <w:sz w:val="18"/>
          <w:szCs w:val="18"/>
          <w:color w:val="auto"/>
        </w:rPr>
      </w:pPr>
    </w:p>
    <w:p>
      <w:pPr>
        <w:ind w:left="780" w:right="1000" w:hanging="326"/>
        <w:spacing w:after="0" w:line="325"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Levin’s total cash compensation and total direct compensation is competitive and within our peer median. (The Committee measures “competitive” as compensation that is between 85% to 115% of targeted market level among our peers).</w:t>
      </w:r>
    </w:p>
    <w:p>
      <w:pPr>
        <w:spacing w:after="0" w:line="1" w:lineRule="exact"/>
        <w:rPr>
          <w:rFonts w:ascii="Arial" w:cs="Arial" w:eastAsia="Arial" w:hAnsi="Arial"/>
          <w:sz w:val="16"/>
          <w:szCs w:val="16"/>
          <w:color w:val="auto"/>
        </w:rPr>
      </w:pPr>
    </w:p>
    <w:p>
      <w:pPr>
        <w:ind w:left="780" w:hanging="326"/>
        <w:spacing w:after="0" w:line="291"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 Chief Financial Officer, Chief Operating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expense to the Company is far below the expense which would be incurred by adding additional executives to fill each of the many roles filled by Mr. Hernreich.</w:t>
      </w:r>
    </w:p>
    <w:p>
      <w:pPr>
        <w:spacing w:after="0" w:line="25" w:lineRule="exact"/>
        <w:rPr>
          <w:rFonts w:ascii="Arial" w:cs="Arial" w:eastAsia="Arial" w:hAnsi="Arial"/>
          <w:sz w:val="16"/>
          <w:szCs w:val="16"/>
          <w:color w:val="auto"/>
        </w:rPr>
      </w:pPr>
    </w:p>
    <w:p>
      <w:pPr>
        <w:ind w:left="780" w:right="40" w:hanging="326"/>
        <w:spacing w:after="0" w:line="290" w:lineRule="auto"/>
        <w:tabs>
          <w:tab w:leader="none" w:pos="7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With respect to incentive award opportunities, the Committee recognizes that the present value of Messrs. Levin’s and Hernreich’s long-term incentive awards granted prior to fiscal 2010 was substantially impacted by the decreased value in the Company’s stock resulting from the poor economy. The Committee believes, however,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 equity portions of their long-term awards if our objectives are achieved and the economy continues to improve. See “</w:t>
      </w:r>
      <w:r>
        <w:rPr>
          <w:rFonts w:ascii="Arial" w:cs="Arial" w:eastAsia="Arial" w:hAnsi="Arial"/>
          <w:sz w:val="16"/>
          <w:szCs w:val="16"/>
          <w:i w:val="1"/>
          <w:iCs w:val="1"/>
          <w:color w:val="auto"/>
        </w:rPr>
        <w:t>Outstanding Equity Award Value at</w:t>
      </w:r>
      <w:r>
        <w:rPr>
          <w:rFonts w:ascii="Arial" w:cs="Arial" w:eastAsia="Arial" w:hAnsi="Arial"/>
          <w:sz w:val="16"/>
          <w:szCs w:val="16"/>
          <w:color w:val="auto"/>
        </w:rPr>
        <w:t xml:space="preserve"> </w:t>
      </w:r>
      <w:r>
        <w:rPr>
          <w:rFonts w:ascii="Arial" w:cs="Arial" w:eastAsia="Arial" w:hAnsi="Arial"/>
          <w:sz w:val="16"/>
          <w:szCs w:val="16"/>
          <w:i w:val="1"/>
          <w:iCs w:val="1"/>
          <w:color w:val="auto"/>
        </w:rPr>
        <w:t>Fiscal Year End</w:t>
      </w:r>
      <w:r>
        <w:rPr>
          <w:rFonts w:ascii="Arial" w:cs="Arial" w:eastAsia="Arial" w:hAnsi="Arial"/>
          <w:sz w:val="16"/>
          <w:szCs w:val="16"/>
          <w:color w:val="auto"/>
        </w:rPr>
        <w:t>” for a detailed listing of such awards outstanding for each executive.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4" w:name="page25"/>
    <w:bookmarkEnd w:id="24"/>
    <w:p>
      <w:pPr>
        <w:ind w:left="780" w:right="360" w:hanging="326"/>
        <w:spacing w:after="0" w:line="332" w:lineRule="auto"/>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whereas most of our peers grant a significant portion of long-term awards that vest based on time (and the grant is not predicated on performance), we do not. Both the grant and the ultimate vested value of any long-term incentive award is based on Company performance.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the Company benchmarks compensation against companies in the retail industry which are of similar size, based on comparative sales volumes. When recruiting a senior management position, we also will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Key Executives, the Senior Executives are provided with a competitive base salary within our retail industry and are provided with an opportunity to earn performance awards each year which are primarily driven by our Company’s overall financial targets. See “</w:t>
      </w:r>
      <w:r>
        <w:rPr>
          <w:rFonts w:ascii="Arial" w:cs="Arial" w:eastAsia="Arial" w:hAnsi="Arial"/>
          <w:sz w:val="15"/>
          <w:szCs w:val="15"/>
          <w:i w:val="1"/>
          <w:iCs w:val="1"/>
          <w:color w:val="auto"/>
        </w:rPr>
        <w:t>Components of Executive Compensation—Performance-based annual cash bonuses and—Long-term performance based awards.</w:t>
      </w:r>
      <w:r>
        <w:rPr>
          <w:rFonts w:ascii="Arial" w:cs="Arial" w:eastAsia="Arial" w:hAnsi="Arial"/>
          <w:sz w:val="15"/>
          <w:szCs w:val="15"/>
          <w:color w:val="auto"/>
        </w:rPr>
        <w:t>”</w:t>
      </w:r>
    </w:p>
    <w:p>
      <w:pPr>
        <w:spacing w:after="0" w:line="9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our Senior Executives that are also Named Executive Officers for fiscal 2010, the Compensation Committee, with the assistance of Sibson Consulting, also reviewed the total cash compensation and total direct compensation paid to Messrs. Molloy, Hearn and Metscher. Based on a review of our peer group and compensation surveys, the Compensation Committee observed that the compensation paid to Messrs. Molloy, Hearn and Metscher is within the mid-range of our peer group. Further, the compensation to these Senior Executives is more heavily weighted toward our incentive programs than with our peer group.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and long-term performance-based incentives. The components of compensation are described as follows:</w:t>
      </w:r>
    </w:p>
    <w:p>
      <w:pPr>
        <w:spacing w:after="0" w:line="37"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18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8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49" w:lineRule="exact"/>
        <w:rPr>
          <w:sz w:val="20"/>
          <w:szCs w:val="20"/>
          <w:color w:val="auto"/>
        </w:rPr>
      </w:pPr>
    </w:p>
    <w:p>
      <w:pPr>
        <w:ind w:left="80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80" w:right="279" w:bottom="1440" w:gutter="0" w:footer="0" w:header="0"/>
        </w:sectPr>
      </w:pPr>
    </w:p>
    <w:bookmarkStart w:id="25" w:name="page26"/>
    <w:bookmarkEnd w:id="25"/>
    <w:p>
      <w:pPr>
        <w:ind w:left="346" w:right="300"/>
        <w:spacing w:after="0" w:line="33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fiscal 2009, the base salaries for our Key Executives and Senior Executives were reduced by 5.0% as part of our overall Company objectives of reducing expenses at that time. Based on the financial performance in fiscal 2009, on February 5, 2010, the Compensation Committee approved reinstatement of the 5.0% salary adjustment to all members of senior management, including our Key Executives and Senior Executives.</w:t>
      </w:r>
    </w:p>
    <w:p>
      <w:pPr>
        <w:spacing w:after="0" w:line="2"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Performance-based annual cash incentives</w:t>
      </w:r>
    </w:p>
    <w:p>
      <w:pPr>
        <w:spacing w:after="0" w:line="36" w:lineRule="exact"/>
        <w:rPr>
          <w:sz w:val="20"/>
          <w:szCs w:val="20"/>
          <w:color w:val="auto"/>
        </w:rPr>
      </w:pPr>
    </w:p>
    <w:p>
      <w:pPr>
        <w:ind w:left="346" w:right="6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18"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Annual Incentive Plan</w:t>
      </w:r>
    </w:p>
    <w:p>
      <w:pPr>
        <w:spacing w:after="0" w:line="77" w:lineRule="exact"/>
        <w:rPr>
          <w:sz w:val="20"/>
          <w:szCs w:val="20"/>
          <w:color w:val="auto"/>
        </w:rPr>
      </w:pPr>
    </w:p>
    <w:p>
      <w:pPr>
        <w:ind w:left="346"/>
        <w:spacing w:after="0" w:line="298" w:lineRule="auto"/>
        <w:rPr>
          <w:sz w:val="20"/>
          <w:szCs w:val="20"/>
          <w:color w:val="auto"/>
        </w:rPr>
      </w:pPr>
      <w:r>
        <w:rPr>
          <w:rFonts w:ascii="Arial" w:cs="Arial" w:eastAsia="Arial" w:hAnsi="Arial"/>
          <w:sz w:val="16"/>
          <w:szCs w:val="16"/>
          <w:color w:val="auto"/>
        </w:rPr>
        <w:t>The Casual Male Retail Group, Inc. Annual Incentive Plan, which was established in May 2008, is an annual performance-based cash incentive plan. The Plan was amended in August 2010 to, among other things, provide that the plan be considered a sub-plan under the 2006 Plan and not a stand-alone plan. As a result, any award granted under the Annual Incentive Plan is intended to qualify as “performance-based compensation” that is exempt from the deduction limitations imposed by Section 162(m) of the Internal Revenue Code.</w:t>
      </w:r>
    </w:p>
    <w:p>
      <w:pPr>
        <w:spacing w:after="0" w:line="18" w:lineRule="exact"/>
        <w:rPr>
          <w:sz w:val="20"/>
          <w:szCs w:val="20"/>
          <w:color w:val="auto"/>
        </w:rPr>
      </w:pPr>
    </w:p>
    <w:p>
      <w:pPr>
        <w:ind w:left="346"/>
        <w:spacing w:after="0" w:line="291" w:lineRule="auto"/>
        <w:rPr>
          <w:sz w:val="20"/>
          <w:szCs w:val="20"/>
          <w:color w:val="auto"/>
        </w:rPr>
      </w:pPr>
      <w:r>
        <w:rPr>
          <w:rFonts w:ascii="Arial" w:cs="Arial" w:eastAsia="Arial" w:hAnsi="Arial"/>
          <w:sz w:val="16"/>
          <w:szCs w:val="16"/>
          <w:color w:val="auto"/>
        </w:rPr>
        <w:t>The participants include both the Key Executives and the Senior Executives. The Annual Incentive Plan uses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 Thus, there is one single company-wide target. We use Adjusted EBITDA because: (i) it measures performance over the periods in which executives can have significant impact, (ii) is directly linked to our long-term growth plan, and (iii) is a key metric used by management and the board to assess our operating performance.</w:t>
      </w:r>
    </w:p>
    <w:p>
      <w:pPr>
        <w:spacing w:after="0" w:line="26" w:lineRule="exact"/>
        <w:rPr>
          <w:sz w:val="20"/>
          <w:szCs w:val="20"/>
          <w:color w:val="auto"/>
        </w:rPr>
      </w:pPr>
    </w:p>
    <w:p>
      <w:pPr>
        <w:ind w:left="346" w:right="120"/>
        <w:spacing w:after="0" w:line="294" w:lineRule="auto"/>
        <w:rPr>
          <w:sz w:val="20"/>
          <w:szCs w:val="20"/>
          <w:color w:val="auto"/>
        </w:rPr>
      </w:pPr>
      <w:r>
        <w:rPr>
          <w:rFonts w:ascii="Arial" w:cs="Arial" w:eastAsia="Arial" w:hAnsi="Arial"/>
          <w:sz w:val="16"/>
          <w:szCs w:val="16"/>
          <w:color w:val="auto"/>
        </w:rPr>
        <w:t>The target range of Adjusted EBITDA for fiscal 2010 was approved by our Board of Directors on April 9, 2010. Our executives were eligible to receive a cash incentive award ranging from 80% to 150% of their designated target opportunity (which is 100% of plan year base salary for the Key Executives and 35% of plan year base salary for the Senior Executives) if we achieved between 85% and 125% of an Adjusted EBITDA target of $28.5 million for fiscal 2010. Actual Adjusted EBITDA for fiscal 2010 was 103.5% of target; accordingly, on March 16, 2011 the Compensation Committee approved a cash bonus payout of 107% (which equates on the payout curve to 103.5% of target achievement).</w:t>
      </w:r>
    </w:p>
    <w:p>
      <w:pPr>
        <w:spacing w:after="0" w:line="21" w:lineRule="exact"/>
        <w:rPr>
          <w:sz w:val="20"/>
          <w:szCs w:val="20"/>
          <w:color w:val="auto"/>
        </w:rPr>
      </w:pPr>
    </w:p>
    <w:p>
      <w:pPr>
        <w:ind w:left="346" w:right="120"/>
        <w:spacing w:after="0" w:line="268" w:lineRule="auto"/>
        <w:rPr>
          <w:sz w:val="20"/>
          <w:szCs w:val="20"/>
          <w:color w:val="auto"/>
        </w:rPr>
      </w:pPr>
      <w:r>
        <w:rPr>
          <w:rFonts w:ascii="Arial" w:cs="Arial" w:eastAsia="Arial" w:hAnsi="Arial"/>
          <w:sz w:val="18"/>
          <w:szCs w:val="18"/>
          <w:color w:val="auto"/>
        </w:rPr>
        <w:t>The following table summarizes the overall target, performance achievement and payout ratio under the 2010 Annual Incentive Plan (dollar amounts are in millions):</w:t>
      </w:r>
    </w:p>
    <w:p>
      <w:pPr>
        <w:spacing w:after="0" w:line="102" w:lineRule="exact"/>
        <w:rPr>
          <w:sz w:val="20"/>
          <w:szCs w:val="20"/>
          <w:color w:val="auto"/>
        </w:rPr>
      </w:pPr>
    </w:p>
    <w:tbl>
      <w:tblPr>
        <w:tblLayout w:type="fixed"/>
        <w:tblInd w:w="36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7"/>
              <w:spacing w:after="0"/>
              <w:rPr>
                <w:sz w:val="20"/>
                <w:szCs w:val="20"/>
                <w:color w:val="auto"/>
              </w:rPr>
            </w:pPr>
            <w:r>
              <w:rPr>
                <w:rFonts w:ascii="Arial" w:cs="Arial" w:eastAsia="Arial" w:hAnsi="Arial"/>
                <w:sz w:val="14"/>
                <w:szCs w:val="14"/>
                <w:b w:val="1"/>
                <w:bCs w:val="1"/>
                <w:color w:val="auto"/>
                <w:w w:val="88"/>
              </w:rPr>
              <w:t>Actual</w:t>
            </w: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gridSpan w:val="3"/>
          </w:tcPr>
          <w:p>
            <w:pPr>
              <w:jc w:val="center"/>
              <w:ind w:left="662"/>
              <w:spacing w:after="0" w:line="149" w:lineRule="exact"/>
              <w:rPr>
                <w:sz w:val="20"/>
                <w:szCs w:val="20"/>
                <w:color w:val="auto"/>
              </w:rPr>
            </w:pPr>
            <w:r>
              <w:rPr>
                <w:rFonts w:ascii="Arial" w:cs="Arial" w:eastAsia="Arial" w:hAnsi="Arial"/>
                <w:sz w:val="14"/>
                <w:szCs w:val="14"/>
                <w:b w:val="1"/>
                <w:bCs w:val="1"/>
                <w:color w:val="auto"/>
                <w:w w:val="88"/>
              </w:rPr>
              <w:t>Performance</w:t>
            </w:r>
          </w:p>
        </w:tc>
        <w:tc>
          <w:tcPr>
            <w:tcW w:w="7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420" w:type="dxa"/>
            <w:vAlign w:val="bottom"/>
            <w:gridSpan w:val="2"/>
          </w:tcPr>
          <w:p>
            <w:pPr>
              <w:ind w:left="3880"/>
              <w:spacing w:after="0" w:line="149" w:lineRule="exact"/>
              <w:rPr>
                <w:sz w:val="20"/>
                <w:szCs w:val="20"/>
                <w:color w:val="auto"/>
              </w:rPr>
            </w:pPr>
            <w:r>
              <w:rPr>
                <w:rFonts w:ascii="Arial" w:cs="Arial" w:eastAsia="Arial" w:hAnsi="Arial"/>
                <w:sz w:val="14"/>
                <w:szCs w:val="14"/>
                <w:b w:val="1"/>
                <w:bCs w:val="1"/>
                <w:color w:val="auto"/>
                <w:w w:val="87"/>
              </w:rPr>
              <w:t>Target at</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1"/>
              </w:rPr>
              <w:t>(103.5%</w:t>
            </w:r>
          </w:p>
        </w:tc>
        <w:tc>
          <w:tcPr>
            <w:tcW w:w="7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6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w w:val="93"/>
              </w:rPr>
              <w:t>Annual Incentive Performance Target</w:t>
            </w:r>
          </w:p>
        </w:tc>
        <w:tc>
          <w:tcPr>
            <w:tcW w:w="4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100%</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7"/>
              <w:spacing w:after="0"/>
              <w:rPr>
                <w:sz w:val="20"/>
                <w:szCs w:val="20"/>
                <w:color w:val="auto"/>
              </w:rPr>
            </w:pPr>
            <w:r>
              <w:rPr>
                <w:rFonts w:ascii="Arial" w:cs="Arial" w:eastAsia="Arial" w:hAnsi="Arial"/>
                <w:sz w:val="14"/>
                <w:szCs w:val="14"/>
                <w:b w:val="1"/>
                <w:bCs w:val="1"/>
                <w:color w:val="auto"/>
                <w:w w:val="86"/>
              </w:rPr>
              <w:t>achieved)</w:t>
            </w:r>
          </w:p>
        </w:tc>
        <w:tc>
          <w:tcPr>
            <w:tcW w:w="1540" w:type="dxa"/>
            <w:vAlign w:val="bottom"/>
            <w:gridSpan w:val="3"/>
          </w:tcPr>
          <w:p>
            <w:pPr>
              <w:jc w:val="center"/>
              <w:ind w:left="482"/>
              <w:spacing w:after="0"/>
              <w:rPr>
                <w:sz w:val="20"/>
                <w:szCs w:val="20"/>
                <w:color w:val="auto"/>
              </w:rPr>
            </w:pPr>
            <w:r>
              <w:rPr>
                <w:rFonts w:ascii="Arial" w:cs="Arial" w:eastAsia="Arial" w:hAnsi="Arial"/>
                <w:sz w:val="14"/>
                <w:szCs w:val="14"/>
                <w:b w:val="1"/>
                <w:bCs w:val="1"/>
                <w:color w:val="auto"/>
                <w:w w:val="91"/>
              </w:rPr>
              <w:t>Payout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2010 Adjusted EBITDA</w:t>
            </w:r>
          </w:p>
        </w:tc>
        <w:tc>
          <w:tcPr>
            <w:tcW w:w="4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6" w:right="340"/>
        <w:spacing w:after="0" w:line="268" w:lineRule="auto"/>
        <w:rPr>
          <w:sz w:val="20"/>
          <w:szCs w:val="20"/>
          <w:color w:val="auto"/>
        </w:rPr>
      </w:pPr>
      <w:r>
        <w:rPr>
          <w:rFonts w:ascii="Arial" w:cs="Arial" w:eastAsia="Arial" w:hAnsi="Arial"/>
          <w:sz w:val="18"/>
          <w:szCs w:val="18"/>
          <w:color w:val="auto"/>
        </w:rPr>
        <w:t>The total cash award for the 2010 Annual Incentive Plan was $4.1 million, of which $1.9 million was paid to our Named Executive Officers. As a group, $2.7 million was paid to our Key Executives and Senior Executives.</w:t>
      </w:r>
    </w:p>
    <w:p>
      <w:pPr>
        <w:spacing w:after="0" w:line="118"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6"/>
          </w:cols>
          <w:pgMar w:left="694" w:top="280" w:right="279" w:bottom="1440" w:gutter="0" w:footer="0" w:header="0"/>
        </w:sectPr>
      </w:pPr>
    </w:p>
    <w:bookmarkStart w:id="26" w:name="page27"/>
    <w:bookmarkEnd w:id="26"/>
    <w:p>
      <w:pPr>
        <w:ind w:left="346"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incentive opportunity and actual cash award under the 2010 Annual Incentive Plan for each Named Executive Officer:</w:t>
      </w:r>
    </w:p>
    <w:p>
      <w:pPr>
        <w:spacing w:after="0" w:line="102" w:lineRule="exact"/>
        <w:rPr>
          <w:sz w:val="20"/>
          <w:szCs w:val="20"/>
          <w:color w:val="auto"/>
        </w:rPr>
      </w:pPr>
    </w:p>
    <w:tbl>
      <w:tblPr>
        <w:tblLayout w:type="fixed"/>
        <w:tblInd w:w="36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0" w:type="dxa"/>
            <w:vAlign w:val="bottom"/>
            <w:gridSpan w:val="3"/>
          </w:tcPr>
          <w:p>
            <w:pPr>
              <w:jc w:val="center"/>
              <w:ind w:left="3176"/>
              <w:spacing w:after="0"/>
              <w:rPr>
                <w:sz w:val="20"/>
                <w:szCs w:val="20"/>
                <w:color w:val="auto"/>
              </w:rPr>
            </w:pPr>
            <w:r>
              <w:rPr>
                <w:rFonts w:ascii="Arial" w:cs="Arial" w:eastAsia="Arial" w:hAnsi="Arial"/>
                <w:sz w:val="14"/>
                <w:szCs w:val="14"/>
                <w:b w:val="1"/>
                <w:bCs w:val="1"/>
                <w:color w:val="auto"/>
                <w:w w:val="91"/>
              </w:rPr>
              <w:t>Target %</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Individual</w:t>
            </w:r>
          </w:p>
        </w:tc>
        <w:tc>
          <w:tcPr>
            <w:tcW w:w="6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of Base</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Year</w:t>
            </w:r>
          </w:p>
        </w:tc>
        <w:tc>
          <w:tcPr>
            <w:tcW w:w="6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Award at</w:t>
            </w:r>
          </w:p>
        </w:tc>
        <w:tc>
          <w:tcPr>
            <w:tcW w:w="6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366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Salary</w:t>
            </w:r>
          </w:p>
        </w:tc>
        <w:tc>
          <w:tcPr>
            <w:tcW w:w="9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85"/>
              </w:rPr>
              <w:t>Base Salary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Target</w:t>
            </w:r>
          </w:p>
        </w:tc>
        <w:tc>
          <w:tcPr>
            <w:tcW w:w="6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At 107%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9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4"/>
              </w:rPr>
              <w:t>$ 811,200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811,200</w:t>
            </w:r>
          </w:p>
        </w:tc>
        <w:tc>
          <w:tcPr>
            <w:tcW w:w="13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0"/>
              </w:rPr>
              <w:t>$867,984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2"/>
              </w:rPr>
              <w:t>Dennis R. Hernreich</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center"/>
              <w:ind w:left="176"/>
              <w:spacing w:after="0"/>
              <w:rPr>
                <w:sz w:val="20"/>
                <w:szCs w:val="20"/>
                <w:color w:val="auto"/>
              </w:rPr>
            </w:pPr>
            <w:r>
              <w:rPr>
                <w:rFonts w:ascii="Arial" w:cs="Arial" w:eastAsia="Arial" w:hAnsi="Arial"/>
                <w:sz w:val="18"/>
                <w:szCs w:val="18"/>
                <w:color w:val="auto"/>
                <w:w w:val="84"/>
              </w:rPr>
              <w:t>$ 621,920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621,920</w:t>
            </w:r>
          </w:p>
        </w:tc>
        <w:tc>
          <w:tcPr>
            <w:tcW w:w="1300" w:type="dxa"/>
            <w:vAlign w:val="bottom"/>
            <w:gridSpan w:val="2"/>
          </w:tcPr>
          <w:p>
            <w:pPr>
              <w:jc w:val="center"/>
              <w:ind w:left="532"/>
              <w:spacing w:after="0"/>
              <w:rPr>
                <w:sz w:val="20"/>
                <w:szCs w:val="20"/>
                <w:color w:val="auto"/>
              </w:rPr>
            </w:pPr>
            <w:r>
              <w:rPr>
                <w:rFonts w:ascii="Arial" w:cs="Arial" w:eastAsia="Arial" w:hAnsi="Arial"/>
                <w:sz w:val="18"/>
                <w:szCs w:val="18"/>
                <w:color w:val="auto"/>
                <w:w w:val="90"/>
              </w:rPr>
              <w:t>$665,454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4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4"/>
              </w:rPr>
              <w:t>$ 325,000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113,750</w:t>
            </w:r>
          </w:p>
        </w:tc>
        <w:tc>
          <w:tcPr>
            <w:tcW w:w="13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90"/>
              </w:rPr>
              <w:t>$121,713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Douglas Hearn</w:t>
            </w:r>
          </w:p>
        </w:tc>
        <w:tc>
          <w:tcPr>
            <w:tcW w:w="4600" w:type="dxa"/>
            <w:vAlign w:val="bottom"/>
            <w:gridSpan w:val="3"/>
          </w:tcPr>
          <w:p>
            <w:pPr>
              <w:jc w:val="right"/>
              <w:ind w:right="24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center"/>
              <w:ind w:left="176"/>
              <w:spacing w:after="0"/>
              <w:rPr>
                <w:sz w:val="20"/>
                <w:szCs w:val="20"/>
                <w:color w:val="auto"/>
              </w:rPr>
            </w:pPr>
            <w:r>
              <w:rPr>
                <w:rFonts w:ascii="Arial" w:cs="Arial" w:eastAsia="Arial" w:hAnsi="Arial"/>
                <w:sz w:val="18"/>
                <w:szCs w:val="18"/>
                <w:color w:val="auto"/>
                <w:w w:val="84"/>
              </w:rPr>
              <w:t>$ 275,000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96,250</w:t>
            </w:r>
          </w:p>
        </w:tc>
        <w:tc>
          <w:tcPr>
            <w:tcW w:w="1300" w:type="dxa"/>
            <w:vAlign w:val="bottom"/>
            <w:gridSpan w:val="2"/>
          </w:tcPr>
          <w:p>
            <w:pPr>
              <w:jc w:val="center"/>
              <w:ind w:left="532"/>
              <w:spacing w:after="0"/>
              <w:rPr>
                <w:sz w:val="20"/>
                <w:szCs w:val="20"/>
                <w:color w:val="auto"/>
              </w:rPr>
            </w:pPr>
            <w:r>
              <w:rPr>
                <w:rFonts w:ascii="Arial" w:cs="Arial" w:eastAsia="Arial" w:hAnsi="Arial"/>
                <w:sz w:val="18"/>
                <w:szCs w:val="18"/>
                <w:color w:val="auto"/>
                <w:w w:val="90"/>
              </w:rPr>
              <w:t>$102,987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4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center"/>
              <w:ind w:left="176"/>
              <w:spacing w:after="0"/>
              <w:rPr>
                <w:sz w:val="20"/>
                <w:szCs w:val="20"/>
                <w:color w:val="auto"/>
              </w:rPr>
            </w:pPr>
            <w:r>
              <w:rPr>
                <w:rFonts w:ascii="Arial" w:cs="Arial" w:eastAsia="Arial" w:hAnsi="Arial"/>
                <w:sz w:val="18"/>
                <w:szCs w:val="18"/>
                <w:color w:val="auto"/>
                <w:w w:val="84"/>
              </w:rPr>
              <w:t>$ 300,000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105,000</w:t>
            </w:r>
          </w:p>
        </w:tc>
        <w:tc>
          <w:tcPr>
            <w:tcW w:w="130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4"/>
              </w:rPr>
              <w:t>$ 112,350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46" w:right="80"/>
        <w:spacing w:after="0" w:line="254" w:lineRule="auto"/>
        <w:rPr>
          <w:sz w:val="20"/>
          <w:szCs w:val="20"/>
          <w:color w:val="auto"/>
        </w:rPr>
      </w:pPr>
      <w:r>
        <w:rPr>
          <w:rFonts w:ascii="Arial" w:cs="Arial" w:eastAsia="Arial" w:hAnsi="Arial"/>
          <w:sz w:val="18"/>
          <w:szCs w:val="18"/>
          <w:color w:val="auto"/>
        </w:rPr>
        <w:t>On January 27, 2011, the Compensation Committee approved the Adjusted EBITDA target range for fiscal 2011. If the bonuses were to be paid today based on salaries as of May 15, 2011, the cash bonuses would be based on salaries earned of $811,200 for Mr. Levin, $621,920 for Mr. Hernreich and $325,000 for Mr. Molloy. Assuming we achieve 100% of the Adjusted EBITDA target for fiscal 2011, we estimate that the total potential payout would be approximately $3.9 million, of which $2.5 million would be paid to our Key Executives and Senior Executives. The Compensation Committee believes this is a competitive level of compensation and provides incentives to all of our senior executives to achieve our annual financial goals.</w:t>
      </w:r>
    </w:p>
    <w:p>
      <w:pPr>
        <w:spacing w:after="0" w:line="50" w:lineRule="exact"/>
        <w:rPr>
          <w:sz w:val="20"/>
          <w:szCs w:val="20"/>
          <w:color w:val="auto"/>
        </w:rPr>
      </w:pPr>
    </w:p>
    <w:p>
      <w:pPr>
        <w:ind w:left="346" w:right="40"/>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Adjusted EBITDA target set for fiscal 2011. The established Adjusted EBITDA target is intended to be achievable within an approximate 50% probability as a result of executing the Company’s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2011 Adjusted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w:t>
      </w:r>
    </w:p>
    <w:p>
      <w:pPr>
        <w:spacing w:after="0" w:line="24" w:lineRule="exact"/>
        <w:rPr>
          <w:sz w:val="20"/>
          <w:szCs w:val="20"/>
          <w:color w:val="auto"/>
        </w:rPr>
      </w:pPr>
    </w:p>
    <w:p>
      <w:pPr>
        <w:ind w:left="326" w:hanging="326"/>
        <w:spacing w:after="0"/>
        <w:tabs>
          <w:tab w:leader="none" w:pos="32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performance based plans</w:t>
      </w:r>
    </w:p>
    <w:p>
      <w:pPr>
        <w:spacing w:after="0" w:line="104" w:lineRule="exact"/>
        <w:rPr>
          <w:sz w:val="20"/>
          <w:szCs w:val="20"/>
          <w:color w:val="auto"/>
        </w:rPr>
      </w:pPr>
    </w:p>
    <w:p>
      <w:pPr>
        <w:ind w:left="346" w:right="360"/>
        <w:spacing w:after="0" w:line="268" w:lineRule="auto"/>
        <w:rPr>
          <w:sz w:val="20"/>
          <w:szCs w:val="20"/>
          <w:color w:val="auto"/>
        </w:rPr>
      </w:pPr>
      <w:r>
        <w:rPr>
          <w:rFonts w:ascii="Arial" w:cs="Arial" w:eastAsia="Arial" w:hAnsi="Arial"/>
          <w:sz w:val="18"/>
          <w:szCs w:val="18"/>
          <w:color w:val="auto"/>
        </w:rPr>
        <w:t>Our long-term incentives reward the achievement of meeting our current year performance objectives but the awards vest over a three-year period once earned, ultimately benefiting our stockholders while developing and retaining a strong management team.</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ind w:left="346"/>
        <w:spacing w:after="0" w:line="286" w:lineRule="auto"/>
        <w:rPr>
          <w:sz w:val="20"/>
          <w:szCs w:val="20"/>
          <w:color w:val="auto"/>
        </w:rPr>
      </w:pPr>
      <w:r>
        <w:rPr>
          <w:rFonts w:ascii="Arial" w:cs="Arial" w:eastAsia="Arial" w:hAnsi="Arial"/>
          <w:sz w:val="16"/>
          <w:szCs w:val="16"/>
          <w:color w:val="auto"/>
        </w:rPr>
        <w:t>We have a Long-Term Incentive Plan, which was most recently amended in June 2010, for which certain key members of senior management, which includes both Key Executives and Senior Executives, are eligible to participate. Pursuant to the plan, the Compensation Committee can establish, annually, targeted performance goals, as provided for under the 2006 Plan. If the Company achieves the targeted performance goals, each participant in the plan will be entitled to receive an award (depending on the target level achieved) of the participant’s “target cash value.” Target cash value is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2010, the targets were based on Adjusted EBITDA and operating margin percentage. For fiscal 2010, for a minimum threshold payout, the Company needed to achieve 85% of the financial targets in order for participants to receive an award of 80% of target cash value and, for the participants to receive a maximum award of 150% of target cash value, the Company needed to achieve 125% of the financial targets. Awards are payable based on the irrevocable election of each participant, which must be made no later than six months prior to the end of each fiscal year. The participant may irrevocably elect either cash, stock options and/or restricted shares or any combination thereof, provided that that Compensation</w:t>
      </w:r>
    </w:p>
    <w:p>
      <w:pPr>
        <w:spacing w:after="0" w:line="11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6"/>
          </w:cols>
          <w:pgMar w:left="694" w:top="280" w:right="239" w:bottom="1440" w:gutter="0" w:footer="0" w:header="0"/>
        </w:sectPr>
      </w:pPr>
    </w:p>
    <w:bookmarkStart w:id="27" w:name="page28"/>
    <w:bookmarkEnd w:id="2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in its discretion, may require that all or any portion of a participant’s award be paid in shares of restricted stock and/or stock options, as opposed to cash.</w:t>
      </w:r>
    </w:p>
    <w:p>
      <w:pPr>
        <w:spacing w:after="0" w:line="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2010, the Compensation Committee required each participant to elect to receive at least 50% of any award in either shares of restricted stock or stock options, or any combination thereof (the same requirement will apply in fiscal 2011). The awards will be granted by the Compensation Committee after the audited financial statements for the applicable fiscal year are available, which is expected to occur no later than 90 days after the close of the relevant fiscal year. Any awards granted under the plan vest ratably over a three-year period commencing on the one year anniversary of the date of grant and are subject to forfeiture.</w:t>
      </w:r>
    </w:p>
    <w:p>
      <w:pPr>
        <w:spacing w:after="0" w:line="4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For fiscal 2010, the Adjusted EBITDA target was $28.5 million and the operating margin percent target was 4.0%. As discussed above, participants were entitled to a payout of between 80% and 150% of target cash value if the Company achieved between 85% and 125% of its financial targets for fiscal 2010. In fiscal 2010, the Company achieved 103.5% of its Adjusted EBITDA target and 103.3% of its operating margin percent target, resulting in a weighted payout according to the payout curve of 106.0% of each participant’s target cash value; accordingly, on March 16, 2011, the Compensation Committee approved the grant of awards pursuant to the Long-Term Incentive Plan.</w:t>
      </w:r>
    </w:p>
    <w:p>
      <w:pPr>
        <w:spacing w:after="0" w:line="2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summarizes the overall targets, performance achievements and payout ratios under the 2010 Long-Term Incentive Plan (dollar amounts in millions):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9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Target at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Actual</w:t>
            </w:r>
          </w:p>
        </w:tc>
        <w:tc>
          <w:tcPr>
            <w:tcW w:w="15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Performance</w:t>
            </w:r>
          </w:p>
        </w:tc>
        <w:tc>
          <w:tcPr>
            <w:tcW w:w="3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Incentive</w:t>
            </w:r>
          </w:p>
        </w:tc>
        <w:tc>
          <w:tcPr>
            <w:tcW w:w="0" w:type="dxa"/>
            <w:vAlign w:val="bottom"/>
          </w:tcPr>
          <w:p>
            <w:pPr>
              <w:spacing w:after="0"/>
              <w:rPr>
                <w:sz w:val="1"/>
                <w:szCs w:val="1"/>
                <w:color w:val="auto"/>
              </w:rPr>
            </w:pPr>
          </w:p>
        </w:tc>
      </w:tr>
      <w:tr>
        <w:trPr>
          <w:trHeight w:val="161"/>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w w:val="94"/>
              </w:rPr>
              <w:t>Long-Term Incentive Performance Target</w:t>
            </w:r>
          </w:p>
        </w:tc>
        <w:tc>
          <w:tcPr>
            <w:tcW w:w="24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100%</w:t>
            </w:r>
          </w:p>
        </w:tc>
        <w:tc>
          <w:tcPr>
            <w:tcW w:w="480" w:type="dxa"/>
            <w:vAlign w:val="bottom"/>
          </w:tcPr>
          <w:p>
            <w:pPr>
              <w:spacing w:after="0"/>
              <w:rPr>
                <w:sz w:val="14"/>
                <w:szCs w:val="14"/>
                <w:color w:val="auto"/>
              </w:rPr>
            </w:pP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rPr>
              <w:t>Performance</w:t>
            </w:r>
          </w:p>
        </w:tc>
        <w:tc>
          <w:tcPr>
            <w:tcW w:w="15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Achievement</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79"/>
              </w:rPr>
              <w:t>2010</w:t>
            </w:r>
          </w:p>
        </w:tc>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Percent</w:t>
            </w:r>
          </w:p>
        </w:tc>
        <w:tc>
          <w:tcPr>
            <w:tcW w:w="1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103.5%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79"/>
              </w:rPr>
              <w:t>2010</w:t>
            </w:r>
          </w:p>
        </w:tc>
        <w:tc>
          <w:tcPr>
            <w:tcW w:w="22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  28.5</w:t>
            </w:r>
          </w:p>
        </w:tc>
        <w:tc>
          <w:tcPr>
            <w:tcW w:w="48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480" w:type="dxa"/>
            <w:vAlign w:val="bottom"/>
          </w:tcPr>
          <w:p>
            <w:pPr>
              <w:spacing w:after="0"/>
              <w:rPr>
                <w:sz w:val="18"/>
                <w:szCs w:val="18"/>
                <w:color w:val="auto"/>
              </w:rPr>
            </w:pP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103.3%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Payout</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Pursuant to the terms of the Long-Term Incentive Plan, together with the irrevocable elections of each participant, on March 16, 2011 we granted cash awards totaling $1.9 million and equity awards totaling $2.4 million, excluding potential forfeitures that may occur. The equity awards consisted of 538,661 shares of restricted stock and options to purchase 72,578 shares of common stock. Our Named Executive Officers, in aggregate, received cash awards of $0.9 million and equity awards of $1.3 million. Both the cash and equity awards will vest, based on each executive’s election, in three separate tranches, with the first tranche vesting on March 16, 2012. Except in the case of a change in control, our Senior Executives must still be employed by the Company on each annual vesting date to be entitled to the vested-portion of the award, otherwise the award is forfeited. In addition, for our Key Executives, if they are terminated for cause, the awards are forfeited, but if they are terminated without cause or they resign for “good reason” any unvested award would accelerate. The awards earned by Messrs. Hearn and Metscher for fiscal 2010 were fully forfeited due to their termination of employment. Messrs. Hearn and Metscher also forfeited two-thirds of their respective long-term incentive awards for fiscal 2009.</w:t>
      </w:r>
    </w:p>
    <w:p>
      <w:pPr>
        <w:spacing w:after="0" w:line="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summarizes the incentive opportunity and actual awards under the 2010 Long-Term Incentive Plan for each Named Executive Officer:</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gridSpan w:val="3"/>
            <w:vMerge w:val="restart"/>
          </w:tcPr>
          <w:p>
            <w:pPr>
              <w:jc w:val="center"/>
              <w:ind w:left="1576"/>
              <w:spacing w:after="0"/>
              <w:rPr>
                <w:sz w:val="20"/>
                <w:szCs w:val="20"/>
                <w:color w:val="auto"/>
              </w:rPr>
            </w:pPr>
            <w:r>
              <w:rPr>
                <w:rFonts w:ascii="Arial" w:cs="Arial" w:eastAsia="Arial" w:hAnsi="Arial"/>
                <w:sz w:val="14"/>
                <w:szCs w:val="14"/>
                <w:b w:val="1"/>
                <w:bCs w:val="1"/>
                <w:color w:val="auto"/>
                <w:w w:val="91"/>
              </w:rPr>
              <w:t>Target %</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Individual</w:t>
            </w:r>
          </w:p>
        </w:tc>
        <w:tc>
          <w:tcPr>
            <w:tcW w:w="280" w:type="dxa"/>
            <w:vAlign w:val="bottom"/>
          </w:tcPr>
          <w:p>
            <w:pPr>
              <w:spacing w:after="0"/>
              <w:rPr>
                <w:sz w:val="14"/>
                <w:szCs w:val="14"/>
                <w:color w:val="auto"/>
              </w:rPr>
            </w:pPr>
          </w:p>
        </w:tc>
        <w:tc>
          <w:tcPr>
            <w:tcW w:w="3500" w:type="dxa"/>
            <w:vAlign w:val="bottom"/>
            <w:gridSpan w:val="9"/>
          </w:tcPr>
          <w:p>
            <w:pPr>
              <w:ind w:left="200"/>
              <w:spacing w:after="0"/>
              <w:rPr>
                <w:sz w:val="20"/>
                <w:szCs w:val="20"/>
                <w:color w:val="auto"/>
              </w:rPr>
            </w:pPr>
            <w:r>
              <w:rPr>
                <w:rFonts w:ascii="Arial" w:cs="Arial" w:eastAsia="Arial" w:hAnsi="Arial"/>
                <w:sz w:val="14"/>
                <w:szCs w:val="14"/>
                <w:b w:val="1"/>
                <w:bCs w:val="1"/>
                <w:color w:val="auto"/>
                <w:w w:val="94"/>
              </w:rPr>
              <w:t>Actual Payout, based on Executive Payout Elections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7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Actual</w:t>
            </w:r>
          </w:p>
        </w:tc>
        <w:tc>
          <w:tcPr>
            <w:tcW w:w="2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19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of Base</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Year</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Award at</w:t>
            </w:r>
          </w:p>
        </w:tc>
        <w:tc>
          <w:tcPr>
            <w:tcW w:w="2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2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Restricted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Value in</w:t>
            </w:r>
          </w:p>
        </w:tc>
        <w:tc>
          <w:tcPr>
            <w:tcW w:w="0" w:type="dxa"/>
            <w:vAlign w:val="bottom"/>
          </w:tcPr>
          <w:p>
            <w:pPr>
              <w:spacing w:after="0"/>
              <w:rPr>
                <w:sz w:val="1"/>
                <w:szCs w:val="1"/>
                <w:color w:val="auto"/>
              </w:rPr>
            </w:pPr>
          </w:p>
        </w:tc>
      </w:tr>
      <w:tr>
        <w:trPr>
          <w:trHeight w:val="148"/>
        </w:trPr>
        <w:tc>
          <w:tcPr>
            <w:tcW w:w="1540" w:type="dxa"/>
            <w:vAlign w:val="bottom"/>
            <w:gridSpan w:val="2"/>
            <w:vMerge w:val="continue"/>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0"/>
              </w:rPr>
              <w:t>Salary</w:t>
            </w:r>
          </w:p>
        </w:tc>
        <w:tc>
          <w:tcPr>
            <w:tcW w:w="820" w:type="dxa"/>
            <w:vAlign w:val="bottom"/>
            <w:gridSpan w:val="2"/>
          </w:tcPr>
          <w:p>
            <w:pPr>
              <w:jc w:val="center"/>
              <w:ind w:left="16"/>
              <w:spacing w:after="0" w:line="148" w:lineRule="exact"/>
              <w:rPr>
                <w:sz w:val="20"/>
                <w:szCs w:val="20"/>
                <w:color w:val="auto"/>
              </w:rPr>
            </w:pPr>
            <w:r>
              <w:rPr>
                <w:rFonts w:ascii="Arial" w:cs="Arial" w:eastAsia="Arial" w:hAnsi="Arial"/>
                <w:sz w:val="14"/>
                <w:szCs w:val="14"/>
                <w:b w:val="1"/>
                <w:bCs w:val="1"/>
                <w:color w:val="auto"/>
                <w:w w:val="85"/>
              </w:rPr>
              <w:t>Base Salary</w:t>
            </w:r>
          </w:p>
        </w:tc>
        <w:tc>
          <w:tcPr>
            <w:tcW w:w="26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Target</w:t>
            </w:r>
          </w:p>
        </w:tc>
        <w:tc>
          <w:tcPr>
            <w:tcW w:w="280" w:type="dxa"/>
            <w:vAlign w:val="bottom"/>
          </w:tcPr>
          <w:p>
            <w:pPr>
              <w:spacing w:after="0"/>
              <w:rPr>
                <w:sz w:val="12"/>
                <w:szCs w:val="12"/>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Cash</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Dollars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9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$ 811,200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4"/>
              </w:rPr>
              <w:t>$ 811,200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$429,936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429,936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$859,872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w w:val="92"/>
              </w:rPr>
              <w:t>Dennis R. Hernreich</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$ 621,920</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$621,920</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$164,808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494,426</w:t>
            </w: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$659,234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$ 325,000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$227,500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$120,575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100,479</w:t>
            </w:r>
          </w:p>
        </w:tc>
        <w:tc>
          <w:tcPr>
            <w:tcW w:w="8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$20,096</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$241,150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Douglas Hearn(1)</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820" w:type="dxa"/>
            <w:vAlign w:val="bottom"/>
            <w:gridSpan w:val="2"/>
          </w:tcPr>
          <w:p>
            <w:pPr>
              <w:jc w:val="center"/>
              <w:ind w:left="16"/>
              <w:spacing w:after="0"/>
              <w:rPr>
                <w:sz w:val="20"/>
                <w:szCs w:val="20"/>
                <w:color w:val="auto"/>
              </w:rPr>
            </w:pPr>
            <w:r>
              <w:rPr>
                <w:rFonts w:ascii="Arial" w:cs="Arial" w:eastAsia="Arial" w:hAnsi="Arial"/>
                <w:sz w:val="18"/>
                <w:szCs w:val="18"/>
                <w:color w:val="auto"/>
                <w:w w:val="84"/>
              </w:rPr>
              <w:t>$ 275,000</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$192,500</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$102,025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102,025</w:t>
            </w:r>
          </w:p>
        </w:tc>
        <w:tc>
          <w:tcPr>
            <w:tcW w:w="26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left="172"/>
              <w:spacing w:after="0"/>
              <w:rPr>
                <w:sz w:val="20"/>
                <w:szCs w:val="20"/>
                <w:color w:val="auto"/>
              </w:rPr>
            </w:pPr>
            <w:r>
              <w:rPr>
                <w:rFonts w:ascii="Arial" w:cs="Arial" w:eastAsia="Arial" w:hAnsi="Arial"/>
                <w:sz w:val="18"/>
                <w:szCs w:val="18"/>
                <w:color w:val="auto"/>
                <w:w w:val="90"/>
              </w:rPr>
              <w:t>$204,050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89"/>
              </w:rPr>
              <w:t>Henry J. Metscher(1)</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4"/>
              </w:rPr>
              <w:t>$ 300,000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$210,000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4"/>
              </w:rPr>
              <w:t>$ 111,300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92,750</w:t>
            </w:r>
          </w:p>
        </w:tc>
        <w:tc>
          <w:tcPr>
            <w:tcW w:w="8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89"/>
              </w:rPr>
              <w:t>$18,550</w:t>
            </w:r>
          </w:p>
        </w:tc>
        <w:tc>
          <w:tcPr>
            <w:tcW w:w="94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0"/>
              </w:rPr>
              <w:t>$222,600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820" w:right="2060" w:hanging="4815"/>
        <w:spacing w:after="0" w:line="440" w:lineRule="auto"/>
        <w:tabs>
          <w:tab w:leader="none" w:pos="5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their respective terminations of employment, Messrs. Hearn’s and Metscher’s awards were fully forfeited. 26</w:t>
      </w:r>
    </w:p>
    <w:p>
      <w:pPr>
        <w:sectPr>
          <w:pgSz w:w="11900" w:h="16838" w:orient="portrait"/>
          <w:cols w:equalWidth="0" w:num="1">
            <w:col w:w="10600"/>
          </w:cols>
          <w:pgMar w:left="1040" w:top="280" w:right="259" w:bottom="1440" w:gutter="0" w:footer="0" w:header="0"/>
        </w:sectPr>
      </w:pPr>
    </w:p>
    <w:bookmarkStart w:id="28" w:name="page29"/>
    <w:bookmarkEnd w:id="28"/>
    <w:p>
      <w:pPr>
        <w:ind w:left="346"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January 27, 2011, the Compensation Committee approved the targets for fiscal 2011 which, similar to fiscal 2010, will be based on Adjusted EBITDA and operating margin percentage. For fiscal 2011, for a minimum threshold payout, the Company needs to achieve 90% of the financial targets (an increase from the 85% needed in fiscal 2010) in order for participants to receive an award of 50% of target cash value (down from 80% in fiscal 2010) and, for the participants to receive a maximum award of 150% of target cash value, the Company needed to achieve 125% of the financial targets (no change from fiscal 2010). If the targets are achieved, each award will vest, based on each executive’s election, in three separate tranches, with the first tranche vesting on the first anniversary of the date of grant. Assuming we achieve 100% for each target for fiscal 2011, we estimate that the total potential payout will be approximately $3.8 million, which will be expensed over the vesting period of approximately forty-eight months, once it is determined that the achievement of these targets is probable. However, we cannot predict if and when such targets will be met or what the allocation of this award will be between cash, stock options and/or restricted shares; provided that at least 50% must be in the form of equity. Further, the fair market closing price of our common stock will not be known until the time of grant and, accordingly, the number of stock options and restricted shares ultimately issued will also not be known until the time of grant.</w:t>
      </w:r>
    </w:p>
    <w:p>
      <w:pPr>
        <w:spacing w:after="0" w:line="33" w:lineRule="exact"/>
        <w:rPr>
          <w:sz w:val="20"/>
          <w:szCs w:val="20"/>
          <w:color w:val="auto"/>
        </w:rPr>
      </w:pPr>
    </w:p>
    <w:p>
      <w:pPr>
        <w:ind w:left="346" w:right="120"/>
        <w:spacing w:after="0" w:line="290" w:lineRule="auto"/>
        <w:rPr>
          <w:sz w:val="20"/>
          <w:szCs w:val="20"/>
          <w:color w:val="auto"/>
        </w:rPr>
      </w:pPr>
      <w:r>
        <w:rPr>
          <w:rFonts w:ascii="Arial" w:cs="Arial" w:eastAsia="Arial" w:hAnsi="Arial"/>
          <w:sz w:val="16"/>
          <w:szCs w:val="16"/>
          <w:color w:val="auto"/>
        </w:rPr>
        <w:t>The Compensation Committee believes that there is an approximate 50% probability of meeting the Adjusted EBITDA and operating margin percentages set for fiscal 2011.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2011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24" w:lineRule="exact"/>
        <w:rPr>
          <w:sz w:val="20"/>
          <w:szCs w:val="20"/>
          <w:color w:val="auto"/>
        </w:rPr>
      </w:pPr>
    </w:p>
    <w:p>
      <w:pPr>
        <w:ind w:left="326" w:hanging="326"/>
        <w:spacing w:after="0"/>
        <w:tabs>
          <w:tab w:leader="none" w:pos="32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104" w:lineRule="exact"/>
        <w:rPr>
          <w:sz w:val="20"/>
          <w:szCs w:val="20"/>
          <w:color w:val="auto"/>
        </w:rPr>
      </w:pPr>
    </w:p>
    <w:p>
      <w:pPr>
        <w:ind w:left="346" w:right="20"/>
        <w:spacing w:after="0" w:line="254" w:lineRule="auto"/>
        <w:rPr>
          <w:sz w:val="20"/>
          <w:szCs w:val="20"/>
          <w:color w:val="auto"/>
        </w:rPr>
      </w:pPr>
      <w:r>
        <w:rPr>
          <w:rFonts w:ascii="Arial" w:cs="Arial" w:eastAsia="Arial" w:hAnsi="Arial"/>
          <w:sz w:val="18"/>
          <w:szCs w:val="18"/>
          <w:color w:val="auto"/>
        </w:rPr>
        <w:t>Through fiscal 2007,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50" w:lineRule="exact"/>
        <w:rPr>
          <w:sz w:val="20"/>
          <w:szCs w:val="20"/>
          <w:color w:val="auto"/>
        </w:rPr>
      </w:pPr>
    </w:p>
    <w:p>
      <w:pPr>
        <w:ind w:left="346" w:right="180"/>
        <w:spacing w:after="0" w:line="294" w:lineRule="auto"/>
        <w:rPr>
          <w:sz w:val="20"/>
          <w:szCs w:val="20"/>
          <w:color w:val="auto"/>
        </w:rPr>
      </w:pPr>
      <w:r>
        <w:rPr>
          <w:rFonts w:ascii="Arial" w:cs="Arial" w:eastAsia="Arial" w:hAnsi="Arial"/>
          <w:sz w:val="16"/>
          <w:szCs w:val="16"/>
          <w:color w:val="auto"/>
        </w:rPr>
        <w:t>In May 2008, Messrs. Levin and Hernreich were granted options to purchase an aggregate 500,000 and 400,000 shares of our common stock, respectively, with exercise prices ranging from $4.54-$4.55, the closing price of the Company’s common stock on the date of grant. Unlike previous stock option grants to our Key Executives, which were directly tied to our previous year’s annual stock price performance, these grants to Messrs. Levin and Hernreich represented retention awards. The awards were subject to a three-year cliff vest and expire in May 2012 (</w:t>
      </w:r>
      <w:r>
        <w:rPr>
          <w:rFonts w:ascii="Arial" w:cs="Arial" w:eastAsia="Arial" w:hAnsi="Arial"/>
          <w:sz w:val="16"/>
          <w:szCs w:val="16"/>
          <w:i w:val="1"/>
          <w:iCs w:val="1"/>
          <w:color w:val="auto"/>
        </w:rPr>
        <w:t>i.e.,</w:t>
      </w:r>
      <w:r>
        <w:rPr>
          <w:rFonts w:ascii="Arial" w:cs="Arial" w:eastAsia="Arial" w:hAnsi="Arial"/>
          <w:sz w:val="16"/>
          <w:szCs w:val="16"/>
          <w:color w:val="auto"/>
        </w:rPr>
        <w:t xml:space="preserve"> the ability to exercise these awards is limited to one year, between May 2011 when the awards vested and May 2012, when they expire).</w:t>
      </w:r>
    </w:p>
    <w:p>
      <w:pPr>
        <w:spacing w:after="0" w:line="21" w:lineRule="exact"/>
        <w:rPr>
          <w:sz w:val="20"/>
          <w:szCs w:val="20"/>
          <w:color w:val="auto"/>
        </w:rPr>
      </w:pPr>
    </w:p>
    <w:p>
      <w:pPr>
        <w:ind w:left="346" w:right="220"/>
        <w:spacing w:after="0" w:line="347" w:lineRule="auto"/>
        <w:rPr>
          <w:sz w:val="20"/>
          <w:szCs w:val="20"/>
          <w:color w:val="auto"/>
        </w:rPr>
      </w:pPr>
      <w:r>
        <w:rPr>
          <w:rFonts w:ascii="Arial" w:cs="Arial" w:eastAsia="Arial" w:hAnsi="Arial"/>
          <w:sz w:val="15"/>
          <w:szCs w:val="15"/>
          <w:color w:val="auto"/>
        </w:rPr>
        <w:t>With the adoption of the Long-Term Incentive Plan in 2008, the Compensation Committee has not made annual grants of stock options. Instead, the long-term component of compensation is directly tied to the achievement of our performance measures pursuant to our Long-Term Incentive Plan.</w:t>
      </w:r>
    </w:p>
    <w:p>
      <w:pPr>
        <w:spacing w:after="0" w:line="1" w:lineRule="exact"/>
        <w:rPr>
          <w:sz w:val="20"/>
          <w:szCs w:val="20"/>
          <w:color w:val="auto"/>
        </w:rPr>
      </w:pPr>
    </w:p>
    <w:p>
      <w:pPr>
        <w:ind w:left="326" w:hanging="326"/>
        <w:spacing w:after="0"/>
        <w:tabs>
          <w:tab w:leader="none" w:pos="326"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Cash and Equity Awards</w:t>
      </w:r>
    </w:p>
    <w:p>
      <w:pPr>
        <w:spacing w:after="0" w:line="104" w:lineRule="exact"/>
        <w:rPr>
          <w:sz w:val="20"/>
          <w:szCs w:val="20"/>
          <w:color w:val="auto"/>
        </w:rPr>
      </w:pPr>
    </w:p>
    <w:p>
      <w:pPr>
        <w:ind w:left="346"/>
        <w:spacing w:after="0" w:line="259" w:lineRule="auto"/>
        <w:rPr>
          <w:sz w:val="20"/>
          <w:szCs w:val="20"/>
          <w:color w:val="auto"/>
        </w:rPr>
      </w:pPr>
      <w:r>
        <w:rPr>
          <w:rFonts w:ascii="Arial" w:cs="Arial" w:eastAsia="Arial" w:hAnsi="Arial"/>
          <w:sz w:val="18"/>
          <w:szCs w:val="18"/>
          <w:color w:val="auto"/>
        </w:rPr>
        <w:t>On March 31, 2010, the Board of Directors granted to Mr. Levin an option to purchase 347,566 shares of our common stock. The exercise price of this option is $4.55 per share and the closing price of our stock on the date of grant was $3.86 per share. The grant date fair value of the award was $361,469. The</w:t>
      </w:r>
    </w:p>
    <w:p>
      <w:pPr>
        <w:spacing w:after="0" w:line="12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6"/>
          </w:cols>
          <w:pgMar w:left="694" w:top="280" w:right="259" w:bottom="1440" w:gutter="0" w:footer="0" w:header="0"/>
        </w:sectPr>
      </w:pPr>
    </w:p>
    <w:bookmarkStart w:id="29" w:name="page30"/>
    <w:bookmarkEnd w:id="29"/>
    <w:p>
      <w:pPr>
        <w:ind w:left="346"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cliff vested on May 6, 2011 and will expire on May 6, 2012. This grant to Mr. Levin represented a retention award. The Board of Directors believes that this award was appropriate given the equity holdings of CEOs in the peer companies and in order to ensure that Mr. Levin’s compensation is closely aligned with the shareholder’s long-term interest. To avoid any appearance of impropriety, the Compensation Committee determined that the vesting price and term of vesting should be identical to the terms which governed his previous option to purchase 500,000 shares which Mr. Levin voluntarily sold to the Company in January 2009.</w:t>
      </w:r>
    </w:p>
    <w:p>
      <w:pPr>
        <w:spacing w:after="0" w:line="48" w:lineRule="exact"/>
        <w:rPr>
          <w:sz w:val="20"/>
          <w:szCs w:val="20"/>
          <w:color w:val="auto"/>
        </w:rPr>
      </w:pPr>
    </w:p>
    <w:p>
      <w:pPr>
        <w:ind w:left="326" w:hanging="326"/>
        <w:spacing w:after="0"/>
        <w:tabs>
          <w:tab w:leader="none" w:pos="326"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Other Compensation</w:t>
      </w:r>
    </w:p>
    <w:p>
      <w:pPr>
        <w:spacing w:after="0" w:line="104" w:lineRule="exact"/>
        <w:rPr>
          <w:sz w:val="20"/>
          <w:szCs w:val="20"/>
          <w:color w:val="auto"/>
        </w:rPr>
      </w:pPr>
    </w:p>
    <w:p>
      <w:pPr>
        <w:ind w:left="346" w:right="160"/>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Key Executives and Senior Executives supplemental Disability Insurance which is not offered to our other employees.</w:t>
      </w:r>
    </w:p>
    <w:p>
      <w:pPr>
        <w:spacing w:after="0" w:line="46" w:lineRule="exact"/>
        <w:rPr>
          <w:sz w:val="20"/>
          <w:szCs w:val="20"/>
          <w:color w:val="auto"/>
        </w:rPr>
      </w:pPr>
    </w:p>
    <w:p>
      <w:pPr>
        <w:ind w:left="346"/>
        <w:spacing w:after="0" w:line="268" w:lineRule="auto"/>
        <w:rPr>
          <w:sz w:val="20"/>
          <w:szCs w:val="20"/>
          <w:color w:val="auto"/>
        </w:rPr>
      </w:pPr>
      <w:r>
        <w:rPr>
          <w:rFonts w:ascii="Arial" w:cs="Arial" w:eastAsia="Arial" w:hAnsi="Arial"/>
          <w:sz w:val="18"/>
          <w:szCs w:val="18"/>
          <w:color w:val="auto"/>
        </w:rPr>
        <w:t>In addition to the foregoing, our executive officers receive benefits under certain group health, long-term disability and life insurance plans, which are generally available to all of our eligible employees.</w:t>
      </w:r>
    </w:p>
    <w:p>
      <w:pPr>
        <w:spacing w:after="0" w:line="37" w:lineRule="exact"/>
        <w:rPr>
          <w:sz w:val="20"/>
          <w:szCs w:val="20"/>
          <w:color w:val="auto"/>
        </w:rPr>
      </w:pPr>
    </w:p>
    <w:p>
      <w:pPr>
        <w:ind w:left="346" w:right="20"/>
        <w:spacing w:after="0" w:line="294" w:lineRule="auto"/>
        <w:rPr>
          <w:sz w:val="20"/>
          <w:szCs w:val="20"/>
          <w:color w:val="auto"/>
        </w:rPr>
      </w:pPr>
      <w:r>
        <w:rPr>
          <w:rFonts w:ascii="Arial" w:cs="Arial" w:eastAsia="Arial" w:hAnsi="Arial"/>
          <w:sz w:val="16"/>
          <w:szCs w:val="16"/>
          <w:color w:val="auto"/>
        </w:rPr>
        <w:t>After six months of service with us, executive officers are eligible to participate in the 401(k) Salaried Plan. Benefits under these plans are not tied to corporate performance. In particular circumstances, we also utilize cash signing bonuses and stock awards when certain employees join the Company. In May 2009, in connection with our cost reduction initiatives, the Company ceased any further employer contributions to the 401(k) Plans, effective May 31, 2009. In November 2010, the administrative committee voted to reinstate the “safe harbor” matching and vesting provision effective January 1, 2011. As a result, there were no employer contributions to the 401(k) Plans during fiscal 2010.</w:t>
      </w:r>
    </w:p>
    <w:p>
      <w:pPr>
        <w:spacing w:after="0" w:line="21" w:lineRule="exact"/>
        <w:rPr>
          <w:sz w:val="20"/>
          <w:szCs w:val="20"/>
          <w:color w:val="auto"/>
        </w:rPr>
      </w:pPr>
    </w:p>
    <w:p>
      <w:pPr>
        <w:ind w:left="326" w:hanging="326"/>
        <w:spacing w:after="0"/>
        <w:tabs>
          <w:tab w:leader="none" w:pos="326"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Based Compensation</w:t>
      </w:r>
    </w:p>
    <w:p>
      <w:pPr>
        <w:spacing w:after="0" w:line="104" w:lineRule="exact"/>
        <w:rPr>
          <w:sz w:val="20"/>
          <w:szCs w:val="20"/>
          <w:color w:val="auto"/>
        </w:rPr>
      </w:pPr>
    </w:p>
    <w:p>
      <w:pPr>
        <w:jc w:val="both"/>
        <w:ind w:left="346" w:right="4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18" w:lineRule="exact"/>
        <w:rPr>
          <w:sz w:val="20"/>
          <w:szCs w:val="20"/>
          <w:color w:val="auto"/>
        </w:rPr>
      </w:pPr>
    </w:p>
    <w:p>
      <w:pPr>
        <w:ind w:left="326" w:hanging="326"/>
        <w:spacing w:after="0"/>
        <w:tabs>
          <w:tab w:leader="none" w:pos="326"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Tax Implications</w:t>
      </w:r>
    </w:p>
    <w:p>
      <w:pPr>
        <w:spacing w:after="0" w:line="104" w:lineRule="exact"/>
        <w:rPr>
          <w:sz w:val="20"/>
          <w:szCs w:val="20"/>
          <w:color w:val="auto"/>
        </w:rPr>
      </w:pPr>
    </w:p>
    <w:p>
      <w:pPr>
        <w:ind w:left="346"/>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21" w:lineRule="exact"/>
        <w:rPr>
          <w:sz w:val="20"/>
          <w:szCs w:val="20"/>
          <w:color w:val="auto"/>
        </w:rPr>
      </w:pPr>
    </w:p>
    <w:p>
      <w:pPr>
        <w:ind w:left="346" w:right="240"/>
        <w:spacing w:after="0" w:line="259" w:lineRule="auto"/>
        <w:rPr>
          <w:sz w:val="20"/>
          <w:szCs w:val="20"/>
          <w:color w:val="auto"/>
        </w:rPr>
      </w:pPr>
      <w:r>
        <w:rPr>
          <w:rFonts w:ascii="Arial" w:cs="Arial" w:eastAsia="Arial" w:hAnsi="Arial"/>
          <w:sz w:val="18"/>
          <w:szCs w:val="18"/>
          <w:color w:val="auto"/>
        </w:rPr>
        <w:t>On August 5, 2010, the stockholders of the Company approved a proposal to amend the 2006 Plan to increase the Section 162(m)-based individual limitations on the amount of certain awards and re-approved the material terms of the 2006 Plan in order to preserve tax deductibility under Section 162(m).</w:t>
      </w:r>
    </w:p>
    <w:p>
      <w:pPr>
        <w:spacing w:after="0" w:line="127"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6"/>
          </w:cols>
          <w:pgMar w:left="694" w:top="280"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1" w:name="page32"/>
    <w:bookmarkEnd w:id="31"/>
    <w:p>
      <w:pPr>
        <w:ind w:right="140"/>
        <w:spacing w:after="0" w:line="29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r>
        <w:rPr>
          <w:rFonts w:ascii="Arial" w:cs="Arial" w:eastAsia="Arial" w:hAnsi="Arial"/>
          <w:sz w:val="16"/>
          <w:szCs w:val="16"/>
          <w:color w:val="auto"/>
        </w:rPr>
        <w:t>. The following Summary Compensation Table sets forth certain information regarding compensation paid or accrued by us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President and Chief Executive Officer, the Chief Financial Officer/Chief Operating Officer, the Senior Vice President and General Counsel, the former Senior Vice President, General Merchandise Manager, Casual Male XL and Global Sourcing and the former Senior Vice President, General Merchandise Manager, Direct Businesses and President of Footwear (collectively, the “Named Executive Officers”), for fiscal 2010.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2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All 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 ($)</w:t>
            </w: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2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Year</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w:t>
            </w:r>
          </w:p>
        </w:tc>
        <w:tc>
          <w:tcPr>
            <w:tcW w:w="260" w:type="dxa"/>
            <w:vAlign w:val="bottom"/>
          </w:tcPr>
          <w:p>
            <w:pPr>
              <w:spacing w:after="0"/>
              <w:rPr>
                <w:sz w:val="14"/>
                <w:szCs w:val="14"/>
                <w:color w:val="auto"/>
              </w:rPr>
            </w:pPr>
          </w:p>
        </w:tc>
        <w:tc>
          <w:tcPr>
            <w:tcW w:w="620" w:type="dxa"/>
            <w:vAlign w:val="bottom"/>
            <w:gridSpan w:val="3"/>
          </w:tcPr>
          <w:p>
            <w:pPr>
              <w:jc w:val="center"/>
              <w:ind w:left="52"/>
              <w:spacing w:after="0"/>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)(1)(2)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w w:val="89"/>
              </w:rPr>
              <w:t>2010</w:t>
            </w:r>
          </w:p>
        </w:tc>
        <w:tc>
          <w:tcPr>
            <w:tcW w:w="6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$ 810,420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7"/>
              </w:rPr>
              <w:t>$429,936(4)</w:t>
            </w:r>
          </w:p>
        </w:tc>
        <w:tc>
          <w:tcPr>
            <w:tcW w:w="90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$361,469(6)</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1,297,920</w:t>
            </w:r>
          </w:p>
        </w:tc>
        <w:tc>
          <w:tcPr>
            <w:tcW w:w="840" w:type="dxa"/>
            <w:vAlign w:val="bottom"/>
            <w:shd w:val="clear" w:color="auto" w:fill="CCEEFF"/>
          </w:tcPr>
          <w:p>
            <w:pPr>
              <w:ind w:left="640"/>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22,904</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2,922,649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2009</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$ 782,340</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$487,789(5)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1,661,299</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2,959,541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2008</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$ 803,400</w:t>
            </w:r>
          </w:p>
        </w:tc>
        <w:tc>
          <w:tcPr>
            <w:tcW w:w="10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$ 300,000(7)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1,948,620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80" w:type="dxa"/>
            <w:vAlign w:val="bottom"/>
            <w:gridSpan w:val="3"/>
          </w:tcPr>
          <w:p>
            <w:pPr>
              <w:spacing w:after="0"/>
              <w:rPr>
                <w:sz w:val="20"/>
                <w:szCs w:val="20"/>
                <w:color w:val="auto"/>
              </w:rPr>
            </w:pPr>
            <w:r>
              <w:rPr>
                <w:rFonts w:ascii="Arial" w:cs="Arial" w:eastAsia="Arial" w:hAnsi="Arial"/>
                <w:sz w:val="14"/>
                <w:szCs w:val="14"/>
                <w:color w:val="auto"/>
              </w:rPr>
              <w:t>Dennis R. Hernreich</w:t>
            </w: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680" w:type="dxa"/>
            <w:vAlign w:val="bottom"/>
            <w:gridSpan w:val="2"/>
          </w:tcPr>
          <w:p>
            <w:pPr>
              <w:spacing w:after="0"/>
              <w:rPr>
                <w:sz w:val="20"/>
                <w:szCs w:val="20"/>
                <w:color w:val="auto"/>
              </w:rPr>
            </w:pPr>
            <w:r>
              <w:rPr>
                <w:rFonts w:ascii="Arial" w:cs="Arial" w:eastAsia="Arial" w:hAnsi="Arial"/>
                <w:sz w:val="14"/>
                <w:szCs w:val="14"/>
                <w:color w:val="auto"/>
              </w:rPr>
              <w:t>$ 621,322</w:t>
            </w:r>
          </w:p>
        </w:tc>
        <w:tc>
          <w:tcPr>
            <w:tcW w:w="120" w:type="dxa"/>
            <w:vAlign w:val="bottom"/>
          </w:tcPr>
          <w:p>
            <w:pPr>
              <w:spacing w:after="0"/>
              <w:rPr>
                <w:sz w:val="21"/>
                <w:szCs w:val="21"/>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$494,426(4)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830,262</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23,211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1,969,221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9"/>
              </w:rPr>
              <w:t>Executive Vice President, Chief Financial Officer, Chief</w:t>
            </w:r>
          </w:p>
        </w:tc>
        <w:tc>
          <w:tcPr>
            <w:tcW w:w="7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2009</w:t>
            </w: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$ 599,794</w:t>
            </w:r>
          </w:p>
        </w:tc>
        <w:tc>
          <w:tcPr>
            <w:tcW w:w="120" w:type="dxa"/>
            <w:vAlign w:val="bottom"/>
          </w:tcPr>
          <w:p>
            <w:pPr>
              <w:spacing w:after="0"/>
              <w:rPr>
                <w:sz w:val="12"/>
                <w:szCs w:val="12"/>
                <w:color w:val="auto"/>
              </w:rPr>
            </w:pPr>
          </w:p>
        </w:tc>
        <w:tc>
          <w:tcPr>
            <w:tcW w:w="9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$373,972(5)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1,273,663</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28,264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83"/>
              </w:rPr>
              <w:t>2,275,693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2"/>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2008</w:t>
            </w:r>
          </w:p>
        </w:tc>
        <w:tc>
          <w:tcPr>
            <w:tcW w:w="680" w:type="dxa"/>
            <w:vAlign w:val="bottom"/>
            <w:gridSpan w:val="2"/>
          </w:tcPr>
          <w:p>
            <w:pPr>
              <w:spacing w:after="0"/>
              <w:rPr>
                <w:sz w:val="20"/>
                <w:szCs w:val="20"/>
                <w:color w:val="auto"/>
              </w:rPr>
            </w:pPr>
            <w:r>
              <w:rPr>
                <w:rFonts w:ascii="Arial" w:cs="Arial" w:eastAsia="Arial" w:hAnsi="Arial"/>
                <w:sz w:val="14"/>
                <w:szCs w:val="14"/>
                <w:color w:val="auto"/>
              </w:rPr>
              <w:t>$ 615,940</w:t>
            </w:r>
          </w:p>
        </w:tc>
        <w:tc>
          <w:tcPr>
            <w:tcW w:w="1060" w:type="dxa"/>
            <w:vAlign w:val="bottom"/>
            <w:gridSpan w:val="3"/>
          </w:tcPr>
          <w:p>
            <w:pPr>
              <w:ind w:left="120"/>
              <w:spacing w:after="0"/>
              <w:rPr>
                <w:sz w:val="20"/>
                <w:szCs w:val="20"/>
                <w:color w:val="auto"/>
              </w:rPr>
            </w:pPr>
            <w:r>
              <w:rPr>
                <w:rFonts w:ascii="Arial" w:cs="Arial" w:eastAsia="Arial" w:hAnsi="Arial"/>
                <w:sz w:val="14"/>
                <w:szCs w:val="14"/>
                <w:color w:val="auto"/>
              </w:rPr>
              <w:t>$ 240,000(7)</w:t>
            </w:r>
          </w:p>
        </w:tc>
        <w:tc>
          <w:tcPr>
            <w:tcW w:w="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$660,000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25,323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1,541,263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7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2010</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$ 324,688</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$100,479(4)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20,096(4)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242,288</w:t>
            </w:r>
          </w:p>
        </w:tc>
        <w:tc>
          <w:tcPr>
            <w:tcW w:w="8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General Counsel</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2009</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$ 313,438</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70,400(5)</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22,800(5)</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369,755</w:t>
            </w:r>
          </w:p>
        </w:tc>
        <w:tc>
          <w:tcPr>
            <w:tcW w:w="8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14,729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791,122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2008</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$ 321,875</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$ 16,600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80" w:type="dxa"/>
            <w:vAlign w:val="bottom"/>
            <w:gridSpan w:val="3"/>
          </w:tcPr>
          <w:p>
            <w:pPr>
              <w:spacing w:after="0"/>
              <w:rPr>
                <w:sz w:val="20"/>
                <w:szCs w:val="20"/>
                <w:color w:val="auto"/>
              </w:rPr>
            </w:pPr>
            <w:r>
              <w:rPr>
                <w:rFonts w:ascii="Arial" w:cs="Arial" w:eastAsia="Arial" w:hAnsi="Arial"/>
                <w:sz w:val="14"/>
                <w:szCs w:val="14"/>
                <w:color w:val="auto"/>
              </w:rPr>
              <w:t>Douglas Hearn</w:t>
            </w: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2010</w:t>
            </w:r>
          </w:p>
        </w:tc>
        <w:tc>
          <w:tcPr>
            <w:tcW w:w="680" w:type="dxa"/>
            <w:vAlign w:val="bottom"/>
            <w:gridSpan w:val="2"/>
          </w:tcPr>
          <w:p>
            <w:pPr>
              <w:spacing w:after="0"/>
              <w:rPr>
                <w:sz w:val="20"/>
                <w:szCs w:val="20"/>
                <w:color w:val="auto"/>
              </w:rPr>
            </w:pPr>
            <w:r>
              <w:rPr>
                <w:rFonts w:ascii="Arial" w:cs="Arial" w:eastAsia="Arial" w:hAnsi="Arial"/>
                <w:sz w:val="14"/>
                <w:szCs w:val="14"/>
                <w:color w:val="auto"/>
              </w:rPr>
              <w:t>$ 274,760</w:t>
            </w:r>
          </w:p>
        </w:tc>
        <w:tc>
          <w:tcPr>
            <w:tcW w:w="120" w:type="dxa"/>
            <w:vAlign w:val="bottom"/>
          </w:tcPr>
          <w:p>
            <w:pPr>
              <w:spacing w:after="0"/>
              <w:rPr>
                <w:sz w:val="21"/>
                <w:szCs w:val="21"/>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w w:val="87"/>
              </w:rPr>
              <w:t>$102,025(4)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205,012</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10,998</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592,795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3"/>
              </w:rPr>
              <w:t>Former Senior Vice President, General Merchandise</w:t>
            </w:r>
          </w:p>
        </w:tc>
        <w:tc>
          <w:tcPr>
            <w:tcW w:w="7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2009</w:t>
            </w: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$ 256,010</w:t>
            </w:r>
          </w:p>
        </w:tc>
        <w:tc>
          <w:tcPr>
            <w:tcW w:w="120" w:type="dxa"/>
            <w:vAlign w:val="bottom"/>
          </w:tcPr>
          <w:p>
            <w:pPr>
              <w:spacing w:after="0"/>
              <w:rPr>
                <w:sz w:val="12"/>
                <w:szCs w:val="12"/>
                <w:color w:val="auto"/>
              </w:rPr>
            </w:pPr>
          </w:p>
        </w:tc>
        <w:tc>
          <w:tcPr>
            <w:tcW w:w="9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24,800(5)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357,876</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13,760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652,446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2"/>
          </w:tcPr>
          <w:p>
            <w:pPr>
              <w:ind w:left="200"/>
              <w:spacing w:after="0"/>
              <w:rPr>
                <w:sz w:val="20"/>
                <w:szCs w:val="20"/>
                <w:color w:val="auto"/>
              </w:rPr>
            </w:pPr>
            <w:r>
              <w:rPr>
                <w:rFonts w:ascii="Arial" w:cs="Arial" w:eastAsia="Arial" w:hAnsi="Arial"/>
                <w:sz w:val="14"/>
                <w:szCs w:val="14"/>
                <w:color w:val="auto"/>
                <w:w w:val="98"/>
              </w:rPr>
              <w:t>Manager, Casual Male XL and Global Sourcing(8)</w:t>
            </w:r>
          </w:p>
        </w:tc>
        <w:tc>
          <w:tcPr>
            <w:tcW w:w="700" w:type="dxa"/>
            <w:vAlign w:val="bottom"/>
            <w:gridSpan w:val="3"/>
          </w:tcPr>
          <w:p>
            <w:pPr>
              <w:jc w:val="right"/>
              <w:ind w:right="240"/>
              <w:spacing w:after="0"/>
              <w:rPr>
                <w:sz w:val="20"/>
                <w:szCs w:val="20"/>
                <w:color w:val="auto"/>
              </w:rPr>
            </w:pPr>
            <w:r>
              <w:rPr>
                <w:rFonts w:ascii="Arial" w:cs="Arial" w:eastAsia="Arial" w:hAnsi="Arial"/>
                <w:sz w:val="14"/>
                <w:szCs w:val="14"/>
                <w:color w:val="auto"/>
              </w:rPr>
              <w:t>2008</w:t>
            </w:r>
          </w:p>
        </w:tc>
        <w:tc>
          <w:tcPr>
            <w:tcW w:w="680" w:type="dxa"/>
            <w:vAlign w:val="bottom"/>
            <w:gridSpan w:val="2"/>
          </w:tcPr>
          <w:p>
            <w:pPr>
              <w:spacing w:after="0"/>
              <w:rPr>
                <w:sz w:val="20"/>
                <w:szCs w:val="20"/>
                <w:color w:val="auto"/>
              </w:rPr>
            </w:pPr>
            <w:r>
              <w:rPr>
                <w:rFonts w:ascii="Arial" w:cs="Arial" w:eastAsia="Arial" w:hAnsi="Arial"/>
                <w:sz w:val="14"/>
                <w:szCs w:val="14"/>
                <w:color w:val="auto"/>
              </w:rPr>
              <w:t>$ 159,615</w:t>
            </w:r>
          </w:p>
        </w:tc>
        <w:tc>
          <w:tcPr>
            <w:tcW w:w="120" w:type="dxa"/>
            <w:vAlign w:val="bottom"/>
          </w:tcPr>
          <w:p>
            <w:pPr>
              <w:spacing w:after="0"/>
              <w:rPr>
                <w:sz w:val="14"/>
                <w:szCs w:val="14"/>
                <w:color w:val="auto"/>
              </w:rPr>
            </w:pPr>
          </w:p>
        </w:tc>
        <w:tc>
          <w:tcPr>
            <w:tcW w:w="94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17,700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4,597</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181,912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70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2010</w:t>
            </w:r>
          </w:p>
        </w:tc>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$ 299,712</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92,750(4)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18,550(4)</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223,650</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644,711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4"/>
                <w:szCs w:val="14"/>
                <w:color w:val="auto"/>
                <w:w w:val="93"/>
              </w:rPr>
              <w:t>Former Senior Vice President, General Merchandise</w:t>
            </w:r>
          </w:p>
        </w:tc>
        <w:tc>
          <w:tcPr>
            <w:tcW w:w="16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w w:val="89"/>
              </w:rPr>
              <w:t>2009</w:t>
            </w:r>
          </w:p>
        </w:tc>
        <w:tc>
          <w:tcPr>
            <w:tcW w:w="6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$ 289,327</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w w:val="96"/>
              </w:rPr>
              <w:t>24,800(5)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404,450</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8,400</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726,977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gridSpan w:val="2"/>
            <w:vMerge w:val="restart"/>
            <w:shd w:val="clear" w:color="auto" w:fill="CCEEFF"/>
          </w:tcPr>
          <w:p>
            <w:pPr>
              <w:ind w:left="200"/>
              <w:spacing w:after="0" w:line="149" w:lineRule="exact"/>
              <w:rPr>
                <w:sz w:val="20"/>
                <w:szCs w:val="20"/>
                <w:color w:val="auto"/>
              </w:rPr>
            </w:pPr>
            <w:r>
              <w:rPr>
                <w:rFonts w:ascii="Arial" w:cs="Arial" w:eastAsia="Arial" w:hAnsi="Arial"/>
                <w:sz w:val="14"/>
                <w:szCs w:val="14"/>
                <w:color w:val="auto"/>
              </w:rPr>
              <w:t>Manager, Direct Businesses and President of</w:t>
            </w:r>
          </w:p>
        </w:tc>
        <w:tc>
          <w:tcPr>
            <w:tcW w:w="160" w:type="dxa"/>
            <w:vAlign w:val="bottom"/>
            <w:shd w:val="clear" w:color="auto" w:fill="CCEEFF"/>
          </w:tcPr>
          <w:p>
            <w:pPr>
              <w:spacing w:after="0"/>
              <w:rPr>
                <w:sz w:val="6"/>
                <w:szCs w:val="6"/>
                <w:color w:val="auto"/>
              </w:rPr>
            </w:pPr>
          </w:p>
        </w:tc>
        <w:tc>
          <w:tcPr>
            <w:tcW w:w="540" w:type="dxa"/>
            <w:vAlign w:val="bottom"/>
            <w:gridSpan w:val="2"/>
            <w:vMerge w:val="continue"/>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80" w:type="dxa"/>
            <w:vAlign w:val="bottom"/>
            <w:vMerge w:val="continue"/>
            <w:shd w:val="clear" w:color="auto" w:fill="CCEEFF"/>
          </w:tcPr>
          <w:p>
            <w:pPr>
              <w:spacing w:after="0"/>
              <w:rPr>
                <w:sz w:val="6"/>
                <w:szCs w:val="6"/>
                <w:color w:val="auto"/>
              </w:rPr>
            </w:pPr>
          </w:p>
        </w:tc>
        <w:tc>
          <w:tcPr>
            <w:tcW w:w="7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32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2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Footwear(8)</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w w:val="89"/>
              </w:rPr>
              <w:t>2008</w:t>
            </w:r>
          </w:p>
        </w:tc>
        <w:tc>
          <w:tcPr>
            <w:tcW w:w="6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$ 293,750</w:t>
            </w:r>
          </w:p>
        </w:tc>
        <w:tc>
          <w:tcPr>
            <w:tcW w:w="1060" w:type="dxa"/>
            <w:vAlign w:val="bottom"/>
            <w:gridSpan w:val="3"/>
            <w:shd w:val="clear" w:color="auto" w:fill="CCEEFF"/>
          </w:tcPr>
          <w:p>
            <w:pPr>
              <w:ind w:left="120"/>
              <w:spacing w:after="0" w:line="159" w:lineRule="exact"/>
              <w:rPr>
                <w:sz w:val="20"/>
                <w:szCs w:val="20"/>
                <w:color w:val="auto"/>
              </w:rPr>
            </w:pPr>
            <w:r>
              <w:rPr>
                <w:rFonts w:ascii="Arial" w:cs="Arial" w:eastAsia="Arial" w:hAnsi="Arial"/>
                <w:sz w:val="14"/>
                <w:szCs w:val="14"/>
                <w:color w:val="auto"/>
              </w:rPr>
              <w:t>$  10,746(7)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4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8,100</w:t>
            </w:r>
          </w:p>
        </w:tc>
        <w:tc>
          <w:tcPr>
            <w:tcW w:w="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312,596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180" w:hanging="332"/>
        <w:spacing w:after="0" w:line="27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amounts shown in the Stock Awards and Option Awards columns represent the aggregate grant date fair value of awards computed in accordance with FASB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2010 and Outstanding Equity Awards at 2010 Fiscal Year End tables below.</w:t>
      </w:r>
    </w:p>
    <w:p>
      <w:pPr>
        <w:spacing w:after="0" w:line="21" w:lineRule="exact"/>
        <w:rPr>
          <w:rFonts w:ascii="Arial" w:cs="Arial" w:eastAsia="Arial" w:hAnsi="Arial"/>
          <w:sz w:val="12"/>
          <w:szCs w:val="12"/>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table “Discretionary and Incentive-Based Awards” below provides a detailed breakdown with respect to awards earned.</w:t>
      </w:r>
    </w:p>
    <w:p>
      <w:pPr>
        <w:ind w:left="360" w:right="80"/>
        <w:spacing w:after="0" w:line="258"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For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w:t>
      </w:r>
    </w:p>
    <w:p>
      <w:pPr>
        <w:spacing w:after="0" w:line="1" w:lineRule="exact"/>
        <w:rPr>
          <w:rFonts w:ascii="Arial" w:cs="Arial" w:eastAsia="Arial" w:hAnsi="Arial"/>
          <w:sz w:val="14"/>
          <w:szCs w:val="14"/>
          <w:color w:val="auto"/>
        </w:rPr>
      </w:pPr>
    </w:p>
    <w:p>
      <w:pPr>
        <w:ind w:left="360" w:right="140"/>
        <w:spacing w:after="0" w:line="277" w:lineRule="auto"/>
        <w:rPr>
          <w:rFonts w:ascii="Arial" w:cs="Arial" w:eastAsia="Arial" w:hAnsi="Arial"/>
          <w:sz w:val="14"/>
          <w:szCs w:val="14"/>
          <w:color w:val="auto"/>
        </w:rPr>
      </w:pPr>
      <w:r>
        <w:rPr>
          <w:rFonts w:ascii="Arial" w:cs="Arial" w:eastAsia="Arial" w:hAnsi="Arial"/>
          <w:sz w:val="12"/>
          <w:szCs w:val="12"/>
          <w:color w:val="auto"/>
        </w:rPr>
        <w:t>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w:t>
      </w:r>
    </w:p>
    <w:p>
      <w:pPr>
        <w:spacing w:after="0" w:line="23"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See table “All Other Compensation” below for a breakdown.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2" w:name="page33"/>
    <w:bookmarkEnd w:id="32"/>
    <w:p>
      <w:pPr>
        <w:ind w:left="340" w:right="100" w:hanging="332"/>
        <w:spacing w:after="0" w:line="266"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Molloy, Hearn and Metscher of $429,936, $494,426, $120,575 ($100,479 stock awards and $20,096 stock options), $102,025, and $111,300 ($92,750 stock awards and $18,550 stock options), respectively. The Compensation Committee approved the targets of the 2010 LTIP on April 9, 2010 (the service inception date), at which point the fair value of the performance equity awards, based upon the probable outcome of the performance condition on that date, approximated $324,480, $124,384, $91,000 ($75,833 stock awards and $15,167 stock options), $77,000 and $84,000 ($70,000 stock awards and $14,000 stock options) for Messrs. Levin, Hernreich, Molloy, Hearn and Metscher, respectively, excluding the effect of estimated forfeitures. If the highest level of performance were to be assumed, the fair value of the performance equity awards on April 9, 2010 would be $608,400, $233,220, $170,825 ($142,354 stock awards and $28,471 stock options), $144,375 and $157,500 ($131,250 stock awards and $26,250 stock options) for Messrs. Levin, Hernreich, Molloy, Hearn and Metscher, respectively, excluding the effect of estimated forfeitures.</w:t>
      </w:r>
    </w:p>
    <w:p>
      <w:pPr>
        <w:spacing w:after="0" w:line="32" w:lineRule="exact"/>
        <w:rPr>
          <w:rFonts w:ascii="Arial" w:cs="Arial" w:eastAsia="Arial" w:hAnsi="Arial"/>
          <w:sz w:val="12"/>
          <w:szCs w:val="12"/>
          <w:color w:val="auto"/>
        </w:rPr>
      </w:pPr>
    </w:p>
    <w:p>
      <w:pPr>
        <w:ind w:left="340" w:right="80" w:hanging="332"/>
        <w:spacing w:after="0" w:line="270" w:lineRule="auto"/>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Included in the above table is the actual grant date fair value of performance equity awards (restricted stock and stock options) issued on March 19, 2010, pursuant to the Company’s LTIP for fiscal 2009 performance for Messrs. Levin, Hernreich and Molloy of $487,789, $373,972 and $68,400 ($45,600 stock awards and $22,800 stock options), respectively. The Compensation Committee approved the targets of the LTIP on April 29, 2009 (the service inception date), at which point the fair value of the performance equity awards, based upon the probable outcome of the performance condition on that date, approximated $312,936, $239,918 and $43,881($29,254 stock awards and $14,627 stock options) for Messrs. Levin, Hernreich and Molloy, respectively, excluding the effect of estimated forfeitures. If the highest level of performance were to be assumed the fair value of the performance equity awards on April 29, 2009 would be $586,755, $449,846 and $82,277 ($54,852 stock awards and $27,425 stock options), respectively, excluding the effect of estimated forfeitures.</w:t>
      </w:r>
    </w:p>
    <w:p>
      <w:pPr>
        <w:spacing w:after="0" w:line="27" w:lineRule="exact"/>
        <w:rPr>
          <w:rFonts w:ascii="Arial" w:cs="Arial" w:eastAsia="Arial" w:hAnsi="Arial"/>
          <w:sz w:val="12"/>
          <w:szCs w:val="12"/>
          <w:color w:val="auto"/>
        </w:rPr>
      </w:pPr>
    </w:p>
    <w:p>
      <w:pPr>
        <w:ind w:left="340" w:right="60" w:hanging="332"/>
        <w:spacing w:after="0" w:line="239"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will expire on May 6, 2012.</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 May 2009, Messrs. Levin and Hernreich received discretionary bonuses of $300,000 and $240,000, respectively, for fiscal 2008. Mr. Metscher received a discretionary bonus $10,746 in fiscal 2008.</w:t>
      </w:r>
    </w:p>
    <w:p>
      <w:pPr>
        <w:spacing w:after="0" w:line="78" w:lineRule="exact"/>
        <w:rPr>
          <w:rFonts w:ascii="Arial" w:cs="Arial" w:eastAsia="Arial" w:hAnsi="Arial"/>
          <w:sz w:val="12"/>
          <w:szCs w:val="12"/>
          <w:color w:val="auto"/>
        </w:rPr>
      </w:pPr>
    </w:p>
    <w:p>
      <w:pPr>
        <w:jc w:val="both"/>
        <w:ind w:left="340" w:right="20" w:hanging="332"/>
        <w:spacing w:after="0" w:line="233"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On April 25, 2011, Mr. Hearn’s employment was terminated and on May 14, 2011, Mr. Metscher’s employment was terminated. Because the employment of Messrs. Hearn and Metscher terminated before the vesting of their 2010 LTIP award, the full value of the LITP award of $204,050 and $222,600, respectively was forfeited. In addition, the unvested portion of Messrs. Hearn’s and Metscher’s 2009 LTIP award of $148,981 and $168,369, respectively, was also forfeited.</w:t>
      </w:r>
    </w:p>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8"/>
              </w:rPr>
              <w:t>Long-Term Incentive Plan</w:t>
            </w: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Annual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7"/>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All Awards Subject to Three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Discretionary Awards</w:t>
            </w:r>
          </w:p>
        </w:tc>
        <w:tc>
          <w:tcPr>
            <w:tcW w:w="1380" w:type="dxa"/>
            <w:vAlign w:val="bottom"/>
            <w:gridSpan w:val="5"/>
          </w:tcPr>
          <w:p>
            <w:pPr>
              <w:jc w:val="center"/>
              <w:ind w:left="392"/>
              <w:spacing w:after="0"/>
              <w:rPr>
                <w:sz w:val="20"/>
                <w:szCs w:val="20"/>
                <w:color w:val="auto"/>
              </w:rPr>
            </w:pPr>
            <w:r>
              <w:rPr>
                <w:rFonts w:ascii="Arial" w:cs="Arial" w:eastAsia="Arial" w:hAnsi="Arial"/>
                <w:sz w:val="14"/>
                <w:szCs w:val="14"/>
                <w:b w:val="1"/>
                <w:bCs w:val="1"/>
                <w:color w:val="auto"/>
                <w:w w:val="86"/>
              </w:rPr>
              <w:t>Year Vesting(1)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4"/>
                <w:szCs w:val="14"/>
                <w:color w:val="auto"/>
              </w:rPr>
            </w:pPr>
          </w:p>
        </w:tc>
        <w:tc>
          <w:tcPr>
            <w:tcW w:w="2980" w:type="dxa"/>
            <w:vAlign w:val="bottom"/>
            <w:gridSpan w:val="10"/>
          </w:tcPr>
          <w:p>
            <w:pPr>
              <w:ind w:left="260"/>
              <w:spacing w:after="0"/>
              <w:rPr>
                <w:sz w:val="20"/>
                <w:szCs w:val="20"/>
                <w:color w:val="auto"/>
              </w:rPr>
            </w:pPr>
            <w:r>
              <w:rPr>
                <w:rFonts w:ascii="Arial" w:cs="Arial" w:eastAsia="Arial" w:hAnsi="Arial"/>
                <w:sz w:val="14"/>
                <w:szCs w:val="14"/>
                <w:b w:val="1"/>
                <w:bCs w:val="1"/>
                <w:color w:val="auto"/>
                <w:w w:val="97"/>
              </w:rPr>
              <w:t>Totals per Summary Compensation Table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Bonus-</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Stock</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Option</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w:t>
            </w: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2"/>
                <w:szCs w:val="12"/>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Stock</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Cash</w:t>
            </w: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Awards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Awards</w:t>
            </w:r>
          </w:p>
        </w:tc>
        <w:tc>
          <w:tcPr>
            <w:tcW w:w="6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Awards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54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2"/>
              </w:rPr>
              <w:t>Bonus</w:t>
            </w:r>
          </w:p>
        </w:tc>
        <w:tc>
          <w:tcPr>
            <w:tcW w:w="2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Awards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58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2010</w:t>
            </w:r>
          </w:p>
        </w:tc>
        <w:tc>
          <w:tcPr>
            <w:tcW w:w="70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2" w:lineRule="exact"/>
              <w:rPr>
                <w:sz w:val="20"/>
                <w:szCs w:val="20"/>
                <w:color w:val="auto"/>
              </w:rPr>
            </w:pPr>
            <w:r>
              <w:rPr>
                <w:rFonts w:ascii="Arial" w:cs="Arial" w:eastAsia="Arial" w:hAnsi="Arial"/>
                <w:sz w:val="14"/>
                <w:szCs w:val="14"/>
                <w:color w:val="auto"/>
                <w:w w:val="88"/>
              </w:rPr>
              <w:t>$361,469</w:t>
            </w:r>
          </w:p>
        </w:tc>
        <w:tc>
          <w:tcPr>
            <w:tcW w:w="600" w:type="dxa"/>
            <w:vAlign w:val="bottom"/>
            <w:gridSpan w:val="2"/>
            <w:shd w:val="clear" w:color="auto" w:fill="CCEEFF"/>
          </w:tcPr>
          <w:p>
            <w:pPr>
              <w:jc w:val="center"/>
              <w:ind w:right="80"/>
              <w:spacing w:after="0" w:line="142" w:lineRule="exact"/>
              <w:rPr>
                <w:sz w:val="20"/>
                <w:szCs w:val="20"/>
                <w:color w:val="auto"/>
              </w:rPr>
            </w:pPr>
            <w:r>
              <w:rPr>
                <w:rFonts w:ascii="Arial" w:cs="Arial" w:eastAsia="Arial" w:hAnsi="Arial"/>
                <w:sz w:val="14"/>
                <w:szCs w:val="14"/>
                <w:color w:val="auto"/>
                <w:w w:val="88"/>
              </w:rPr>
              <w:t>$429,936</w:t>
            </w: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429,936</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867,984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86"/>
              </w:rPr>
              <w:t>429,936</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82"/>
              </w:rPr>
              <w:t>361,469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1,297,920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2009</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$487,789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487,789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1,173,510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487,789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1,661,299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2008</w:t>
            </w:r>
          </w:p>
        </w:tc>
        <w:tc>
          <w:tcPr>
            <w:tcW w:w="7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8"/>
              </w:rPr>
              <w:t>$300,000</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$825,000</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$300,000</w:t>
            </w:r>
          </w:p>
        </w:tc>
        <w:tc>
          <w:tcPr>
            <w:tcW w:w="2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825,000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6"/>
              </w:rPr>
              <w:t>2010</w:t>
            </w: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8"/>
              </w:rPr>
              <w:t>$164,808</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494,426</w:t>
            </w:r>
          </w:p>
        </w:tc>
        <w:tc>
          <w:tcPr>
            <w:tcW w:w="180" w:type="dxa"/>
            <w:vAlign w:val="bottom"/>
          </w:tcPr>
          <w:p>
            <w:pPr>
              <w:spacing w:after="0"/>
              <w:rPr>
                <w:sz w:val="11"/>
                <w:szCs w:val="11"/>
                <w:color w:val="auto"/>
              </w:rPr>
            </w:pP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665,454</w:t>
            </w:r>
          </w:p>
        </w:tc>
        <w:tc>
          <w:tcPr>
            <w:tcW w:w="160" w:type="dxa"/>
            <w:vAlign w:val="bottom"/>
          </w:tcPr>
          <w:p>
            <w:pPr>
              <w:spacing w:after="0"/>
              <w:rPr>
                <w:sz w:val="11"/>
                <w:szCs w:val="11"/>
                <w:color w:val="auto"/>
              </w:rPr>
            </w:pPr>
          </w:p>
        </w:tc>
        <w:tc>
          <w:tcPr>
            <w:tcW w:w="52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6"/>
              </w:rPr>
              <w:t>494,426</w:t>
            </w:r>
          </w:p>
        </w:tc>
        <w:tc>
          <w:tcPr>
            <w:tcW w:w="80" w:type="dxa"/>
            <w:vAlign w:val="bottom"/>
          </w:tcPr>
          <w:p>
            <w:pPr>
              <w:spacing w:after="0"/>
              <w:rPr>
                <w:sz w:val="11"/>
                <w:szCs w:val="11"/>
                <w:color w:val="auto"/>
              </w:rPr>
            </w:pP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830,262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2009</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$373,972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373,972</w:t>
            </w:r>
          </w:p>
        </w:tc>
        <w:tc>
          <w:tcPr>
            <w:tcW w:w="1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899,691</w:t>
            </w:r>
          </w:p>
        </w:tc>
        <w:tc>
          <w:tcPr>
            <w:tcW w:w="16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373,972</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1,273,663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2008</w:t>
            </w:r>
          </w:p>
        </w:tc>
        <w:tc>
          <w:tcPr>
            <w:tcW w:w="70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8"/>
              </w:rPr>
              <w:t>$240,000</w:t>
            </w: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8"/>
              </w:rPr>
              <w:t>$660,000</w:t>
            </w:r>
          </w:p>
        </w:tc>
        <w:tc>
          <w:tcPr>
            <w:tcW w:w="6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$240,000</w:t>
            </w:r>
          </w:p>
        </w:tc>
        <w:tc>
          <w:tcPr>
            <w:tcW w:w="24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2"/>
              </w:rPr>
              <w:t>660,000</w:t>
            </w:r>
          </w:p>
        </w:tc>
        <w:tc>
          <w:tcPr>
            <w:tcW w:w="60" w:type="dxa"/>
            <w:vAlign w:val="bottom"/>
          </w:tcPr>
          <w:p>
            <w:pPr>
              <w:spacing w:after="0"/>
              <w:rPr>
                <w:sz w:val="13"/>
                <w:szCs w:val="13"/>
                <w:color w:val="auto"/>
              </w:rPr>
            </w:pPr>
          </w:p>
        </w:tc>
        <w:tc>
          <w:tcPr>
            <w:tcW w:w="8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5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2010</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$120,575</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100,479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$20,096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121,713</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100,479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20,096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2009</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$24,800</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$205,200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45,600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$22,800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164,555</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70,400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22,800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369,755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2008</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$ 16,600</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16,600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gridSpan w:val="2"/>
          </w:tcPr>
          <w:p>
            <w:pPr>
              <w:spacing w:after="0" w:line="138" w:lineRule="exact"/>
              <w:rPr>
                <w:sz w:val="20"/>
                <w:szCs w:val="20"/>
                <w:color w:val="auto"/>
              </w:rPr>
            </w:pPr>
            <w:r>
              <w:rPr>
                <w:rFonts w:ascii="Arial" w:cs="Arial" w:eastAsia="Arial" w:hAnsi="Arial"/>
                <w:sz w:val="14"/>
                <w:szCs w:val="14"/>
                <w:color w:val="auto"/>
              </w:rPr>
              <w:t>Douglas Hearn</w:t>
            </w: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96"/>
              </w:rPr>
              <w:t>2010</w:t>
            </w:r>
          </w:p>
        </w:tc>
        <w:tc>
          <w:tcPr>
            <w:tcW w:w="700" w:type="dxa"/>
            <w:vAlign w:val="bottom"/>
            <w:gridSpan w:val="2"/>
          </w:tcPr>
          <w:p>
            <w:pPr>
              <w:ind w:left="3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8"/>
              </w:rPr>
              <w:t>$102,025</w:t>
            </w:r>
          </w:p>
        </w:tc>
        <w:tc>
          <w:tcPr>
            <w:tcW w:w="16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102,025</w:t>
            </w:r>
          </w:p>
        </w:tc>
        <w:tc>
          <w:tcPr>
            <w:tcW w:w="180" w:type="dxa"/>
            <w:vAlign w:val="bottom"/>
          </w:tcPr>
          <w:p>
            <w:pPr>
              <w:spacing w:after="0"/>
              <w:rPr>
                <w:sz w:val="11"/>
                <w:szCs w:val="11"/>
                <w:color w:val="auto"/>
              </w:rPr>
            </w:pP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3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102,987</w:t>
            </w:r>
          </w:p>
        </w:tc>
        <w:tc>
          <w:tcPr>
            <w:tcW w:w="160" w:type="dxa"/>
            <w:vAlign w:val="bottom"/>
          </w:tcPr>
          <w:p>
            <w:pPr>
              <w:spacing w:after="0"/>
              <w:rPr>
                <w:sz w:val="11"/>
                <w:szCs w:val="11"/>
                <w:color w:val="auto"/>
              </w:rPr>
            </w:pPr>
          </w:p>
        </w:tc>
        <w:tc>
          <w:tcPr>
            <w:tcW w:w="52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w w:val="86"/>
              </w:rPr>
              <w:t>102,025</w:t>
            </w:r>
          </w:p>
        </w:tc>
        <w:tc>
          <w:tcPr>
            <w:tcW w:w="80" w:type="dxa"/>
            <w:vAlign w:val="bottom"/>
          </w:tcPr>
          <w:p>
            <w:pPr>
              <w:spacing w:after="0"/>
              <w:rPr>
                <w:sz w:val="11"/>
                <w:szCs w:val="11"/>
                <w:color w:val="auto"/>
              </w:rPr>
            </w:pPr>
          </w:p>
        </w:tc>
        <w:tc>
          <w:tcPr>
            <w:tcW w:w="6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205,012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2009</w:t>
            </w:r>
          </w:p>
        </w:tc>
        <w:tc>
          <w:tcPr>
            <w:tcW w:w="7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$24,800</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$223,471</w:t>
            </w:r>
          </w:p>
        </w:tc>
        <w:tc>
          <w:tcPr>
            <w:tcW w:w="16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134,405</w:t>
            </w:r>
          </w:p>
        </w:tc>
        <w:tc>
          <w:tcPr>
            <w:tcW w:w="16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24,800</w:t>
            </w: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357,876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2008</w:t>
            </w:r>
          </w:p>
        </w:tc>
        <w:tc>
          <w:tcPr>
            <w:tcW w:w="7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95"/>
              </w:rPr>
              <w:t>$ 17,700</w:t>
            </w:r>
          </w:p>
        </w:tc>
        <w:tc>
          <w:tcPr>
            <w:tcW w:w="60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ind w:left="32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7"/>
              </w:rPr>
              <w:t>17,700</w:t>
            </w:r>
          </w:p>
        </w:tc>
        <w:tc>
          <w:tcPr>
            <w:tcW w:w="60" w:type="dxa"/>
            <w:vAlign w:val="bottom"/>
          </w:tcPr>
          <w:p>
            <w:pPr>
              <w:spacing w:after="0"/>
              <w:rPr>
                <w:sz w:val="13"/>
                <w:szCs w:val="13"/>
                <w:color w:val="auto"/>
              </w:rPr>
            </w:pPr>
          </w:p>
        </w:tc>
        <w:tc>
          <w:tcPr>
            <w:tcW w:w="84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5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2010</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$ 111,300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92,750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$18,550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112,350</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92,750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18,550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2009</w:t>
            </w:r>
          </w:p>
        </w:tc>
        <w:tc>
          <w:tcPr>
            <w:tcW w:w="7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$24,800</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$252,553</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151,897</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24,800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2008</w:t>
            </w:r>
          </w:p>
        </w:tc>
        <w:tc>
          <w:tcPr>
            <w:tcW w:w="7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$ 10,746</w:t>
            </w: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5"/>
              </w:rPr>
              <w:t>$ 10,746</w:t>
            </w:r>
          </w:p>
        </w:tc>
        <w:tc>
          <w:tcPr>
            <w:tcW w:w="24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0" w:hanging="332"/>
        <w:spacing w:after="0" w:line="268"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Company’s LTIP provides for dollar-based awards which, at the irrevocable election of the participant, can be awarded in cash, restricted stock, options or any combination thereof. For fiscal 2010, the Compensation Committee required that each participant elect to receive at least 50% of any award in either shares of restricted stock or stock options, or a combination thereof. Messrs. Levin and Hearn irrevocably elected to receive 50% of any award and Mr. Hernreich irrevocably elected to receive 75% of any award in shares of restricted stock with the remaining portion in cash. Messrs. Molly and Metscher elected to receive 50% of any award in cash, 41.7% in shares of restricted stock and 8.3% in stock options. Although the service inception date for these awards occurred in fiscal 2010, no payouts occurred until fiscal 2011, when it was determined that the performance targets were achieved. All awards vest, based on the executive’s election, in three separate tranches, with the first tranche vesting on March 16, 2012. Because Messrs. Hearn and Metscher’s employment with the Company terminated prior to any vesting of the LTIP award for 2010, their LTIP awards for fiscal 2010 were forfeited. In addition, for the 2009 LTIP award, Messrs. Hearn and Metscher forfeited the unvested portion of $148,981 and $168,369, respectively.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payments were made to our Named Executive Officers pursuant to our LTIP or Annual Incentive Plan for fiscal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components of All Other Compensation listed above in the Summary Compensation Table.</w:t>
      </w: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All Other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401(k)/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Deferred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Life</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Supplemental</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Auto</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680" w:type="dxa"/>
            <w:vAlign w:val="bottom"/>
          </w:tcPr>
          <w:p>
            <w:pPr>
              <w:jc w:val="right"/>
              <w:ind w:right="35"/>
              <w:spacing w:after="0" w:line="149" w:lineRule="exact"/>
              <w:rPr>
                <w:sz w:val="20"/>
                <w:szCs w:val="20"/>
                <w:color w:val="auto"/>
              </w:rPr>
            </w:pPr>
            <w:r>
              <w:rPr>
                <w:rFonts w:ascii="Arial" w:cs="Arial" w:eastAsia="Arial" w:hAnsi="Arial"/>
                <w:sz w:val="14"/>
                <w:szCs w:val="14"/>
                <w:b w:val="1"/>
                <w:bCs w:val="1"/>
                <w:color w:val="auto"/>
                <w:w w:val="86"/>
              </w:rPr>
              <w:t>Disability</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161"/>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Plan(1)(2)</w:t>
            </w:r>
          </w:p>
        </w:tc>
        <w:tc>
          <w:tcPr>
            <w:tcW w:w="2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b w:val="1"/>
                <w:bCs w:val="1"/>
                <w:color w:val="auto"/>
                <w:w w:val="84"/>
              </w:rPr>
              <w:t>Insurance</w:t>
            </w:r>
          </w:p>
        </w:tc>
        <w:tc>
          <w:tcPr>
            <w:tcW w:w="50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2010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9,696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8"/>
              </w:rPr>
              <w:t>6,125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8"/>
              </w:rPr>
              <w:t>8,050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40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11,415</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2009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8,782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center"/>
              <w:ind w:left="16"/>
              <w:spacing w:after="0"/>
              <w:rPr>
                <w:sz w:val="20"/>
                <w:szCs w:val="20"/>
                <w:color w:val="auto"/>
              </w:rPr>
            </w:pPr>
            <w:r>
              <w:rPr>
                <w:rFonts w:ascii="Arial" w:cs="Arial" w:eastAsia="Arial" w:hAnsi="Arial"/>
                <w:sz w:val="18"/>
                <w:szCs w:val="18"/>
                <w:color w:val="auto"/>
                <w:w w:val="88"/>
              </w:rPr>
              <w:t>6,009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7,489</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2008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8,723</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center"/>
              <w:ind w:left="16"/>
              <w:spacing w:after="0"/>
              <w:rPr>
                <w:sz w:val="20"/>
                <w:szCs w:val="20"/>
                <w:color w:val="auto"/>
              </w:rPr>
            </w:pPr>
            <w:r>
              <w:rPr>
                <w:rFonts w:ascii="Arial" w:cs="Arial" w:eastAsia="Arial" w:hAnsi="Arial"/>
                <w:sz w:val="18"/>
                <w:szCs w:val="18"/>
                <w:color w:val="auto"/>
                <w:w w:val="88"/>
              </w:rPr>
              <w:t>8,050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2010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8"/>
              </w:rPr>
              <w:t>5,228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7,131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88"/>
              </w:rPr>
              <w:t>3,500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Douglas Hearn</w:t>
            </w:r>
          </w:p>
        </w:tc>
        <w:tc>
          <w:tcPr>
            <w:tcW w:w="400" w:type="dxa"/>
            <w:vAlign w:val="bottom"/>
          </w:tcPr>
          <w:p>
            <w:pPr>
              <w:spacing w:after="0"/>
              <w:rPr>
                <w:sz w:val="18"/>
                <w:szCs w:val="18"/>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2,598</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2009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7,915</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center"/>
              <w:ind w:left="16"/>
              <w:spacing w:after="0"/>
              <w:rPr>
                <w:sz w:val="20"/>
                <w:szCs w:val="20"/>
                <w:color w:val="auto"/>
              </w:rPr>
            </w:pPr>
            <w:r>
              <w:rPr>
                <w:rFonts w:ascii="Arial" w:cs="Arial" w:eastAsia="Arial" w:hAnsi="Arial"/>
                <w:sz w:val="18"/>
                <w:szCs w:val="18"/>
                <w:color w:val="auto"/>
                <w:w w:val="88"/>
              </w:rPr>
              <w:t>3,247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2,598</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2008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left="76"/>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2010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ind w:left="460" w:hanging="452"/>
        <w:spacing w:after="0" w:line="30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Through the end of fiscal 2008, we had a Non-Qualified Deferred Compensation Plan which was started in fiscal 2006 for the primary purpose of providing deferred compensation for a select group of management or highly compensated employees of the Company. Effective December 31, 2008, the plan was amended to freeze future contributions to the plan and balances were distributed to participants in fiscal 2009.</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was January 1, 2009 through December 31, 2011. On January 1, 2011 and thereafter on each anniversary of the Employment Agreements’ commencement date, the term will be extended for a one-year period, which makes the Employment Agreements a rolling two-year agreement after the initial three-year term.</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 During the period May 17, 2009 through February 1, 2010, the Compensation Committee approved a decrease for all employees. This included a 5% decrease in the base salaries for Messrs. Levin and Hernreich. The decreases were reinstated on February 1,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4" w:name="page35"/>
    <w:bookmarkEnd w:id="34"/>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Messrs. Levin and Hernreich are eligible to participate in our Annual Incentive Plan at a target rate of 100% of each executive’s actual annual base salary, as defined in that plan, and in our Long-Term Incentive Plan (“LTIP”)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46"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103"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Senior Executives</w:t>
      </w:r>
    </w:p>
    <w:p>
      <w:pPr>
        <w:spacing w:after="0" w:line="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 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0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9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36" w:name="page37"/>
    <w:bookmarkEnd w:id="36"/>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r>
        <w:rPr>
          <w:rFonts w:ascii="Arial" w:cs="Arial" w:eastAsia="Arial" w:hAnsi="Arial"/>
          <w:sz w:val="18"/>
          <w:szCs w:val="18"/>
          <w:color w:val="auto"/>
        </w:rPr>
        <w:t>. 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GRANTS OF PLAN-BASED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8"/>
            <w:vMerge w:val="restart"/>
          </w:tcPr>
          <w:p>
            <w:pPr>
              <w:jc w:val="center"/>
              <w:ind w:right="32"/>
              <w:spacing w:after="0"/>
              <w:rPr>
                <w:sz w:val="20"/>
                <w:szCs w:val="20"/>
                <w:color w:val="auto"/>
              </w:rPr>
            </w:pPr>
            <w:r>
              <w:rPr>
                <w:rFonts w:ascii="Arial" w:cs="Arial" w:eastAsia="Arial" w:hAnsi="Arial"/>
                <w:sz w:val="14"/>
                <w:szCs w:val="14"/>
                <w:b w:val="1"/>
                <w:bCs w:val="1"/>
                <w:color w:val="auto"/>
                <w:w w:val="84"/>
              </w:rPr>
              <w:t>Estimated Possible Payouts</w:t>
            </w:r>
          </w:p>
        </w:tc>
        <w:tc>
          <w:tcPr>
            <w:tcW w:w="22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7"/>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gridSpan w:val="8"/>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1"/>
                <w:szCs w:val="11"/>
                <w:color w:val="auto"/>
              </w:rPr>
            </w:pPr>
          </w:p>
        </w:tc>
        <w:tc>
          <w:tcPr>
            <w:tcW w:w="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tcPr>
          <w:p>
            <w:pPr>
              <w:jc w:val="right"/>
              <w:ind w:right="472"/>
              <w:spacing w:after="0" w:line="149" w:lineRule="exact"/>
              <w:rPr>
                <w:sz w:val="20"/>
                <w:szCs w:val="20"/>
                <w:color w:val="auto"/>
              </w:rPr>
            </w:pPr>
            <w:r>
              <w:rPr>
                <w:rFonts w:ascii="Arial" w:cs="Arial" w:eastAsia="Arial" w:hAnsi="Arial"/>
                <w:sz w:val="14"/>
                <w:szCs w:val="14"/>
                <w:b w:val="1"/>
                <w:bCs w:val="1"/>
                <w:color w:val="auto"/>
              </w:rPr>
              <w:t>Under Non-Equity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2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Approval</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87"/>
              </w:rPr>
              <w:t>Incentive Plan Awards</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center"/>
              <w:ind w:right="32"/>
              <w:spacing w:after="0"/>
              <w:rPr>
                <w:sz w:val="20"/>
                <w:szCs w:val="20"/>
                <w:color w:val="auto"/>
              </w:rPr>
            </w:pPr>
            <w:r>
              <w:rPr>
                <w:rFonts w:ascii="Arial" w:cs="Arial" w:eastAsia="Arial" w:hAnsi="Arial"/>
                <w:sz w:val="14"/>
                <w:szCs w:val="14"/>
                <w:b w:val="1"/>
                <w:bCs w:val="1"/>
                <w:color w:val="auto"/>
                <w:w w:val="87"/>
              </w:rPr>
              <w:t>Incentive Plan Awards</w:t>
            </w:r>
          </w:p>
        </w:tc>
        <w:tc>
          <w:tcPr>
            <w:tcW w:w="2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1"/>
                <w:szCs w:val="11"/>
                <w:color w:val="auto"/>
              </w:rPr>
            </w:pPr>
          </w:p>
        </w:tc>
        <w:tc>
          <w:tcPr>
            <w:tcW w:w="78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jc w:val="center"/>
              <w:ind w:right="92"/>
              <w:spacing w:after="0" w:line="12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1"/>
                <w:szCs w:val="11"/>
                <w:color w:val="auto"/>
              </w:rPr>
            </w:pPr>
          </w:p>
        </w:tc>
        <w:tc>
          <w:tcPr>
            <w:tcW w:w="68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Stock</w:t>
            </w:r>
          </w:p>
        </w:tc>
        <w:tc>
          <w:tcPr>
            <w:tcW w:w="2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2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8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Inception</w:t>
            </w:r>
          </w:p>
        </w:tc>
        <w:tc>
          <w:tcPr>
            <w:tcW w:w="1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2"/>
                <w:szCs w:val="12"/>
                <w:color w:val="auto"/>
              </w:rPr>
            </w:pP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Target</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0"/>
              </w:rPr>
              <w:t>Maximum</w:t>
            </w:r>
          </w:p>
        </w:tc>
        <w:tc>
          <w:tcPr>
            <w:tcW w:w="22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Threshold</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Target</w:t>
            </w:r>
          </w:p>
        </w:tc>
        <w:tc>
          <w:tcPr>
            <w:tcW w:w="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Maximum</w:t>
            </w:r>
          </w:p>
        </w:tc>
        <w:tc>
          <w:tcPr>
            <w:tcW w:w="2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2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8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($)(1)</w:t>
            </w:r>
          </w:p>
        </w:tc>
        <w:tc>
          <w:tcPr>
            <w:tcW w:w="40" w:type="dxa"/>
            <w:vAlign w:val="bottom"/>
          </w:tcPr>
          <w:p>
            <w:pPr>
              <w:spacing w:after="0"/>
              <w:rPr>
                <w:sz w:val="14"/>
                <w:szCs w:val="14"/>
                <w:color w:val="auto"/>
              </w:rPr>
            </w:pPr>
          </w:p>
        </w:tc>
        <w:tc>
          <w:tcPr>
            <w:tcW w:w="68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($)(1)</w:t>
            </w:r>
          </w:p>
        </w:tc>
        <w:tc>
          <w:tcPr>
            <w:tcW w:w="70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 (#)</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ind w:left="40"/>
              <w:spacing w:after="0"/>
              <w:rPr>
                <w:sz w:val="20"/>
                <w:szCs w:val="20"/>
                <w:color w:val="auto"/>
              </w:rPr>
            </w:pPr>
            <w:r>
              <w:rPr>
                <w:rFonts w:ascii="Arial" w:cs="Arial" w:eastAsia="Arial" w:hAnsi="Arial"/>
                <w:sz w:val="14"/>
                <w:szCs w:val="14"/>
                <w:b w:val="1"/>
                <w:bCs w:val="1"/>
                <w:color w:val="auto"/>
                <w:w w:val="85"/>
              </w:rPr>
              <w:t>/ Sh)</w:t>
            </w:r>
          </w:p>
        </w:tc>
        <w:tc>
          <w:tcPr>
            <w:tcW w:w="22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Awards(4)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-Annual Incentive Plan(2)</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648,960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811,200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1,216,800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-LTIP(3)</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0"/>
              </w:rPr>
              <w:t>324,480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405,600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608,400</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324,480</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$405,600</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608,400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-Discretionary Stock Award(4)</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347,566</w:t>
            </w:r>
          </w:p>
        </w:tc>
        <w:tc>
          <w:tcPr>
            <w:tcW w:w="2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0"/>
              </w:rPr>
              <w:t>4.55</w:t>
            </w:r>
          </w:p>
        </w:tc>
        <w:tc>
          <w:tcPr>
            <w:tcW w:w="84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93"/>
              </w:rPr>
              <w:t>$  361,469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-Annual Incentive Plan(2)</w:t>
            </w:r>
          </w:p>
        </w:tc>
        <w:tc>
          <w:tcPr>
            <w:tcW w:w="3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497,536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2"/>
              </w:rPr>
              <w:t>621,920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932,880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-LTIP(3)</w:t>
            </w:r>
          </w:p>
        </w:tc>
        <w:tc>
          <w:tcPr>
            <w:tcW w:w="360" w:type="dxa"/>
            <w:vAlign w:val="bottom"/>
          </w:tcPr>
          <w:p>
            <w:pPr>
              <w:spacing w:after="0"/>
              <w:rPr>
                <w:sz w:val="13"/>
                <w:szCs w:val="13"/>
                <w:color w:val="auto"/>
              </w:rPr>
            </w:pPr>
          </w:p>
        </w:tc>
        <w:tc>
          <w:tcPr>
            <w:tcW w:w="8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4/9/10</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0"/>
              </w:rPr>
              <w:t>124,384</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2"/>
              </w:rPr>
              <w:t>155,480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233,220</w:t>
            </w:r>
          </w:p>
        </w:tc>
        <w:tc>
          <w:tcPr>
            <w:tcW w:w="3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4"/>
              </w:rPr>
              <w:t>373,152</w:t>
            </w:r>
          </w:p>
        </w:tc>
        <w:tc>
          <w:tcPr>
            <w:tcW w:w="68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88"/>
              </w:rPr>
              <w:t>$466,440</w:t>
            </w:r>
          </w:p>
        </w:tc>
        <w:tc>
          <w:tcPr>
            <w:tcW w:w="180" w:type="dxa"/>
            <w:vAlign w:val="bottom"/>
          </w:tcPr>
          <w:p>
            <w:pPr>
              <w:spacing w:after="0"/>
              <w:rPr>
                <w:sz w:val="13"/>
                <w:szCs w:val="13"/>
                <w:color w:val="auto"/>
              </w:rPr>
            </w:pPr>
          </w:p>
        </w:tc>
        <w:tc>
          <w:tcPr>
            <w:tcW w:w="1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699,660</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-Annual Incentive Plan(2)</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113,750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-LTIP(3)</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113,750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170,825</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91,000</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$113,750</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170,825</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0" w:type="dxa"/>
            <w:vAlign w:val="bottom"/>
            <w:gridSpan w:val="2"/>
          </w:tcPr>
          <w:p>
            <w:pPr>
              <w:spacing w:after="0" w:line="138" w:lineRule="exact"/>
              <w:rPr>
                <w:sz w:val="20"/>
                <w:szCs w:val="20"/>
                <w:color w:val="auto"/>
              </w:rPr>
            </w:pPr>
            <w:r>
              <w:rPr>
                <w:rFonts w:ascii="Arial" w:cs="Arial" w:eastAsia="Arial" w:hAnsi="Arial"/>
                <w:sz w:val="14"/>
                <w:szCs w:val="14"/>
                <w:color w:val="auto"/>
              </w:rPr>
              <w:t>Douglas Hearn</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-Annual Incentive Plan(2)</w:t>
            </w:r>
          </w:p>
        </w:tc>
        <w:tc>
          <w:tcPr>
            <w:tcW w:w="3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96,250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144,375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-LTIP(3)(5)</w:t>
            </w:r>
          </w:p>
        </w:tc>
        <w:tc>
          <w:tcPr>
            <w:tcW w:w="360" w:type="dxa"/>
            <w:vAlign w:val="bottom"/>
          </w:tcPr>
          <w:p>
            <w:pPr>
              <w:spacing w:after="0"/>
              <w:rPr>
                <w:sz w:val="13"/>
                <w:szCs w:val="13"/>
                <w:color w:val="auto"/>
              </w:rPr>
            </w:pPr>
          </w:p>
        </w:tc>
        <w:tc>
          <w:tcPr>
            <w:tcW w:w="84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4/9/10</w:t>
            </w:r>
          </w:p>
        </w:tc>
        <w:tc>
          <w:tcPr>
            <w:tcW w:w="2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77,000</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7"/>
              </w:rPr>
              <w:t>96,250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144,375</w:t>
            </w:r>
          </w:p>
        </w:tc>
        <w:tc>
          <w:tcPr>
            <w:tcW w:w="3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77,000</w:t>
            </w:r>
          </w:p>
        </w:tc>
        <w:tc>
          <w:tcPr>
            <w:tcW w:w="680" w:type="dxa"/>
            <w:vAlign w:val="bottom"/>
            <w:gridSpan w:val="2"/>
          </w:tcPr>
          <w:p>
            <w:pPr>
              <w:jc w:val="center"/>
              <w:ind w:left="92"/>
              <w:spacing w:after="0" w:line="159" w:lineRule="exact"/>
              <w:rPr>
                <w:sz w:val="20"/>
                <w:szCs w:val="20"/>
                <w:color w:val="auto"/>
              </w:rPr>
            </w:pPr>
            <w:r>
              <w:rPr>
                <w:rFonts w:ascii="Arial" w:cs="Arial" w:eastAsia="Arial" w:hAnsi="Arial"/>
                <w:sz w:val="14"/>
                <w:szCs w:val="14"/>
                <w:color w:val="auto"/>
                <w:w w:val="95"/>
              </w:rPr>
              <w:t>$ 96,250</w:t>
            </w:r>
          </w:p>
        </w:tc>
        <w:tc>
          <w:tcPr>
            <w:tcW w:w="180" w:type="dxa"/>
            <w:vAlign w:val="bottom"/>
          </w:tcPr>
          <w:p>
            <w:pPr>
              <w:spacing w:after="0"/>
              <w:rPr>
                <w:sz w:val="13"/>
                <w:szCs w:val="13"/>
                <w:color w:val="auto"/>
              </w:rPr>
            </w:pPr>
          </w:p>
        </w:tc>
        <w:tc>
          <w:tcPr>
            <w:tcW w:w="1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144,375</w:t>
            </w:r>
          </w:p>
        </w:tc>
        <w:tc>
          <w:tcPr>
            <w:tcW w:w="2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-Annual Incentive Plan(2)</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105,000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-LTIP(3)(5)</w:t>
            </w:r>
          </w:p>
        </w:tc>
        <w:tc>
          <w:tcPr>
            <w:tcW w:w="3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4/9/10</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2"/>
              </w:rPr>
              <w:t>105,000</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157,500</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84,000</w:t>
            </w:r>
          </w:p>
        </w:tc>
        <w:tc>
          <w:tcPr>
            <w:tcW w:w="6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88"/>
              </w:rPr>
              <w:t>$105,000</w:t>
            </w:r>
          </w:p>
        </w:tc>
        <w:tc>
          <w:tcPr>
            <w:tcW w:w="1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157,500</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LTIP is denominated in dollars, but at the irrevocable election of each participant, the award may be granted in cash, restricted stock, options or any combination thereof. For fiscal 2010,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22" w:lineRule="exact"/>
        <w:rPr>
          <w:rFonts w:ascii="Arial" w:cs="Arial" w:eastAsia="Arial" w:hAnsi="Arial"/>
          <w:sz w:val="12"/>
          <w:szCs w:val="12"/>
          <w:color w:val="auto"/>
        </w:rPr>
      </w:pPr>
    </w:p>
    <w:p>
      <w:pPr>
        <w:ind w:left="340" w:hanging="332"/>
        <w:spacing w:after="0" w:line="230"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April 9, 2010, the Compensation Committee approved the annual targets pursuant to our Annual Incentive Plan for fiscal 2010. The threshold, target and maximum payouts for each executive was estimated based on achieving 80%, 100% and 150% of the targets set by the Compensation Committee. On March 16, 2011, the Compensation Committee determined that the performance targets for fiscal 2010 had been achieved at the payout of 107%. The respective cash payment to each of the Named Executive Officers is included in the Summary Compensation Table (and the supplemental Discretionary and Incentive-Based Awards Table) for fiscal 2010.</w:t>
      </w:r>
    </w:p>
    <w:p>
      <w:pPr>
        <w:spacing w:after="0" w:line="44" w:lineRule="exact"/>
        <w:rPr>
          <w:rFonts w:ascii="Arial" w:cs="Arial" w:eastAsia="Arial" w:hAnsi="Arial"/>
          <w:sz w:val="14"/>
          <w:szCs w:val="14"/>
          <w:color w:val="auto"/>
        </w:rPr>
      </w:pPr>
    </w:p>
    <w:p>
      <w:pPr>
        <w:ind w:left="340" w:right="80" w:hanging="332"/>
        <w:spacing w:after="0" w:line="26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On April 9, 2010, the Compensation Committee approved the annual targets pursuant to our LTIP for fiscal 2010. Payments under the LTIP are based on each participant’s irrevocable election which permits their respective awards to be payable in cash, restricted stock, options or a combination thereof. Messrs. Levin and Hearn elected to receive 50% of any award in shares of restricted stock with the remaining 50% in cash. Mr. Hernreich elected to receive 75% of any award in shares of restricted stock with the remaining 25% in cash. Messrs. Molloy and Metscher elected to receive 8.3% of any reward in stock options and 41.7% in shares of restricted stock with the remaining 50% in cash. The estimated threshold, target and maximum payouts for each Named Executive Officer above was estimated based on those elections and on achieving 80%, 100% and 150% of the targets set by the Compensation Committee. On March 16, 2011, the Compensation Committee determined that the performance targets for fiscal 2010 had been achieved at a rate of 106%. Accordingly, the actual cash and equity payments awarded pursuant to the LTIP are included in the Summary Compensation Table (and the supplemental Discretionary and Incentive-Based Awards Table) for fiscal 2010.</w:t>
      </w:r>
    </w:p>
    <w:p>
      <w:pPr>
        <w:spacing w:after="0" w:line="28" w:lineRule="exact"/>
        <w:rPr>
          <w:rFonts w:ascii="Arial" w:cs="Arial" w:eastAsia="Arial" w:hAnsi="Arial"/>
          <w:sz w:val="12"/>
          <w:szCs w:val="12"/>
          <w:color w:val="auto"/>
        </w:rPr>
      </w:pPr>
    </w:p>
    <w:p>
      <w:pPr>
        <w:ind w:left="340" w:right="60" w:hanging="332"/>
        <w:spacing w:after="0" w:line="27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On March 31, 2010, the Board of Directors granted to Mr. Levin an option to purchase 347,566 shares of our common stock. The exercise price of this option is $4.55 per share and the closing price of our stock on the date of grant was $3.86 per share. The option cliff vested on May 6, 2011 and will expire on May 6, 2012. This grant represented a retention award to Mr. Levin. In accordance with FASB ASC Topic 718, the grant date fair value of the award was determined using a Black-Scholes valuation model. Additional information regarding the assumptions used to estimate the fair value of all stock option awards is included in Note A to Consolidated Financial Statements contained in our Annual Report on Form 10-K for the fiscal year ended January 29, 2011.</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Because the employment of Messrs. Hearn and Metscher was terminated prior to any vesting of the award, the full award of $204,050 and $222,600, respectively, was forfeited.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7" w:name="page38"/>
    <w:bookmarkEnd w:id="37"/>
    <w:p>
      <w:pPr>
        <w:ind w:right="1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2010.</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w w:val="90"/>
              </w:rPr>
              <w:t>Option Awards</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Incentive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120" w:type="dxa"/>
            <w:vAlign w:val="bottom"/>
          </w:tcPr>
          <w:p>
            <w:pPr>
              <w:spacing w:after="0"/>
              <w:rPr>
                <w:sz w:val="12"/>
                <w:szCs w:val="12"/>
                <w:color w:val="auto"/>
              </w:rPr>
            </w:pPr>
          </w:p>
        </w:tc>
        <w:tc>
          <w:tcPr>
            <w:tcW w:w="7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1200" w:type="dxa"/>
            <w:vAlign w:val="bottom"/>
            <w:gridSpan w:val="2"/>
            <w:vMerge w:val="restart"/>
          </w:tcPr>
          <w:p>
            <w:pPr>
              <w:jc w:val="center"/>
              <w:ind w:right="312"/>
              <w:spacing w:after="0"/>
              <w:rPr>
                <w:sz w:val="20"/>
                <w:szCs w:val="20"/>
                <w:color w:val="auto"/>
              </w:rPr>
            </w:pPr>
            <w:r>
              <w:rPr>
                <w:rFonts w:ascii="Arial" w:cs="Arial" w:eastAsia="Arial" w:hAnsi="Arial"/>
                <w:sz w:val="14"/>
                <w:szCs w:val="14"/>
                <w:b w:val="1"/>
                <w:bCs w:val="1"/>
                <w:color w:val="auto"/>
                <w:w w:val="88"/>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2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Unearned</w:t>
            </w:r>
          </w:p>
        </w:tc>
        <w:tc>
          <w:tcPr>
            <w:tcW w:w="120" w:type="dxa"/>
            <w:vAlign w:val="bottom"/>
          </w:tcPr>
          <w:p>
            <w:pPr>
              <w:spacing w:after="0"/>
              <w:rPr>
                <w:sz w:val="8"/>
                <w:szCs w:val="8"/>
                <w:color w:val="auto"/>
              </w:rPr>
            </w:pPr>
          </w:p>
        </w:tc>
        <w:tc>
          <w:tcPr>
            <w:tcW w:w="7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4"/>
                <w:szCs w:val="4"/>
                <w:color w:val="auto"/>
              </w:rPr>
            </w:pPr>
          </w:p>
        </w:tc>
        <w:tc>
          <w:tcPr>
            <w:tcW w:w="1200" w:type="dxa"/>
            <w:vAlign w:val="bottom"/>
            <w:gridSpan w:val="2"/>
            <w:vMerge w:val="restart"/>
          </w:tcPr>
          <w:p>
            <w:pPr>
              <w:jc w:val="center"/>
              <w:ind w:right="2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Shares or</w:t>
            </w: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260" w:type="dxa"/>
            <w:vAlign w:val="bottom"/>
          </w:tcPr>
          <w:p>
            <w:pPr>
              <w:spacing w:after="0"/>
              <w:rPr>
                <w:sz w:val="8"/>
                <w:szCs w:val="8"/>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Shares,</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Units of</w:t>
            </w: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2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or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79"/>
              </w:rPr>
              <w:t>Unexercised</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1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8"/>
                <w:szCs w:val="8"/>
                <w:color w:val="auto"/>
              </w:rPr>
            </w:pPr>
          </w:p>
        </w:tc>
        <w:tc>
          <w:tcPr>
            <w:tcW w:w="4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8"/>
                <w:szCs w:val="8"/>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4"/>
                <w:szCs w:val="4"/>
                <w:color w:val="auto"/>
              </w:rPr>
            </w:pPr>
          </w:p>
        </w:tc>
        <w:tc>
          <w:tcPr>
            <w:tcW w:w="1200" w:type="dxa"/>
            <w:vAlign w:val="bottom"/>
            <w:gridSpan w:val="2"/>
            <w:vMerge w:val="restart"/>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60" w:type="dxa"/>
            <w:vAlign w:val="bottom"/>
          </w:tcPr>
          <w:p>
            <w:pPr>
              <w:spacing w:after="0"/>
              <w:rPr>
                <w:sz w:val="8"/>
                <w:szCs w:val="8"/>
                <w:color w:val="auto"/>
              </w:rPr>
            </w:pPr>
          </w:p>
        </w:tc>
        <w:tc>
          <w:tcPr>
            <w:tcW w:w="4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That</w:t>
            </w:r>
          </w:p>
        </w:tc>
        <w:tc>
          <w:tcPr>
            <w:tcW w:w="80" w:type="dxa"/>
            <w:vAlign w:val="bottom"/>
          </w:tcPr>
          <w:p>
            <w:pPr>
              <w:spacing w:after="0"/>
              <w:rPr>
                <w:sz w:val="8"/>
                <w:szCs w:val="8"/>
                <w:color w:val="auto"/>
              </w:rPr>
            </w:pPr>
          </w:p>
        </w:tc>
        <w:tc>
          <w:tcPr>
            <w:tcW w:w="480" w:type="dxa"/>
            <w:vAlign w:val="bottom"/>
            <w:vMerge w:val="restart"/>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That</w:t>
            </w:r>
          </w:p>
        </w:tc>
        <w:tc>
          <w:tcPr>
            <w:tcW w:w="260" w:type="dxa"/>
            <w:vAlign w:val="bottom"/>
          </w:tcPr>
          <w:p>
            <w:pPr>
              <w:spacing w:after="0"/>
              <w:rPr>
                <w:sz w:val="8"/>
                <w:szCs w:val="8"/>
                <w:color w:val="auto"/>
              </w:rPr>
            </w:pPr>
          </w:p>
        </w:tc>
        <w:tc>
          <w:tcPr>
            <w:tcW w:w="8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120" w:type="dxa"/>
            <w:vAlign w:val="bottom"/>
          </w:tcPr>
          <w:p>
            <w:pPr>
              <w:spacing w:after="0"/>
              <w:rPr>
                <w:sz w:val="8"/>
                <w:szCs w:val="8"/>
                <w:color w:val="auto"/>
              </w:rPr>
            </w:pPr>
          </w:p>
        </w:tc>
        <w:tc>
          <w:tcPr>
            <w:tcW w:w="7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900" w:type="dxa"/>
            <w:vAlign w:val="bottom"/>
            <w:gridSpan w:val="2"/>
            <w:vMerge w:val="restart"/>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4"/>
                <w:szCs w:val="4"/>
                <w:color w:val="auto"/>
              </w:rPr>
            </w:pPr>
          </w:p>
        </w:tc>
        <w:tc>
          <w:tcPr>
            <w:tcW w:w="1000" w:type="dxa"/>
            <w:vAlign w:val="bottom"/>
            <w:gridSpan w:val="2"/>
            <w:vMerge w:val="restart"/>
          </w:tcPr>
          <w:p>
            <w:pPr>
              <w:jc w:val="center"/>
              <w:ind w:left="132"/>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260" w:type="dxa"/>
            <w:vAlign w:val="bottom"/>
          </w:tcPr>
          <w:p>
            <w:pPr>
              <w:spacing w:after="0"/>
              <w:rPr>
                <w:sz w:val="9"/>
                <w:szCs w:val="9"/>
                <w:color w:val="auto"/>
              </w:rPr>
            </w:pPr>
          </w:p>
        </w:tc>
        <w:tc>
          <w:tcPr>
            <w:tcW w:w="4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79"/>
              </w:rPr>
              <w:t>Exercise</w:t>
            </w:r>
          </w:p>
        </w:tc>
        <w:tc>
          <w:tcPr>
            <w:tcW w:w="260" w:type="dxa"/>
            <w:vAlign w:val="bottom"/>
          </w:tcPr>
          <w:p>
            <w:pPr>
              <w:spacing w:after="0"/>
              <w:rPr>
                <w:sz w:val="9"/>
                <w:szCs w:val="9"/>
                <w:color w:val="auto"/>
              </w:rPr>
            </w:pPr>
          </w:p>
        </w:tc>
        <w:tc>
          <w:tcPr>
            <w:tcW w:w="9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Have Not</w:t>
            </w:r>
          </w:p>
        </w:tc>
        <w:tc>
          <w:tcPr>
            <w:tcW w:w="5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260" w:type="dxa"/>
            <w:vAlign w:val="bottom"/>
          </w:tcPr>
          <w:p>
            <w:pPr>
              <w:spacing w:after="0"/>
              <w:rPr>
                <w:sz w:val="9"/>
                <w:szCs w:val="9"/>
                <w:color w:val="auto"/>
              </w:rPr>
            </w:pPr>
          </w:p>
        </w:tc>
        <w:tc>
          <w:tcPr>
            <w:tcW w:w="8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Have Not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8"/>
              </w:rPr>
              <w:t>Vested</w:t>
            </w:r>
          </w:p>
        </w:tc>
        <w:tc>
          <w:tcPr>
            <w:tcW w:w="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26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Exercisable</w:t>
            </w:r>
          </w:p>
        </w:tc>
        <w:tc>
          <w:tcPr>
            <w:tcW w:w="180" w:type="dxa"/>
            <w:vAlign w:val="bottom"/>
          </w:tcPr>
          <w:p>
            <w:pPr>
              <w:spacing w:after="0"/>
              <w:rPr>
                <w:sz w:val="14"/>
                <w:szCs w:val="14"/>
                <w:color w:val="auto"/>
              </w:rPr>
            </w:pPr>
          </w:p>
        </w:tc>
        <w:tc>
          <w:tcPr>
            <w:tcW w:w="1200" w:type="dxa"/>
            <w:vAlign w:val="bottom"/>
            <w:gridSpan w:val="2"/>
          </w:tcPr>
          <w:p>
            <w:pPr>
              <w:jc w:val="center"/>
              <w:ind w:right="312"/>
              <w:spacing w:after="0"/>
              <w:rPr>
                <w:sz w:val="20"/>
                <w:szCs w:val="20"/>
                <w:color w:val="auto"/>
              </w:rPr>
            </w:pPr>
            <w:r>
              <w:rPr>
                <w:rFonts w:ascii="Arial" w:cs="Arial" w:eastAsia="Arial" w:hAnsi="Arial"/>
                <w:sz w:val="14"/>
                <w:szCs w:val="14"/>
                <w:b w:val="1"/>
                <w:bCs w:val="1"/>
                <w:color w:val="auto"/>
                <w:w w:val="86"/>
              </w:rPr>
              <w:t>Unexercisable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94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8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98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125,000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92"/>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3.88</w:t>
            </w:r>
          </w:p>
        </w:tc>
        <w:tc>
          <w:tcPr>
            <w:tcW w:w="118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5/25/2011</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5/01/2012</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7/01/2013</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5/24/2014</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347,566(3)</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5/06/2012</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152,434(4)</w:t>
            </w: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$ 631,077</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102,610</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424,805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2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rPr>
              <w:t>1,255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right"/>
              <w:ind w:right="392"/>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40" w:type="dxa"/>
            <w:vAlign w:val="bottom"/>
            <w:gridSpan w:val="2"/>
          </w:tcPr>
          <w:p>
            <w:pPr>
              <w:ind w:left="26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4.58</w:t>
            </w:r>
          </w:p>
        </w:tc>
        <w:tc>
          <w:tcPr>
            <w:tcW w:w="1180" w:type="dxa"/>
            <w:vAlign w:val="bottom"/>
            <w:gridSpan w:val="3"/>
          </w:tcPr>
          <w:p>
            <w:pPr>
              <w:jc w:val="right"/>
              <w:ind w:right="260"/>
              <w:spacing w:after="0" w:line="138"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27,520</w:t>
            </w:r>
          </w:p>
        </w:tc>
        <w:tc>
          <w:tcPr>
            <w:tcW w:w="180" w:type="dxa"/>
            <w:vAlign w:val="bottom"/>
          </w:tcPr>
          <w:p>
            <w:pPr>
              <w:spacing w:after="0"/>
              <w:rPr>
                <w:sz w:val="12"/>
                <w:szCs w:val="12"/>
                <w:color w:val="auto"/>
              </w:rPr>
            </w:pPr>
          </w:p>
        </w:tc>
        <w:tc>
          <w:tcPr>
            <w:tcW w:w="12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7/01/2013</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21,988</w:t>
            </w:r>
          </w:p>
        </w:tc>
        <w:tc>
          <w:tcPr>
            <w:tcW w:w="180" w:type="dxa"/>
            <w:vAlign w:val="bottom"/>
          </w:tcPr>
          <w:p>
            <w:pPr>
              <w:spacing w:after="0"/>
              <w:rPr>
                <w:sz w:val="12"/>
                <w:szCs w:val="12"/>
                <w:color w:val="auto"/>
              </w:rPr>
            </w:pPr>
          </w:p>
        </w:tc>
        <w:tc>
          <w:tcPr>
            <w:tcW w:w="1200" w:type="dxa"/>
            <w:vAlign w:val="bottom"/>
            <w:gridSpan w:val="2"/>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2"/>
                <w:szCs w:val="12"/>
                <w:color w:val="auto"/>
              </w:rPr>
            </w:pP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52"/>
              <w:spacing w:after="0" w:line="149" w:lineRule="exact"/>
              <w:rPr>
                <w:sz w:val="20"/>
                <w:szCs w:val="20"/>
                <w:color w:val="auto"/>
              </w:rPr>
            </w:pPr>
            <w:r>
              <w:rPr>
                <w:rFonts w:ascii="Arial" w:cs="Arial" w:eastAsia="Arial" w:hAnsi="Arial"/>
                <w:sz w:val="14"/>
                <w:szCs w:val="14"/>
                <w:color w:val="auto"/>
              </w:rPr>
              <w:t>120,000(3)</w:t>
            </w:r>
          </w:p>
        </w:tc>
        <w:tc>
          <w:tcPr>
            <w:tcW w:w="720" w:type="dxa"/>
            <w:vAlign w:val="bottom"/>
          </w:tcPr>
          <w:p>
            <w:pPr>
              <w:spacing w:after="0"/>
              <w:rPr>
                <w:sz w:val="12"/>
                <w:szCs w:val="12"/>
                <w:color w:val="auto"/>
              </w:rPr>
            </w:pPr>
          </w:p>
        </w:tc>
        <w:tc>
          <w:tcPr>
            <w:tcW w:w="34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1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52"/>
              <w:spacing w:after="0"/>
              <w:rPr>
                <w:sz w:val="20"/>
                <w:szCs w:val="20"/>
                <w:color w:val="auto"/>
              </w:rPr>
            </w:pPr>
            <w:r>
              <w:rPr>
                <w:rFonts w:ascii="Arial" w:cs="Arial" w:eastAsia="Arial" w:hAnsi="Arial"/>
                <w:sz w:val="14"/>
                <w:szCs w:val="14"/>
                <w:color w:val="auto"/>
              </w:rPr>
              <w:t>80,000(3)</w:t>
            </w:r>
          </w:p>
        </w:tc>
        <w:tc>
          <w:tcPr>
            <w:tcW w:w="72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4.55</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5/06/2012</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116,866(4)</w:t>
            </w: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w w:val="86"/>
              </w:rPr>
              <w:t>$ 483,825</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080" w:type="dxa"/>
            <w:vAlign w:val="bottom"/>
            <w:gridSpan w:val="3"/>
            <w:vMerge w:val="restart"/>
          </w:tcPr>
          <w:p>
            <w:pPr>
              <w:jc w:val="right"/>
              <w:ind w:right="140"/>
              <w:spacing w:after="0"/>
              <w:rPr>
                <w:sz w:val="20"/>
                <w:szCs w:val="20"/>
                <w:color w:val="auto"/>
              </w:rPr>
            </w:pPr>
            <w:r>
              <w:rPr>
                <w:rFonts w:ascii="Arial" w:cs="Arial" w:eastAsia="Arial" w:hAnsi="Arial"/>
                <w:sz w:val="14"/>
                <w:szCs w:val="14"/>
                <w:color w:val="auto"/>
              </w:rPr>
              <w:t>118,001</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488,524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6,667</w:t>
            </w:r>
          </w:p>
        </w:tc>
        <w:tc>
          <w:tcPr>
            <w:tcW w:w="138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3,333(6)</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2/08/2018</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20,606(4)</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3/19/2020</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13,955</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3/16/2021</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13,333(5)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55,199</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14,250(4)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58,995</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23,981</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Douglas Hearn</w:t>
            </w:r>
          </w:p>
        </w:tc>
        <w:tc>
          <w:tcPr>
            <w:tcW w:w="2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6,667</w:t>
            </w:r>
          </w:p>
        </w:tc>
        <w:tc>
          <w:tcPr>
            <w:tcW w:w="80" w:type="dxa"/>
            <w:vAlign w:val="bottom"/>
          </w:tcPr>
          <w:p>
            <w:pPr>
              <w:spacing w:after="0"/>
              <w:rPr>
                <w:sz w:val="14"/>
                <w:szCs w:val="14"/>
                <w:color w:val="auto"/>
              </w:rPr>
            </w:pPr>
          </w:p>
        </w:tc>
        <w:tc>
          <w:tcPr>
            <w:tcW w:w="1380" w:type="dxa"/>
            <w:vAlign w:val="bottom"/>
            <w:gridSpan w:val="3"/>
          </w:tcPr>
          <w:p>
            <w:pPr>
              <w:jc w:val="right"/>
              <w:ind w:right="152"/>
              <w:spacing w:after="0"/>
              <w:rPr>
                <w:sz w:val="20"/>
                <w:szCs w:val="20"/>
                <w:color w:val="auto"/>
              </w:rPr>
            </w:pPr>
            <w:r>
              <w:rPr>
                <w:rFonts w:ascii="Arial" w:cs="Arial" w:eastAsia="Arial" w:hAnsi="Arial"/>
                <w:sz w:val="14"/>
                <w:szCs w:val="14"/>
                <w:color w:val="auto"/>
              </w:rPr>
              <w:t>3,333(6)</w:t>
            </w:r>
          </w:p>
        </w:tc>
        <w:tc>
          <w:tcPr>
            <w:tcW w:w="72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4.30</w:t>
            </w:r>
          </w:p>
        </w:tc>
        <w:tc>
          <w:tcPr>
            <w:tcW w:w="1180" w:type="dxa"/>
            <w:vAlign w:val="bottom"/>
            <w:gridSpan w:val="3"/>
          </w:tcPr>
          <w:p>
            <w:pPr>
              <w:jc w:val="right"/>
              <w:ind w:right="260"/>
              <w:spacing w:after="0"/>
              <w:rPr>
                <w:sz w:val="20"/>
                <w:szCs w:val="20"/>
                <w:color w:val="auto"/>
              </w:rPr>
            </w:pPr>
            <w:r>
              <w:rPr>
                <w:rFonts w:ascii="Arial" w:cs="Arial" w:eastAsia="Arial" w:hAnsi="Arial"/>
                <w:sz w:val="14"/>
                <w:szCs w:val="14"/>
                <w:color w:val="auto"/>
              </w:rPr>
              <w:t>6/13/2018</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13,333(5)</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55,199</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rPr>
              <w:t>24,349</w:t>
            </w:r>
          </w:p>
        </w:tc>
        <w:tc>
          <w:tcPr>
            <w:tcW w:w="14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100,805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Henry J. Metscher</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12,881</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11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3/16/2021</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13,333(5)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55,199</w:t>
            </w: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480" w:type="dxa"/>
            <w:vAlign w:val="bottom"/>
            <w:vMerge w:val="continue"/>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22,136</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91,643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60" w:hanging="332"/>
        <w:spacing w:after="0" w:line="227"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While these options and shares were not actually outstanding at the end of fiscal 2010, in connection with the payout under our LTIP for fiscal 2010, on March 16, 2011 each of the Named Executive Officers was granted options and/or shares of restricted stock in accordance with their respective irrevocable elections. These irrevocable elections required that at least 50% of any award granted be in the form of equity. Each award vests in three tranches with the first tranche vesting on March 16, 2012.</w:t>
      </w:r>
    </w:p>
    <w:p>
      <w:pPr>
        <w:ind w:left="360" w:right="160"/>
        <w:spacing w:after="0" w:line="258" w:lineRule="auto"/>
        <w:rPr>
          <w:rFonts w:ascii="Arial" w:cs="Arial" w:eastAsia="Arial" w:hAnsi="Arial"/>
          <w:sz w:val="14"/>
          <w:szCs w:val="14"/>
          <w:color w:val="auto"/>
        </w:rPr>
      </w:pPr>
      <w:r>
        <w:rPr>
          <w:rFonts w:ascii="Arial" w:cs="Arial" w:eastAsia="Arial" w:hAnsi="Arial"/>
          <w:sz w:val="12"/>
          <w:szCs w:val="12"/>
          <w:color w:val="auto"/>
        </w:rPr>
        <w:t>Messrs. Levin and Hearn elected to receive 50% of each tranche in shares of restricted stock and Mr. Hernreich elected to receive 75% of each tranche in shares of restricted stock; therefore, one-third of each executive’s equity award will vest each year with the first one-third vesting on March 16, 2012. Due to Mr. Hearn’s termination of employment, his award was forfeited.</w:t>
      </w:r>
    </w:p>
    <w:p>
      <w:pPr>
        <w:ind w:left="360" w:right="80"/>
        <w:spacing w:after="0" w:line="271" w:lineRule="auto"/>
        <w:rPr>
          <w:rFonts w:ascii="Arial" w:cs="Arial" w:eastAsia="Arial" w:hAnsi="Arial"/>
          <w:sz w:val="14"/>
          <w:szCs w:val="14"/>
          <w:color w:val="auto"/>
        </w:rPr>
      </w:pPr>
      <w:r>
        <w:rPr>
          <w:rFonts w:ascii="Arial" w:cs="Arial" w:eastAsia="Arial" w:hAnsi="Arial"/>
          <w:sz w:val="12"/>
          <w:szCs w:val="12"/>
          <w:color w:val="auto"/>
        </w:rPr>
        <w:t>For the first tranche, that will vest March 16, 2012, Messrs. Molloy and Metscher each elected to receive 25% in stock options and 25% in shares of restricted stock. Accordingly, for Messrs. Molloy and Metscher stock options of 13,955 and 12,881, respectively, and 4,796 and 4,428 shares of restricted stock, respectively, will vest on March 16, 2012. For the second and third tranches, Messrs. Molloy and Metscher elected to receive 50% of their awards in shares of restricted stock. Accordingly, 19,184 and 17,708 shares of restricted stock for Messrs. Molloy and Metscher, respectively, will vest in two equal tranches on March 16, 2013 and March 16, 2014. Due to Mr. Metscher’s termination of employment, his award was forfeited.</w:t>
      </w:r>
    </w:p>
    <w:p>
      <w:pPr>
        <w:spacing w:after="0" w:line="26"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value of shares was calculated using the closing price of our common stock of $4.14 on January 28, 2011.</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These options fully vest on May 1, 2011.</w:t>
      </w:r>
    </w:p>
    <w:p>
      <w:pPr>
        <w:spacing w:after="0" w:line="55" w:lineRule="exact"/>
        <w:rPr>
          <w:rFonts w:ascii="Arial" w:cs="Arial" w:eastAsia="Arial" w:hAnsi="Arial"/>
          <w:sz w:val="14"/>
          <w:szCs w:val="14"/>
          <w:color w:val="auto"/>
        </w:rPr>
      </w:pPr>
    </w:p>
    <w:p>
      <w:pPr>
        <w:ind w:left="340" w:right="40" w:hanging="332"/>
        <w:spacing w:after="0" w:line="263"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These equity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Mr. Levin elected to receive 50% of each tranche in shares of restricted stock; therefore, one-third of his award vests each year with the first one-third vesting on March 19, 2011. Mr. Hernreich elected to receive 50% of his second tranche and 100% of his third tranche in shares of restricted stock; therefore, one-third of his award will vest on the second anniversary of the date of grant, March 19, 2012, and the remaining two-thirds will vest on the third anniversary of the date of grant, March 19, 2013.</w:t>
      </w:r>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4"/>
          <w:szCs w:val="14"/>
          <w:color w:val="auto"/>
        </w:rPr>
        <w:t>Mr. Molloy elected to receive 25% of the first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8" w:name="page39"/>
    <w:bookmarkEnd w:id="38"/>
    <w:p>
      <w:pPr>
        <w:ind w:left="340" w:right="100"/>
        <w:spacing w:after="0" w:line="239"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tranche in stock options and 25% of the second and third tranches in shares of restricted stock; therefore, the 20,606 stock options fully vested on the first anniversary of the date of grant, March 19, 2011, and 50% of the 14,250 shares of restricted stock will vest on March 19, 2012 with the remaining 50% vesting on March 19, 2013.</w:t>
      </w:r>
    </w:p>
    <w:p>
      <w:pPr>
        <w:spacing w:after="0" w:line="44" w:lineRule="exact"/>
        <w:rPr>
          <w:sz w:val="20"/>
          <w:szCs w:val="20"/>
          <w:color w:val="auto"/>
        </w:rPr>
      </w:pPr>
    </w:p>
    <w:p>
      <w:pPr>
        <w:ind w:left="340" w:right="240" w:hanging="332"/>
        <w:spacing w:after="0" w:line="23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These shares of restricted stock were granted on May 13, 2009. The remaining shares vest ratably over the next two years, with 6,666 of the shares vesting on May 13, 2011 and 6,667 shares vesting on May 13, 2012. Messrs. Hearn and Metscher were entitled to the restricted shares that vested on May 13, 2011; however, due to their employment terminations, 6,667 shares of restricted stock will be forfeited by each.</w:t>
      </w:r>
    </w:p>
    <w:p>
      <w:pPr>
        <w:spacing w:after="0" w:line="44" w:lineRule="exact"/>
        <w:rPr>
          <w:rFonts w:ascii="Arial" w:cs="Arial" w:eastAsia="Arial" w:hAnsi="Arial"/>
          <w:sz w:val="14"/>
          <w:szCs w:val="14"/>
          <w:color w:val="auto"/>
        </w:rPr>
      </w:pPr>
    </w:p>
    <w:p>
      <w:pPr>
        <w:ind w:left="340" w:right="500" w:hanging="332"/>
        <w:spacing w:after="0" w:line="318" w:lineRule="auto"/>
        <w:tabs>
          <w:tab w:leader="none" w:pos="3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Mr. Molloy’s stock options vest ratably over three years, commencing on February 8, 2009, the one-year anniversary from the date of grant. Mr. Hearn’s stock options vest ratably over three years, commencing on June 13, 2009, the one-year anniversary from the date of grant. Due to his employment termination, Mr. Hearn forfeited the 3,333 unvested stock options.</w:t>
      </w:r>
    </w:p>
    <w:p>
      <w:pPr>
        <w:spacing w:after="0" w:line="76"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2010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920" w:type="dxa"/>
            <w:vAlign w:val="bottom"/>
            <w:tcBorders>
              <w:bottom w:val="single" w:sz="8" w:color="auto"/>
            </w:tcBorders>
            <w:gridSpan w:val="2"/>
          </w:tcPr>
          <w:p>
            <w:pPr>
              <w:ind w:left="980"/>
              <w:spacing w:after="0"/>
              <w:rPr>
                <w:sz w:val="20"/>
                <w:szCs w:val="20"/>
                <w:color w:val="auto"/>
              </w:rPr>
            </w:pPr>
            <w:r>
              <w:rPr>
                <w:rFonts w:ascii="Arial" w:cs="Arial" w:eastAsia="Arial" w:hAnsi="Arial"/>
                <w:sz w:val="14"/>
                <w:szCs w:val="14"/>
                <w:b w:val="1"/>
                <w:bCs w:val="1"/>
                <w:color w:val="auto"/>
                <w:w w:val="92"/>
              </w:rPr>
              <w:t>Option Awards</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4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92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00" w:type="dxa"/>
            <w:vAlign w:val="bottom"/>
            <w:gridSpan w:val="2"/>
          </w:tcPr>
          <w:p>
            <w:pPr>
              <w:jc w:val="right"/>
              <w:ind w:right="860"/>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Value Realized</w:t>
            </w: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Acquired</w:t>
            </w: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81"/>
              </w:rPr>
              <w:t>on Exercise</w:t>
            </w:r>
          </w:p>
        </w:tc>
        <w:tc>
          <w:tcPr>
            <w:tcW w:w="19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61"/>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98"/>
              <w:spacing w:after="0"/>
              <w:rPr>
                <w:sz w:val="20"/>
                <w:szCs w:val="20"/>
                <w:color w:val="auto"/>
              </w:rPr>
            </w:pPr>
            <w:r>
              <w:rPr>
                <w:rFonts w:ascii="Arial" w:cs="Arial" w:eastAsia="Arial" w:hAnsi="Arial"/>
                <w:sz w:val="14"/>
                <w:szCs w:val="14"/>
                <w:b w:val="1"/>
                <w:bCs w:val="1"/>
                <w:color w:val="auto"/>
              </w:rPr>
              <w:t>($)(1)</w:t>
            </w:r>
          </w:p>
        </w:tc>
        <w:tc>
          <w:tcPr>
            <w:tcW w:w="9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8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452,813</w:t>
            </w: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6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940"/>
              <w:spacing w:after="0"/>
              <w:rPr>
                <w:sz w:val="20"/>
                <w:szCs w:val="20"/>
                <w:color w:val="auto"/>
              </w:rPr>
            </w:pPr>
            <w:r>
              <w:rPr>
                <w:rFonts w:ascii="Arial" w:cs="Arial" w:eastAsia="Arial" w:hAnsi="Arial"/>
                <w:sz w:val="18"/>
                <w:szCs w:val="18"/>
                <w:color w:val="auto"/>
              </w:rPr>
              <w:t>12,275</w:t>
            </w:r>
          </w:p>
        </w:tc>
        <w:tc>
          <w:tcPr>
            <w:tcW w:w="19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Douglas Hearn</w:t>
            </w:r>
          </w:p>
        </w:tc>
        <w:tc>
          <w:tcPr>
            <w:tcW w:w="19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6,667</w:t>
            </w:r>
          </w:p>
        </w:tc>
        <w:tc>
          <w:tcPr>
            <w:tcW w:w="86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1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w:t>
            </w:r>
          </w:p>
        </w:tc>
        <w:tc>
          <w:tcPr>
            <w:tcW w:w="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Average of Highest Five Years of Compensation</w:t>
            </w:r>
          </w:p>
        </w:tc>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0"/>
              </w:rPr>
              <w:t>Representative Years of Service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3"/>
            <w:vMerge w:val="continue"/>
          </w:tcPr>
          <w:p>
            <w:pPr>
              <w:spacing w:after="0"/>
              <w:rPr>
                <w:sz w:val="12"/>
                <w:szCs w:val="12"/>
                <w:color w:val="auto"/>
              </w:rPr>
            </w:pPr>
          </w:p>
        </w:tc>
        <w:tc>
          <w:tcPr>
            <w:tcW w:w="482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10yrs</w:t>
            </w:r>
          </w:p>
        </w:tc>
        <w:tc>
          <w:tcPr>
            <w:tcW w:w="540" w:type="dxa"/>
            <w:vAlign w:val="bottom"/>
          </w:tcPr>
          <w:p>
            <w:pPr>
              <w:spacing w:after="0"/>
              <w:rPr>
                <w:sz w:val="12"/>
                <w:szCs w:val="12"/>
                <w:color w:val="auto"/>
              </w:rPr>
            </w:pPr>
          </w:p>
        </w:tc>
        <w:tc>
          <w:tcPr>
            <w:tcW w:w="6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20yrs</w:t>
            </w:r>
          </w:p>
        </w:tc>
        <w:tc>
          <w:tcPr>
            <w:tcW w:w="68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30yrs (maximum)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88"/>
              </w:rPr>
              <w:t>$ 50,000</w:t>
            </w:r>
          </w:p>
        </w:tc>
        <w:tc>
          <w:tcPr>
            <w:tcW w:w="17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$ 4,977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$ 9,953</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w w:val="95"/>
              </w:rPr>
              <w:t>100,000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11,977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5"/>
              </w:rPr>
              <w:t>150,000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w w:val="95"/>
              </w:rPr>
              <w:t>200,000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25,977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250,000*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8"/>
                <w:szCs w:val="18"/>
                <w:color w:val="auto"/>
                <w:w w:val="99"/>
              </w:rPr>
              <w:t>267,326*</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35,402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300,000*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7" w:right="239" w:bottom="1440" w:gutter="0" w:footer="0" w:header="0"/>
        </w:sectPr>
      </w:pPr>
    </w:p>
    <w:bookmarkStart w:id="39" w:name="page40"/>
    <w:bookmarkEnd w:id="39"/>
    <w:p>
      <w:pPr>
        <w:jc w:val="both"/>
        <w:ind w:right="2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the plan and, therefore, have no accumulated benefits.</w:t>
      </w:r>
    </w:p>
    <w:p>
      <w:pPr>
        <w:spacing w:after="0" w:line="1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29, 2011: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6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8"/>
              </w:rPr>
              <w:t>Weighted-</w:t>
            </w: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3"/>
              </w:rPr>
              <w:t>average</w:t>
            </w:r>
          </w:p>
        </w:tc>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78"/>
              </w:rPr>
              <w:t>exercise</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6"/>
              </w:rPr>
              <w:t>price of</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8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0" w:type="dxa"/>
            <w:vAlign w:val="bottom"/>
          </w:tcPr>
          <w:p>
            <w:pPr>
              <w:spacing w:after="0"/>
              <w:rPr>
                <w:sz w:val="12"/>
                <w:szCs w:val="12"/>
                <w:color w:val="auto"/>
              </w:rPr>
            </w:pPr>
          </w:p>
        </w:tc>
        <w:tc>
          <w:tcPr>
            <w:tcW w:w="17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80"/>
              </w:rPr>
              <w:t>options,</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8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warrants</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7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86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8"/>
              </w:rPr>
              <w:t>and rights</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reflected in column (a))(2)</w:t>
            </w:r>
          </w:p>
        </w:tc>
        <w:tc>
          <w:tcPr>
            <w:tcW w:w="0" w:type="dxa"/>
            <w:vAlign w:val="bottom"/>
          </w:tcPr>
          <w:p>
            <w:pPr>
              <w:spacing w:after="0"/>
              <w:rPr>
                <w:sz w:val="1"/>
                <w:szCs w:val="1"/>
                <w:color w:val="auto"/>
              </w:rPr>
            </w:pPr>
          </w:p>
        </w:tc>
      </w:tr>
      <w:tr>
        <w:trPr>
          <w:trHeight w:val="161"/>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270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17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9"/>
              </w:rPr>
              <w:t>(b)</w:t>
            </w:r>
          </w:p>
        </w:tc>
        <w:tc>
          <w:tcPr>
            <w:tcW w:w="2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2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2,939,097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5.42</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3,736,329(3),(4)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ind w:left="200"/>
              <w:spacing w:after="0"/>
              <w:rPr>
                <w:sz w:val="20"/>
                <w:szCs w:val="20"/>
                <w:color w:val="auto"/>
              </w:rPr>
            </w:pPr>
            <w:r>
              <w:rPr>
                <w:rFonts w:ascii="Arial" w:cs="Arial" w:eastAsia="Arial" w:hAnsi="Arial"/>
                <w:sz w:val="18"/>
                <w:szCs w:val="18"/>
                <w:color w:val="auto"/>
              </w:rPr>
              <w:t>holders(2)</w:t>
            </w:r>
          </w:p>
        </w:tc>
        <w:tc>
          <w:tcPr>
            <w:tcW w:w="2700" w:type="dxa"/>
            <w:vAlign w:val="bottom"/>
            <w:gridSpan w:val="2"/>
          </w:tcPr>
          <w:p>
            <w:pPr>
              <w:jc w:val="right"/>
              <w:ind w:right="1180"/>
              <w:spacing w:after="0"/>
              <w:rPr>
                <w:sz w:val="20"/>
                <w:szCs w:val="20"/>
                <w:color w:val="auto"/>
              </w:rPr>
            </w:pPr>
            <w:r>
              <w:rPr>
                <w:rFonts w:ascii="Arial" w:cs="Arial" w:eastAsia="Arial" w:hAnsi="Arial"/>
                <w:sz w:val="18"/>
                <w:szCs w:val="18"/>
                <w:color w:val="auto"/>
              </w:rPr>
              <w:t>730,000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1180"/>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63</w:t>
            </w:r>
          </w:p>
        </w:tc>
        <w:tc>
          <w:tcPr>
            <w:tcW w:w="1540" w:type="dxa"/>
            <w:vAlign w:val="bottom"/>
          </w:tcPr>
          <w:p>
            <w:pPr>
              <w:jc w:val="right"/>
              <w:spacing w:after="0"/>
              <w:rPr>
                <w:sz w:val="20"/>
                <w:szCs w:val="20"/>
                <w:color w:val="auto"/>
              </w:rPr>
            </w:pPr>
            <w:r>
              <w:rPr>
                <w:rFonts w:ascii="Arial" w:cs="Arial" w:eastAsia="Arial" w:hAnsi="Arial"/>
                <w:sz w:val="18"/>
                <w:szCs w:val="18"/>
                <w:color w:val="auto"/>
              </w:rPr>
              <w:t>500,000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7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3,669,097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06</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4,236,329(3),(4)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05"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During fiscal 2010, we had one stockholder-approved equity compensation plan, our 2006 Plan. Pursuant to the 2006 Plan, at January 29, 2011, we had a total of 3.7 million shares authorized for issuance of which 2.8 million shares remained available for future issuances. At January 29, 2011, we had</w:t>
      </w:r>
    </w:p>
    <w:p>
      <w:pPr>
        <w:ind w:left="460" w:right="320"/>
        <w:spacing w:after="0" w:line="250" w:lineRule="auto"/>
        <w:rPr>
          <w:rFonts w:ascii="Arial" w:cs="Arial" w:eastAsia="Arial" w:hAnsi="Arial"/>
          <w:sz w:val="15"/>
          <w:szCs w:val="15"/>
          <w:color w:val="auto"/>
        </w:rPr>
      </w:pPr>
      <w:r>
        <w:rPr>
          <w:rFonts w:ascii="Arial" w:cs="Arial" w:eastAsia="Arial" w:hAnsi="Arial"/>
          <w:sz w:val="18"/>
          <w:szCs w:val="18"/>
          <w:color w:val="auto"/>
        </w:rPr>
        <w:t>1.0 million options outstanding. We also had 1.9 million options still outstanding as part of our 1992 Stock Incentive Plan (the “1992 Plan”). No further grants can be made under the 1992 Plan.</w:t>
      </w:r>
    </w:p>
    <w:p>
      <w:pPr>
        <w:ind w:left="4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Prior to 2006, our Board of Directors and the Compensation Committee had the reasonable discretion to issue shares outside of the 1992 Plan, subject to the rules of Nasdaq. These outstanding options to purchase up to 730,000 shares of our common stock, with exercise prices ranging from $3.15 to $5.01 per share, were granted between fiscal 2001 and fiscal 2002. These options represent grants to consultants and also options granted to our executives that were in excess of our plans’ annual maximums during those fiscal years. At January 29, 2011, all of these options were exercisable. In addition, pursuant to our Non-Employee Director Compensation Plan, we have a total 500,000 shares available for stock issuances in lieu of cash director fees, of which all remained available at January 29, 2011.</w:t>
      </w:r>
    </w:p>
    <w:p>
      <w:pPr>
        <w:spacing w:after="0" w:line="2"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January 29, 2011, 2,779,501 shares remained subject to this limitation. Subsequent to January 29, 2011, on March 16, 2011, we granted a total of 538,661 shares of unvested restricted stock to certain members of our executive group in connection with achieving targets under our LTIP for fiscal 2010.</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Subsequent to January 29, 2011, on March 16, 2011, we granted options to purchase 72,576 shares of common stock to certain members of our executive group in connection with achieving targets under our LTIP for fiscal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401(k) Plans</w:t>
      </w:r>
    </w:p>
    <w:p>
      <w:pPr>
        <w:spacing w:after="0" w:line="8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two defined contribution plans, the Casual Male Retail Group, Inc. 401(k) Salaried Savings Plan and the Casual Male Retail Group, Inc. 401(k) Hourly Savings Plan (the “401(k) Plans”). The 401(k) Plans cover all eligible employees who are at least 21 years of age and have completed the required months of service, which is six months for the 401(k) Salaried Savings Plan and 1000 hours or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3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During fiscal 2010, Seymour Holtzman, our Chairman of the Board of Directors, was compensated by us both directly (as an employee of our Company) and indirectly (as the president and chief executive officer and, together with his wife, indirectly, the majority shareholder of JMI). A complete summary of all compensation and consulting fees paid to Mr. Holtzman is described above under </w:t>
      </w:r>
      <w:r>
        <w:rPr>
          <w:rFonts w:ascii="Arial" w:cs="Arial" w:eastAsia="Arial" w:hAnsi="Arial"/>
          <w:sz w:val="18"/>
          <w:szCs w:val="18"/>
          <w:i w:val="1"/>
          <w:iCs w:val="1"/>
          <w:color w:val="auto"/>
        </w:rPr>
        <w:t>“Corporate Governance—2010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74"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2010, we believe that the current Reporting Persons complied with all applicable Section 16(a) reporting requirements and that all required reports were filed in a timely manner, with the following exception. In April 2010, Mr. Levin filed a late Form 4 for stock compensation received in connection with our 2009 LTIP on March 19, 2010.</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74" w:right="29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Dodd-Frank Wall Street Reform and Consumer Protection Act added Section 14A to the Exchange Act, which requires that we provide our stockholders with the opportunity to vote to approve, on a non-binding, advisory basis, the compensation of our Named Executive Officers as disclosed in this Proxy Statement in accordance with the compensation disclosure rules of the SEC.</w:t>
      </w:r>
    </w:p>
    <w:p>
      <w:pPr>
        <w:spacing w:after="0" w:line="12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93"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total direct compensation is directly in line with our total stockholder return over the past two fiscal years. Similar to most public companies, we were negatively impacted by the volatile economic environment during fiscal 2008. Over the past two years, we have taken the steps necessary to be profitable and cash flow positive given the weakened economy. This financial performance is a key component of our executive compensation for fiscal 2010. The following chart is a summary of our financial performance over the past two years: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0"/>
              </w:rPr>
              <w:t>Fiscal</w:t>
            </w:r>
          </w:p>
        </w:tc>
        <w:tc>
          <w:tcPr>
            <w:tcW w:w="320" w:type="dxa"/>
            <w:vAlign w:val="bottom"/>
          </w:tcPr>
          <w:p>
            <w:pPr>
              <w:spacing w:after="0"/>
              <w:rPr>
                <w:sz w:val="14"/>
                <w:szCs w:val="14"/>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5"/>
              </w:rPr>
              <w:t>Fiscal</w:t>
            </w:r>
          </w:p>
        </w:tc>
        <w:tc>
          <w:tcPr>
            <w:tcW w:w="3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Fiscal</w:t>
            </w:r>
          </w:p>
        </w:tc>
      </w:t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Total indebtedness at fiscal year-end </w:t>
            </w:r>
            <w:r>
              <w:rPr>
                <w:rFonts w:ascii="Arial" w:cs="Arial" w:eastAsia="Arial" w:hAnsi="Arial"/>
                <w:sz w:val="18"/>
                <w:szCs w:val="18"/>
                <w:i w:val="1"/>
                <w:iCs w:val="1"/>
                <w:color w:val="auto"/>
              </w:rPr>
              <w:t>(in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 xml:space="preserve">Net income </w:t>
            </w:r>
            <w:r>
              <w:rPr>
                <w:rFonts w:ascii="Arial" w:cs="Arial" w:eastAsia="Arial" w:hAnsi="Arial"/>
                <w:sz w:val="18"/>
                <w:szCs w:val="18"/>
                <w:i w:val="1"/>
                <w:iCs w:val="1"/>
                <w:color w:val="auto"/>
              </w:rPr>
              <w:t>(in millions)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(109.3)(1)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$15.4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Adjusted EBITDA, a non-GAAP measure(2) </w:t>
            </w:r>
            <w:r>
              <w:rPr>
                <w:rFonts w:ascii="Arial" w:cs="Arial" w:eastAsia="Arial" w:hAnsi="Arial"/>
                <w:sz w:val="18"/>
                <w:szCs w:val="18"/>
                <w:i w:val="1"/>
                <w:iCs w:val="1"/>
                <w:color w:val="auto"/>
              </w:rPr>
              <w:t>(in millions)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23.5</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$29.5</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Operating Margin Percentage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4.1%</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0.14</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Stock Price at fiscal year end(3)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0.38</w:t>
            </w:r>
          </w:p>
        </w:tc>
        <w:tc>
          <w:tcPr>
            <w:tcW w:w="5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2.80</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$4.14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CMRG Shareholder Return (“TSR”)(4)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636.8%</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w:t>
            </w:r>
          </w:p>
        </w:tc>
      </w:tr>
      <w:tr>
        <w:trPr>
          <w:trHeight w:val="228"/>
        </w:trPr>
        <w:tc>
          <w:tcPr>
            <w:tcW w:w="8060" w:type="dxa"/>
            <w:vAlign w:val="bottom"/>
          </w:tcPr>
          <w:p>
            <w:pPr>
              <w:spacing w:after="0"/>
              <w:rPr>
                <w:sz w:val="20"/>
                <w:szCs w:val="20"/>
                <w:color w:val="auto"/>
              </w:rPr>
            </w:pPr>
            <w:r>
              <w:rPr>
                <w:rFonts w:ascii="Arial" w:cs="Arial" w:eastAsia="Arial" w:hAnsi="Arial"/>
                <w:sz w:val="18"/>
                <w:szCs w:val="18"/>
                <w:color w:val="auto"/>
              </w:rPr>
              <w:t>S&amp;P 500 Composite Retail Index(5)</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53.7%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60" w:hanging="452"/>
        <w:spacing w:after="0" w:line="253"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fiscal 2008, as a result of the decreases in our market capitalization caused by the volatility in the financial markets, we recorded substantial non-cash charges totaling $100.0 million, or $2.42 per diluted share, related primarily to the impairment of goodwill and trademarks as well as a valuation allowance against our deferred tax assets.</w:t>
      </w:r>
    </w:p>
    <w:p>
      <w:pPr>
        <w:ind w:left="4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Adjusted EBITDA is a non-GAAP measure and is defined as income from continuing operations before interest, taxes, depreciation and amortization and is adjusted each period to exclude other income.</w:t>
      </w: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closing market price of our common stock on the last business day of the respective fiscal year.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TSR is calculated as the change in stock price over the preceding fiscal year.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annual return percentage of the S&amp;P 500 Composite Retail, a broad market index.</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describes in detail our executive compensation programs and the decisions made by the Compensation Committee with respect to fiscal 2010. Highlights from our executive compensation program include the following:</w:t>
      </w:r>
    </w:p>
    <w:p>
      <w:pPr>
        <w:spacing w:after="0" w:line="46" w:lineRule="exact"/>
        <w:rPr>
          <w:sz w:val="20"/>
          <w:szCs w:val="20"/>
          <w:color w:val="auto"/>
        </w:rPr>
      </w:pPr>
    </w:p>
    <w:p>
      <w:pPr>
        <w:ind w:left="780" w:right="60" w:hanging="326"/>
        <w:spacing w:after="0" w:line="325" w:lineRule="auto"/>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Performance is a key component of our philosophy for executive compensation, representing approximately 67% of our Key Executives’ annual target total direct compensation and approximately 51% of our Senior Executives’ annual target direct compensation;</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performance-based compensation for fiscal 2010 consisted of:</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annual cash incentive based on achievement of a specified performance goal for fiscal 2010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3" w:name="page44"/>
    <w:bookmarkEnd w:id="43"/>
    <w:p>
      <w:pPr>
        <w:ind w:left="1260" w:right="180" w:hanging="455"/>
        <w:spacing w:after="0" w:line="268"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long-term incentive which is also based on achievement of specified performance goals for fiscal 2010, </w:t>
      </w:r>
      <w:r>
        <w:rPr>
          <w:rFonts w:ascii="Arial" w:cs="Arial" w:eastAsia="Arial" w:hAnsi="Arial"/>
          <w:sz w:val="18"/>
          <w:szCs w:val="18"/>
          <w:i w:val="1"/>
          <w:iCs w:val="1"/>
          <w:color w:val="auto"/>
        </w:rPr>
        <w:t>but</w:t>
      </w:r>
      <w:r>
        <w:rPr>
          <w:rFonts w:ascii="Arial" w:cs="Arial" w:eastAsia="Arial" w:hAnsi="Arial"/>
          <w:sz w:val="18"/>
          <w:szCs w:val="18"/>
          <w:color w:val="auto"/>
        </w:rPr>
        <w:t xml:space="preserve"> which vests ratably over a three-year period starting on the first anniversary of the date of grant; and,</w:t>
      </w:r>
    </w:p>
    <w:p>
      <w:pPr>
        <w:spacing w:after="0" w:line="37" w:lineRule="exact"/>
        <w:rPr>
          <w:rFonts w:ascii="Arial" w:cs="Arial" w:eastAsia="Arial" w:hAnsi="Arial"/>
          <w:sz w:val="18"/>
          <w:szCs w:val="18"/>
          <w:color w:val="auto"/>
        </w:rPr>
      </w:pPr>
    </w:p>
    <w:p>
      <w:pPr>
        <w:ind w:left="780" w:right="104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the Company’s financial performance for fiscal 2010, the Named Executive Officers earned an annual cash incentive payout of approximately 107% of their target and a long-term incentive payout of approximately 106% of target.</w:t>
      </w:r>
    </w:p>
    <w:p>
      <w:pPr>
        <w:spacing w:after="0" w:line="37" w:lineRule="exact"/>
        <w:rPr>
          <w:rFonts w:ascii="Arial" w:cs="Arial" w:eastAsia="Arial" w:hAnsi="Arial"/>
          <w:sz w:val="18"/>
          <w:szCs w:val="18"/>
          <w:color w:val="auto"/>
        </w:rPr>
      </w:pPr>
    </w:p>
    <w:p>
      <w:pPr>
        <w:ind w:left="780" w:right="100" w:hanging="326"/>
        <w:spacing w:after="0" w:line="28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fiscal 2010, Mr. Levin, President and Chief Executive Officer, earned total compensation of $2.9 million, of which $1.7 million was performance-based compensation. Of the $1.7 million in performance-based compensation, approximately $0.9 million is subject to a three-year vesting.</w:t>
      </w:r>
    </w:p>
    <w:p>
      <w:pPr>
        <w:ind w:left="780" w:right="200"/>
        <w:spacing w:after="0" w:line="320" w:lineRule="auto"/>
        <w:rPr>
          <w:rFonts w:ascii="Arial" w:cs="Arial" w:eastAsia="Arial" w:hAnsi="Arial"/>
          <w:sz w:val="16"/>
          <w:szCs w:val="16"/>
          <w:color w:val="auto"/>
        </w:rPr>
      </w:pPr>
      <w:r>
        <w:rPr>
          <w:rFonts w:ascii="Arial" w:cs="Arial" w:eastAsia="Arial" w:hAnsi="Arial"/>
          <w:sz w:val="15"/>
          <w:szCs w:val="15"/>
          <w:color w:val="auto"/>
        </w:rPr>
        <w:t>Mr. Levin’s total compensation for fiscal 2010 of $2.9 million decreased 1.2% from total compensation earned in fiscal 2009 of $3.0 million. (Mr. Levin’s compensation for fiscal 2010 includes a retention award of $361,469. This amount represents the fair value of an option to purchase 347,566 shares of our common stock, which was granted to Mr. Levin on March 31, 2010. The exercise price of the option is $4.55 per share and the closing price of our stock on the date of grant was $3.86 per share. The option became fully vested on May 6, 2011 and will expire on May 6, 2012).</w:t>
      </w:r>
    </w:p>
    <w:p>
      <w:pPr>
        <w:spacing w:after="0" w:line="5" w:lineRule="exact"/>
        <w:rPr>
          <w:rFonts w:ascii="Arial" w:cs="Arial" w:eastAsia="Arial" w:hAnsi="Arial"/>
          <w:sz w:val="16"/>
          <w:szCs w:val="16"/>
          <w:color w:val="auto"/>
        </w:rPr>
      </w:pPr>
    </w:p>
    <w:p>
      <w:pPr>
        <w:ind w:left="780" w:right="60" w:hanging="326"/>
        <w:spacing w:after="0" w:line="256"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fiscal 2010, Mr. Hernreich, Executive Vice President, Chief Operating Officer, Chief Financial Officer, Treasurer and Secretary, earned total compensation of $2.0 million, of which $1.3 million was performance-based compensation. Of the $1.3 million in performance-based compensation, approximately $0.7 million is subject to a three-year vesting. Mr. Hernreich’s total compensation for fiscal 2010 of $2.0 million decreased 13.5% from total compensation earned in fiscal 2009 of $2.3 million.</w:t>
      </w:r>
    </w:p>
    <w:p>
      <w:pPr>
        <w:spacing w:after="0" w:line="48" w:lineRule="exact"/>
        <w:rPr>
          <w:rFonts w:ascii="Arial" w:cs="Arial" w:eastAsia="Arial" w:hAnsi="Arial"/>
          <w:sz w:val="18"/>
          <w:szCs w:val="18"/>
          <w:color w:val="auto"/>
        </w:rPr>
      </w:pPr>
    </w:p>
    <w:p>
      <w:pPr>
        <w:ind w:left="780" w:right="60" w:hanging="326"/>
        <w:spacing w:after="0" w:line="30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Given his widespread expertise and the multiple roles that Mr. Hernreich fulfills, including but not limited to, serving as our Chief Financial Officer as well as Chief Operating Officer, the Compensation Committee believes that Mr. Hernreich’s compensation is appropriate and the expense to the Company is far below the expense which would be incurred by adding additional executives to fill the many roles filled by Mr. Hernreich.</w:t>
      </w:r>
    </w:p>
    <w:p>
      <w:pPr>
        <w:spacing w:after="0" w:line="12" w:lineRule="exact"/>
        <w:rPr>
          <w:rFonts w:ascii="Arial" w:cs="Arial" w:eastAsia="Arial" w:hAnsi="Arial"/>
          <w:sz w:val="16"/>
          <w:szCs w:val="16"/>
          <w:color w:val="auto"/>
        </w:rPr>
      </w:pPr>
    </w:p>
    <w:p>
      <w:pPr>
        <w:ind w:left="780" w:right="58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Unlike most of our peers, we do not have a Chief Merchandising Officer and a separate Chief Financial Officer. The concentration of these key responsibilities reside with Messrs. Levin and Hernreich.</w:t>
      </w:r>
    </w:p>
    <w:p>
      <w:pPr>
        <w:spacing w:after="0" w:line="37" w:lineRule="exact"/>
        <w:rPr>
          <w:rFonts w:ascii="Arial" w:cs="Arial" w:eastAsia="Arial" w:hAnsi="Arial"/>
          <w:sz w:val="18"/>
          <w:szCs w:val="18"/>
          <w:color w:val="auto"/>
        </w:rPr>
      </w:pPr>
    </w:p>
    <w:p>
      <w:pPr>
        <w:jc w:val="both"/>
        <w:ind w:left="780" w:right="180" w:hanging="326"/>
        <w:spacing w:after="0" w:line="306"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fiscal 2010, the three other Named Executive Officers earned, in aggregate, a total of $1.9 million, of which $1.0 million was performance-based compensation. Of the $1.0 million in performance-based compensation, approximately $0.7 million is subject to a three-year vesting. Because of the departure of two of the three Named Executive Officers, $0.4 million of fiscal 2010 long-term awards was forfeited.</w:t>
      </w:r>
    </w:p>
    <w:p>
      <w:pPr>
        <w:spacing w:after="0" w:line="9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2010 compensation of the Named Executive Officers.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is asking stockholders to approve the compensation of our Named Executive Officers as disclosed pursuant to the SEC’s compensation disclosure rules (which includes the Compensation and Discussion Analysis, the compensation tables and the narrative disclosures). As an advisory vote, this proposal is not binding upon the Company.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12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including Compensation Discussion and Analysis, compensation tables and narrative discussion, is hereby APPROVED.”</w:t>
      </w:r>
    </w:p>
    <w:p>
      <w:pPr>
        <w:spacing w:after="0" w:line="6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4" w:name="page45"/>
    <w:bookmarkEnd w:id="44"/>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w:t>
      </w:r>
    </w:p>
    <w:p>
      <w:pPr>
        <w:spacing w:after="0" w:line="7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ADVISORY VOTE ON THE FREQUENCY OF HOLDING</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VOTES ON NAMED EXECUTIVE OFFICER COMPENSATION</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Dodd-Frank Wall Street Reform and Consumer Protection Act added Section 14A to the Exchange Act, which requires that we provide our stockholders with the opportunity to vote, on a non-binding, advisory basis, for their preference as to how frequently to vote on future advisory votes on the compensation of our named executive officers as disclosed in accordance with the disclosure rules of the SEC.</w:t>
      </w:r>
    </w:p>
    <w:p>
      <w:pPr>
        <w:spacing w:after="0" w:line="12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Shareholders may indicate whether they would prefer that we conduct future advisory votes on named executive officer compensation once every one, two, or three years. Stockholders also may abstain from casting a vote on this proposal.</w:t>
      </w:r>
    </w:p>
    <w:p>
      <w:pPr>
        <w:spacing w:after="0" w:line="11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Board of Directors has determined that an advisory vote on named executive officer compensation that occurs each year is the most appropriate alternative for the Company and therefore the Board recommends that you vote for the “one year” option with respect to the advisory vote on named executive officer compensation. The Board of Directors believes that an annual advisory vote on named executive officer compensation is the optimal interval for conducting and responding to a “Say-on-Pay” vote. The Board of Directors also believes this frequency is in alignment with our executive compensation practices, as we review the core elements of our executive compensation program annually. By providing an advisory vote on named executive officer compensation on an annual basis, our stockholders will be able to provide us with direct input on our compensation philosophy, policies and practices as disclosed in the Proxy Statement every year.</w:t>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proxy card provides stockholders with the opportunity to choose among four options (holding the vote every one, two or three years, or abstain from voting) and, therefore, stockholders will not be voting to approve or disapprove the recommendation of the Board of Directors. Generally, the affirmative vote of the majority of the votes cast is necessary to approve any matter being submitted to stockholders at the Annual Meeting. However, because this vote is advisory and non-binding, if none of the three frequency options receives the vote of the holders of a majority of the votes cast, the Company will consider the frequency option (one year, two years or three years) receiving the highest number of votes cast by stockholders to be the frequency that has been recommended by stockholders. In addition, because this vote is advisory and non-binding, the Board of Directors may decide that it is in the best interest of our stockholders and the Company to hold future advisory votes on named executive officer compensation more or less frequently.</w:t>
      </w:r>
    </w:p>
    <w:p>
      <w:pPr>
        <w:spacing w:after="0" w:line="9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option of “one-year” as the preferred frequency for advisory votes on named executive officer compensation.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45" w:name="page46"/>
    <w:bookmarkEnd w:id="4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Subject to ratification by our stockholders, the Audit Committee has appointed Ernst &amp; Young LLP as our independent registered public accounting firm for the fiscal year ending January 28, 2012. The agreed upon audit fee for the fiscal year ending January 28, 2012 is approximately $450,000 plus reasonable out-of-pocket expenses. Ernst &amp; Young LLP has served as our auditors since October 2000. Stockholder ratification of our independent registered public accounting firm is not required by our bylaws or otherwise. However, we are submitting the selection of Ernst &amp; Young LLP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Ernst &amp; Young LLP billed us an aggregate of $629,000 and $638,750 in fees for fiscal years 2010 and 2009, respectively, for professional services rendered in connection with the audits of our financial statements for the fiscal years ended January 29, 2011 and January 30, 2010 included in our Annual Reports on Form 10-K, for services performed related to compliance with Section 404 of the Sarbanes-Oxley Act of 2002 and the reviews of the financial statements included in each of our Quarterly Reports on Form 10-Q. Fiscal 2009 also included $10,000 in fees related to registration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fiscal 2009, Ernst &amp; Young billed $40,000 in fees related to risk management. No such fees were billed by Ernst &amp; Young for fiscal 2010.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2010 and 2009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2010 and fiscal 2009, Ernst &amp; Young billed us $1,970 and $1,940, respectively, for fees related to an online accounting research tool.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services provided under Audit Fees, Audit-Related Fees, Tax Fees and All Other Fees are approved by the Audit Committee.</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Representatives of Ernst &amp; Young LLP are expected to be available by telephone at the Annual Meeting and will have the opportunity to make a statement if they desire to do so and to respond to appropriate questions.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affirmative vote of a majority of the votes properly cast is required for the ratification of the appointment of Ernst &amp; Young LLP as our independent registered public accounting firm. Any abstentions and broker non-votes will not be counted as votes cast on this proposal and, accordingly, will have no effect.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The Audit Committee and the Board of Directors recommend that you vote FOR the ratification of the appointment of Ernst &amp; Young LLP as our independent registered public accounting firm.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January 29, 2011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6 meetings during the fiscal year ended January 29, 2011.</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29, 2011 for filing with the SEC.</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January 29, 2011 a report by management on our assessment of our internal control over financial reporting, including management’s assessment of the effectiveness of such internal control. Ernst &amp; Young LLP has issued an audit report relative to our internal control over financial reporting at January 29, 2011. During the course of fiscal 2010,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January 29, 2011.</w:t>
      </w:r>
    </w:p>
    <w:p>
      <w:pPr>
        <w:spacing w:after="0" w:line="10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http://www.casualmaleXL.com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2011 Annual Meeting of Stockholders, the proposal must be received by the Secretary of our Company at our principal executive offices by February 22, 2012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2012 Annual Meeting, a stockholder must deliver the requisite notice of such item to the Secretary of our Company not before April 6, 2012 or after May 21, 2012.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74" w:right="299" w:bottom="1440" w:gutter="0" w:footer="0" w:header="0"/>
        </w:sectPr>
      </w:pPr>
    </w:p>
    <w:bookmarkStart w:id="50" w:name="page51"/>
    <w:bookmarkEnd w:id="50"/>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Notice of 2011 Annual Meeting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4, 2011</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 EDT</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 To Be Held On August 4, 2011</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stockholder of Casual Male Retail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4, 2011,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MEETING OF STOCKHOLDERS OF</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4, 2011</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Important Notice Regarding Internet Availability of Proxy Materials for the</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Annual Meeting of Stockholders to be Held on August 4,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Proxy Statement and 2011 Annual Report to Stockholders are available at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www.casualmale.com/proxymaterials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possible.</w:t>
      </w:r>
    </w:p>
    <w:p>
      <w:pPr>
        <w:spacing w:after="0" w:line="205"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i  Please detach along perforated line and mail in the envelope provided. i</w:t>
      </w:r>
    </w:p>
    <w:p>
      <w:pPr>
        <w:sectPr>
          <w:pgSz w:w="11900" w:h="16838" w:orient="portrait"/>
          <w:cols w:equalWidth="0" w:num="1">
            <w:col w:w="11380"/>
          </w:cols>
          <w:pgMar w:left="240" w:top="274" w:right="279" w:bottom="1440" w:gutter="0" w:footer="0" w:header="0"/>
        </w:sect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32"/>
          <w:szCs w:val="32"/>
          <w:color w:val="auto"/>
        </w:rPr>
        <w:t>n</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20830003003000001000</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-1529715</wp:posOffset>
            </wp:positionH>
            <wp:positionV relativeFrom="paragraph">
              <wp:posOffset>203200</wp:posOffset>
            </wp:positionV>
            <wp:extent cx="65430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080510</w:t>
      </w:r>
    </w:p>
    <w:p>
      <w:pPr>
        <w:spacing w:after="0" w:line="210" w:lineRule="exact"/>
        <w:rPr>
          <w:sz w:val="20"/>
          <w:szCs w:val="20"/>
          <w:color w:val="auto"/>
        </w:rPr>
      </w:pPr>
    </w:p>
    <w:p>
      <w:pPr>
        <w:sectPr>
          <w:pgSz w:w="11900" w:h="16838" w:orient="portrait"/>
          <w:cols w:equalWidth="0" w:num="4">
            <w:col w:w="840" w:space="260"/>
            <w:col w:w="1760" w:space="220"/>
            <w:col w:w="6100" w:space="720"/>
            <w:col w:w="1480"/>
          </w:cols>
          <w:pgMar w:left="240" w:top="274" w:right="279" w:bottom="1440" w:gutter="0" w:footer="0" w:header="0"/>
          <w:type w:val="continuous"/>
        </w:sectPr>
      </w:pPr>
    </w:p>
    <w:p>
      <w:pPr>
        <w:spacing w:after="0" w:line="167" w:lineRule="exact"/>
        <w:rPr>
          <w:sz w:val="20"/>
          <w:szCs w:val="20"/>
          <w:color w:val="auto"/>
        </w:rPr>
      </w:pPr>
    </w:p>
    <w:p>
      <w:pPr>
        <w:jc w:val="center"/>
        <w:ind w:left="500" w:right="460"/>
        <w:spacing w:after="0" w:line="227" w:lineRule="exact"/>
        <w:rPr>
          <w:sz w:val="20"/>
          <w:szCs w:val="20"/>
          <w:color w:val="auto"/>
        </w:rPr>
      </w:pPr>
      <w:r>
        <w:rPr>
          <w:rFonts w:ascii="Arial" w:cs="Arial" w:eastAsia="Arial" w:hAnsi="Arial"/>
          <w:sz w:val="18"/>
          <w:szCs w:val="18"/>
          <w:b w:val="1"/>
          <w:bCs w:val="1"/>
          <w:color w:val="auto"/>
        </w:rPr>
        <w:t xml:space="preserve">THE BOARD OF DIRECTORS RECOMMENDS A VOTE “FOR” THE ELECTION OF DIRECTORS AND PROPOSALS 2 AND 4. THE BOARD OF DIRECTORS RECOMMENDS “1 YEAR” FOR PROPOSAL 3. 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142875</wp:posOffset>
            </wp:positionV>
            <wp:extent cx="6543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BOARD OF DIRECTORS RECOMMENDS A VOTE “FOR” ALL NOMINEES NAMED BELOW.</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FOR ALL NOMINEES</w:t>
            </w:r>
          </w:p>
        </w:tc>
        <w:tc>
          <w:tcPr>
            <w:tcW w:w="1960" w:type="dxa"/>
            <w:vAlign w:val="bottom"/>
          </w:tcPr>
          <w:p>
            <w:pPr>
              <w:ind w:left="340"/>
              <w:spacing w:after="0"/>
              <w:rPr>
                <w:sz w:val="20"/>
                <w:szCs w:val="20"/>
                <w:color w:val="auto"/>
              </w:rPr>
            </w:pPr>
            <w:r>
              <w:rPr>
                <w:rFonts w:ascii="Arial" w:cs="Arial" w:eastAsia="Arial" w:hAnsi="Arial"/>
                <w:sz w:val="18"/>
                <w:szCs w:val="18"/>
                <w:b w:val="1"/>
                <w:bCs w:val="1"/>
                <w:color w:val="auto"/>
              </w:rPr>
              <w:t>NOMINEES:</w:t>
            </w: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1960" w:type="dxa"/>
            <w:vAlign w:val="bottom"/>
          </w:tcPr>
          <w:p>
            <w:pPr>
              <w:ind w:left="340"/>
              <w:spacing w:after="0"/>
              <w:rPr>
                <w:sz w:val="20"/>
                <w:szCs w:val="20"/>
                <w:color w:val="auto"/>
              </w:rPr>
            </w:pPr>
            <w:r>
              <w:rPr>
                <w:rFonts w:ascii="Arial" w:cs="Arial" w:eastAsia="Arial" w:hAnsi="Arial"/>
                <w:sz w:val="18"/>
                <w:szCs w:val="18"/>
                <w:color w:val="auto"/>
                <w:w w:val="92"/>
              </w:rPr>
              <w:t>O Seymour Holtzman</w:t>
            </w:r>
          </w:p>
        </w:tc>
        <w:tc>
          <w:tcPr>
            <w:tcW w:w="0" w:type="dxa"/>
            <w:vAlign w:val="bottom"/>
          </w:tcPr>
          <w:p>
            <w:pPr>
              <w:spacing w:after="0"/>
              <w:rPr>
                <w:sz w:val="1"/>
                <w:szCs w:val="1"/>
                <w:color w:val="auto"/>
              </w:rPr>
            </w:pPr>
          </w:p>
        </w:tc>
      </w:tr>
      <w:tr>
        <w:trPr>
          <w:trHeight w:val="238"/>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220"/>
              <w:spacing w:after="0"/>
              <w:rPr>
                <w:sz w:val="20"/>
                <w:szCs w:val="20"/>
                <w:color w:val="auto"/>
              </w:rPr>
            </w:pPr>
            <w:r>
              <w:rPr>
                <w:rFonts w:ascii="Arial" w:cs="Arial" w:eastAsia="Arial" w:hAnsi="Arial"/>
                <w:sz w:val="18"/>
                <w:szCs w:val="18"/>
                <w:b w:val="1"/>
                <w:bCs w:val="1"/>
                <w:color w:val="auto"/>
              </w:rPr>
              <w:t>WITHHOLD</w:t>
            </w:r>
          </w:p>
        </w:tc>
        <w:tc>
          <w:tcPr>
            <w:tcW w:w="1960" w:type="dxa"/>
            <w:vAlign w:val="bottom"/>
          </w:tcPr>
          <w:p>
            <w:pPr>
              <w:ind w:left="340"/>
              <w:spacing w:after="0"/>
              <w:rPr>
                <w:sz w:val="20"/>
                <w:szCs w:val="20"/>
                <w:color w:val="auto"/>
              </w:rPr>
            </w:pPr>
            <w:r>
              <w:rPr>
                <w:rFonts w:ascii="Arial" w:cs="Arial" w:eastAsia="Arial" w:hAnsi="Arial"/>
                <w:sz w:val="18"/>
                <w:szCs w:val="18"/>
                <w:color w:val="auto"/>
              </w:rPr>
              <w:t>O David A. Levin</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22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AUTHORITY</w:t>
            </w:r>
          </w:p>
        </w:tc>
        <w:tc>
          <w:tcPr>
            <w:tcW w:w="1960" w:type="dxa"/>
            <w:vAlign w:val="bottom"/>
          </w:tcPr>
          <w:p>
            <w:pPr>
              <w:ind w:left="340"/>
              <w:spacing w:after="0" w:line="195" w:lineRule="exact"/>
              <w:rPr>
                <w:sz w:val="20"/>
                <w:szCs w:val="20"/>
                <w:color w:val="auto"/>
              </w:rPr>
            </w:pPr>
            <w:r>
              <w:rPr>
                <w:rFonts w:ascii="Arial" w:cs="Arial" w:eastAsia="Arial" w:hAnsi="Arial"/>
                <w:sz w:val="18"/>
                <w:szCs w:val="18"/>
                <w:color w:val="auto"/>
              </w:rPr>
              <w:t>O Alan S. Bernikow</w:t>
            </w:r>
          </w:p>
        </w:tc>
        <w:tc>
          <w:tcPr>
            <w:tcW w:w="0" w:type="dxa"/>
            <w:vAlign w:val="bottom"/>
          </w:tcPr>
          <w:p>
            <w:pPr>
              <w:spacing w:after="0"/>
              <w:rPr>
                <w:sz w:val="1"/>
                <w:szCs w:val="1"/>
                <w:color w:val="auto"/>
              </w:rPr>
            </w:pPr>
          </w:p>
        </w:tc>
      </w:tr>
      <w:tr>
        <w:trPr>
          <w:trHeight w:val="62"/>
        </w:trPr>
        <w:tc>
          <w:tcPr>
            <w:tcW w:w="300" w:type="dxa"/>
            <w:vAlign w:val="bottom"/>
          </w:tcPr>
          <w:p>
            <w:pPr>
              <w:spacing w:after="0"/>
              <w:rPr>
                <w:sz w:val="5"/>
                <w:szCs w:val="5"/>
                <w:color w:val="auto"/>
              </w:rPr>
            </w:pPr>
          </w:p>
        </w:tc>
        <w:tc>
          <w:tcPr>
            <w:tcW w:w="2260" w:type="dxa"/>
            <w:vAlign w:val="bottom"/>
            <w:vMerge w:val="continue"/>
          </w:tcPr>
          <w:p>
            <w:pPr>
              <w:spacing w:after="0"/>
              <w:rPr>
                <w:sz w:val="5"/>
                <w:szCs w:val="5"/>
                <w:color w:val="auto"/>
              </w:rPr>
            </w:pPr>
          </w:p>
        </w:tc>
        <w:tc>
          <w:tcPr>
            <w:tcW w:w="1960" w:type="dxa"/>
            <w:vAlign w:val="bottom"/>
            <w:vMerge w:val="restart"/>
          </w:tcPr>
          <w:p>
            <w:pPr>
              <w:ind w:left="340"/>
              <w:spacing w:after="0"/>
              <w:rPr>
                <w:sz w:val="20"/>
                <w:szCs w:val="20"/>
                <w:color w:val="auto"/>
              </w:rPr>
            </w:pPr>
            <w:r>
              <w:rPr>
                <w:rFonts w:ascii="Arial" w:cs="Arial" w:eastAsia="Arial" w:hAnsi="Arial"/>
                <w:sz w:val="18"/>
                <w:szCs w:val="18"/>
                <w:color w:val="auto"/>
              </w:rPr>
              <w:t>O Jesse H. Choper</w:t>
            </w: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22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ALL NOMINEES</w:t>
            </w:r>
          </w:p>
        </w:tc>
        <w:tc>
          <w:tcPr>
            <w:tcW w:w="1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1960" w:type="dxa"/>
            <w:vAlign w:val="bottom"/>
            <w:vMerge w:val="restart"/>
          </w:tcPr>
          <w:p>
            <w:pPr>
              <w:ind w:left="340"/>
              <w:spacing w:after="0"/>
              <w:rPr>
                <w:sz w:val="20"/>
                <w:szCs w:val="20"/>
                <w:color w:val="auto"/>
              </w:rPr>
            </w:pPr>
            <w:r>
              <w:rPr>
                <w:rFonts w:ascii="Arial" w:cs="Arial" w:eastAsia="Arial" w:hAnsi="Arial"/>
                <w:sz w:val="18"/>
                <w:szCs w:val="18"/>
                <w:color w:val="auto"/>
              </w:rPr>
              <w:t>O John E. Kyees</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60"/>
              <w:spacing w:after="0"/>
              <w:rPr>
                <w:sz w:val="20"/>
                <w:szCs w:val="20"/>
                <w:color w:val="auto"/>
              </w:rPr>
            </w:pPr>
            <w:r>
              <w:rPr>
                <w:rFonts w:ascii="Arial" w:cs="Arial" w:eastAsia="Arial" w:hAnsi="Arial"/>
                <w:sz w:val="18"/>
                <w:szCs w:val="18"/>
                <w:b w:val="1"/>
                <w:bCs w:val="1"/>
                <w:color w:val="auto"/>
              </w:rPr>
              <w:t>FOR ALL EXCEPT</w:t>
            </w:r>
          </w:p>
        </w:tc>
        <w:tc>
          <w:tcPr>
            <w:tcW w:w="1960" w:type="dxa"/>
            <w:vAlign w:val="bottom"/>
          </w:tcPr>
          <w:p>
            <w:pPr>
              <w:ind w:left="340"/>
              <w:spacing w:after="0"/>
              <w:rPr>
                <w:sz w:val="20"/>
                <w:szCs w:val="20"/>
                <w:color w:val="auto"/>
              </w:rPr>
            </w:pPr>
            <w:r>
              <w:rPr>
                <w:rFonts w:ascii="Arial" w:cs="Arial" w:eastAsia="Arial" w:hAnsi="Arial"/>
                <w:sz w:val="18"/>
                <w:szCs w:val="18"/>
                <w:color w:val="auto"/>
              </w:rPr>
              <w:t>O Ward K. Mooney</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2260" w:type="dxa"/>
            <w:vAlign w:val="bottom"/>
            <w:vMerge w:val="restart"/>
          </w:tcPr>
          <w:p>
            <w:pPr>
              <w:ind w:left="140"/>
              <w:spacing w:after="0"/>
              <w:rPr>
                <w:sz w:val="20"/>
                <w:szCs w:val="20"/>
                <w:color w:val="auto"/>
              </w:rPr>
            </w:pPr>
            <w:r>
              <w:rPr>
                <w:rFonts w:ascii="Arial" w:cs="Arial" w:eastAsia="Arial" w:hAnsi="Arial"/>
                <w:sz w:val="18"/>
                <w:szCs w:val="18"/>
                <w:color w:val="auto"/>
              </w:rPr>
              <w:t>(See instructions below)</w:t>
            </w:r>
          </w:p>
        </w:tc>
        <w:tc>
          <w:tcPr>
            <w:tcW w:w="1960" w:type="dxa"/>
            <w:vAlign w:val="bottom"/>
          </w:tcPr>
          <w:p>
            <w:pPr>
              <w:ind w:left="340"/>
              <w:spacing w:after="0" w:line="195" w:lineRule="exact"/>
              <w:rPr>
                <w:sz w:val="20"/>
                <w:szCs w:val="20"/>
                <w:color w:val="auto"/>
              </w:rPr>
            </w:pPr>
            <w:r>
              <w:rPr>
                <w:rFonts w:ascii="Arial" w:cs="Arial" w:eastAsia="Arial" w:hAnsi="Arial"/>
                <w:sz w:val="18"/>
                <w:szCs w:val="18"/>
                <w:color w:val="auto"/>
                <w:w w:val="86"/>
              </w:rPr>
              <w:t>O George T. Porter, Jr.</w:t>
            </w:r>
          </w:p>
        </w:tc>
        <w:tc>
          <w:tcPr>
            <w:tcW w:w="0" w:type="dxa"/>
            <w:vAlign w:val="bottom"/>
          </w:tcPr>
          <w:p>
            <w:pPr>
              <w:spacing w:after="0"/>
              <w:rPr>
                <w:sz w:val="1"/>
                <w:szCs w:val="1"/>
                <w:color w:val="auto"/>
              </w:rPr>
            </w:pPr>
          </w:p>
        </w:tc>
      </w:tr>
      <w:tr>
        <w:trPr>
          <w:trHeight w:val="74"/>
        </w:trPr>
        <w:tc>
          <w:tcPr>
            <w:tcW w:w="300" w:type="dxa"/>
            <w:vAlign w:val="bottom"/>
          </w:tcPr>
          <w:p>
            <w:pPr>
              <w:spacing w:after="0"/>
              <w:rPr>
                <w:sz w:val="6"/>
                <w:szCs w:val="6"/>
                <w:color w:val="auto"/>
              </w:rPr>
            </w:pPr>
          </w:p>
        </w:tc>
        <w:tc>
          <w:tcPr>
            <w:tcW w:w="2260" w:type="dxa"/>
            <w:vAlign w:val="bottom"/>
            <w:vMerge w:val="continue"/>
          </w:tcPr>
          <w:p>
            <w:pPr>
              <w:spacing w:after="0"/>
              <w:rPr>
                <w:sz w:val="6"/>
                <w:szCs w:val="6"/>
                <w:color w:val="auto"/>
              </w:rPr>
            </w:pPr>
          </w:p>
        </w:tc>
        <w:tc>
          <w:tcPr>
            <w:tcW w:w="1960" w:type="dxa"/>
            <w:vAlign w:val="bottom"/>
            <w:vMerge w:val="restart"/>
          </w:tcPr>
          <w:p>
            <w:pPr>
              <w:ind w:left="340"/>
              <w:spacing w:after="0"/>
              <w:rPr>
                <w:sz w:val="20"/>
                <w:szCs w:val="20"/>
                <w:color w:val="auto"/>
              </w:rPr>
            </w:pPr>
            <w:r>
              <w:rPr>
                <w:rFonts w:ascii="Arial" w:cs="Arial" w:eastAsia="Arial" w:hAnsi="Arial"/>
                <w:sz w:val="18"/>
                <w:szCs w:val="18"/>
                <w:color w:val="auto"/>
                <w:w w:val="94"/>
              </w:rPr>
              <w:t>O Mitchell S. Presser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withhold authority to vote for any individual nominee(s), mark</w:t>
      </w:r>
      <w:r>
        <w:rPr>
          <w:rFonts w:ascii="Arial" w:cs="Arial" w:eastAsia="Arial" w:hAnsi="Arial"/>
          <w:sz w:val="18"/>
          <w:szCs w:val="18"/>
          <w:b w:val="1"/>
          <w:bCs w:val="1"/>
          <w:color w:val="auto"/>
        </w:rPr>
        <w:t xml:space="preserve"> “FOR ALL EXCEPT” </w:t>
      </w:r>
      <w:r>
        <w:rPr>
          <w:rFonts w:ascii="Arial" w:cs="Arial" w:eastAsia="Arial" w:hAnsi="Arial"/>
          <w:sz w:val="18"/>
          <w:szCs w:val="18"/>
          <w:color w:val="auto"/>
        </w:rPr>
        <w:t>and fill in the circle next to each nominee</w:t>
      </w:r>
      <w:r>
        <w:rPr>
          <w:rFonts w:ascii="Arial" w:cs="Arial" w:eastAsia="Arial" w:hAnsi="Arial"/>
          <w:sz w:val="18"/>
          <w:szCs w:val="18"/>
          <w:b w:val="1"/>
          <w:bCs w:val="1"/>
          <w:color w:val="auto"/>
        </w:rPr>
        <w:t xml:space="preserve"> </w:t>
      </w:r>
      <w:r>
        <w:rPr>
          <w:rFonts w:ascii="Arial" w:cs="Arial" w:eastAsia="Arial" w:hAnsi="Arial"/>
          <w:sz w:val="18"/>
          <w:szCs w:val="18"/>
          <w:color w:val="auto"/>
        </w:rPr>
        <w:t>you wish to withhold, as shown here:</w:t>
      </w:r>
    </w:p>
    <w:p>
      <w:pPr>
        <w:spacing w:after="0" w:line="160" w:lineRule="exact"/>
        <w:rPr>
          <w:sz w:val="20"/>
          <w:szCs w:val="20"/>
          <w:color w:val="auto"/>
        </w:rPr>
      </w:pPr>
    </w:p>
    <w:p>
      <w:pPr>
        <w:ind w:left="460" w:hanging="452"/>
        <w:spacing w:after="0" w:line="275"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To approve, on an advisory basis, the compensation of the Company’s named executive officers. </w:t>
      </w:r>
      <w:r>
        <w:rPr>
          <w:rFonts w:ascii="Arial" w:cs="Arial" w:eastAsia="Arial" w:hAnsi="Arial"/>
          <w:sz w:val="18"/>
          <w:szCs w:val="18"/>
          <w:color w:val="auto"/>
        </w:rPr>
        <w:t>THE BOARD OF DIRECTORS RECOMMENDS A</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PROPOSAL 2.</w:t>
      </w:r>
    </w:p>
    <w:p>
      <w:pPr>
        <w:spacing w:after="0" w:line="12" w:lineRule="exact"/>
        <w:rPr>
          <w:sz w:val="20"/>
          <w:szCs w:val="20"/>
          <w:color w:val="auto"/>
        </w:rPr>
      </w:pPr>
    </w:p>
    <w:p>
      <w:pPr>
        <w:ind w:left="460"/>
        <w:spacing w:after="0" w:line="207" w:lineRule="exact"/>
        <w:tabs>
          <w:tab w:leader="none" w:pos="780" w:val="left"/>
          <w:tab w:leader="none" w:pos="3400" w:val="left"/>
          <w:tab w:leader="none" w:pos="74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38" w:lineRule="exact"/>
        <w:rPr>
          <w:sz w:val="20"/>
          <w:szCs w:val="20"/>
          <w:color w:val="auto"/>
        </w:rPr>
      </w:pPr>
    </w:p>
    <w:p>
      <w:pPr>
        <w:ind w:left="460" w:right="180" w:hanging="452"/>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 xml:space="preserve">To approve, on an advisory basis, the frequency of holding advisory votes on the compensation of the Company’s named executive officers.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RECOMMENDS “1 YEAR” FOR PROPOSAL 3.</w:t>
      </w:r>
    </w:p>
    <w:p>
      <w:pPr>
        <w:spacing w:after="0" w:line="12" w:lineRule="exact"/>
        <w:rPr>
          <w:sz w:val="20"/>
          <w:szCs w:val="20"/>
          <w:color w:val="auto"/>
        </w:rPr>
      </w:pPr>
    </w:p>
    <w:p>
      <w:pPr>
        <w:ind w:left="460"/>
        <w:spacing w:after="0" w:line="207" w:lineRule="exact"/>
        <w:tabs>
          <w:tab w:leader="none" w:pos="780" w:val="left"/>
          <w:tab w:leader="none" w:pos="3300" w:val="left"/>
          <w:tab w:leader="none" w:pos="5940" w:val="left"/>
          <w:tab w:leader="none" w:pos="8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1 YEAR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2 YEARS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3 YEARS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38" w:lineRule="exact"/>
        <w:rPr>
          <w:sz w:val="20"/>
          <w:szCs w:val="20"/>
          <w:color w:val="auto"/>
        </w:rPr>
      </w:pPr>
    </w:p>
    <w:p>
      <w:pPr>
        <w:ind w:left="460" w:right="300" w:hanging="452"/>
        <w:spacing w:after="0" w:line="275"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the appointment of Ernst &amp; Young LLP as the Company’s independent registered public accounting firm for fiscal year ending January 28, 2012. </w:t>
      </w:r>
      <w:r>
        <w:rPr>
          <w:rFonts w:ascii="Arial" w:cs="Arial" w:eastAsia="Arial" w:hAnsi="Arial"/>
          <w:sz w:val="18"/>
          <w:szCs w:val="18"/>
          <w:color w:val="auto"/>
        </w:rPr>
        <w:t>THE BOARD OF DIRECTORS RECOMMENDS A VOTE “FOR” PROPOSAL 4.</w:t>
      </w:r>
    </w:p>
    <w:p>
      <w:pPr>
        <w:spacing w:after="0" w:line="12" w:lineRule="exact"/>
        <w:rPr>
          <w:sz w:val="20"/>
          <w:szCs w:val="20"/>
          <w:color w:val="auto"/>
        </w:rPr>
      </w:pPr>
    </w:p>
    <w:p>
      <w:pPr>
        <w:ind w:left="460"/>
        <w:spacing w:after="0" w:line="207" w:lineRule="exact"/>
        <w:tabs>
          <w:tab w:leader="none" w:pos="780" w:val="left"/>
          <w:tab w:leader="none" w:pos="3400" w:val="left"/>
          <w:tab w:leader="none" w:pos="74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b w:val="1"/>
          <w:bCs w:val="1"/>
          <w:color w:val="auto"/>
        </w:rPr>
        <w:t>ABSTAIN</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DIRECTOR NOMINEES; “FOR” PROPOSALS 2 AND 4; AND FOR “1 YEAR” ON PROPOSAL 3. RECEIPT IS HEREBY ACKNOWLEDGED OF THE NOTICE OF ANNUAL MEETING AND PROXY STATEMENT OF CASUAL MALE RETAIL GROUP, INC. DATED JUNE 21, 2011.</w:t>
      </w:r>
    </w:p>
    <w:p>
      <w:pPr>
        <w:sectPr>
          <w:pgSz w:w="11900" w:h="16838" w:orient="portrait"/>
          <w:cols w:equalWidth="0" w:num="1">
            <w:col w:w="11380"/>
          </w:cols>
          <w:pgMar w:left="240" w:top="274" w:right="2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40" w:type="dxa"/>
            <w:vAlign w:val="bottom"/>
            <w:gridSpan w:val="3"/>
          </w:tcPr>
          <w:p>
            <w:pPr>
              <w:ind w:left="640"/>
              <w:spacing w:after="0"/>
              <w:rPr>
                <w:sz w:val="20"/>
                <w:szCs w:val="20"/>
                <w:color w:val="auto"/>
              </w:rPr>
            </w:pPr>
            <w:r>
              <w:rPr>
                <w:rFonts w:ascii="Arial" w:cs="Arial" w:eastAsia="Arial" w:hAnsi="Arial"/>
                <w:sz w:val="18"/>
                <w:szCs w:val="18"/>
                <w:color w:val="auto"/>
              </w:rPr>
              <w:t>l</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w w:val="96"/>
              </w:rPr>
              <w:t>MARK “X” HERE IF YOU PLAN TO ATTEND THE MEETING</w:t>
            </w:r>
          </w:p>
        </w:tc>
        <w:tc>
          <w:tcPr>
            <w:tcW w:w="1120" w:type="dxa"/>
            <w:vAlign w:val="bottom"/>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4"/>
        </w:trPr>
        <w:tc>
          <w:tcPr>
            <w:tcW w:w="232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4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w w:val="85"/>
              </w:rPr>
              <w:t>To change the address on your account, please check the box at</w:t>
            </w:r>
          </w:p>
        </w:tc>
        <w:tc>
          <w:tcPr>
            <w:tcW w:w="1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4"/>
          </w:tcPr>
          <w:p>
            <w:pPr>
              <w:spacing w:after="0"/>
              <w:rPr>
                <w:sz w:val="20"/>
                <w:szCs w:val="20"/>
                <w:color w:val="auto"/>
              </w:rPr>
            </w:pPr>
            <w:r>
              <w:rPr>
                <w:rFonts w:ascii="Arial" w:cs="Arial" w:eastAsia="Arial" w:hAnsi="Arial"/>
                <w:sz w:val="18"/>
                <w:szCs w:val="18"/>
                <w:color w:val="auto"/>
                <w:w w:val="86"/>
              </w:rPr>
              <w:t>right and indicate your new address in the address space above.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900" w:type="dxa"/>
            <w:vAlign w:val="bottom"/>
            <w:tcBorders>
              <w:right w:val="single" w:sz="8" w:color="auto"/>
            </w:tcBorders>
            <w:gridSpan w:val="7"/>
          </w:tcPr>
          <w:p>
            <w:pPr>
              <w:spacing w:after="0" w:line="183" w:lineRule="exact"/>
              <w:rPr>
                <w:sz w:val="20"/>
                <w:szCs w:val="20"/>
                <w:color w:val="auto"/>
              </w:rPr>
            </w:pPr>
            <w:r>
              <w:rPr>
                <w:rFonts w:ascii="Arial" w:cs="Arial" w:eastAsia="Arial" w:hAnsi="Arial"/>
                <w:sz w:val="18"/>
                <w:szCs w:val="18"/>
                <w:color w:val="auto"/>
                <w:w w:val="91"/>
              </w:rPr>
              <w:t>Please note that changes to the registered name(s) on the account</w:t>
            </w: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may not be submitted via this method.</w:t>
            </w:r>
          </w:p>
        </w:tc>
        <w:tc>
          <w:tcPr>
            <w:tcW w:w="1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320" w:type="dxa"/>
            <w:vAlign w:val="bottom"/>
            <w:gridSpan w:val="2"/>
            <w:vMerge w:val="restart"/>
          </w:tcPr>
          <w:p>
            <w:pPr>
              <w:spacing w:after="0"/>
              <w:rPr>
                <w:sz w:val="20"/>
                <w:szCs w:val="20"/>
                <w:color w:val="auto"/>
              </w:rPr>
            </w:pPr>
            <w:r>
              <w:rPr>
                <w:rFonts w:ascii="Arial" w:cs="Arial" w:eastAsia="Arial" w:hAnsi="Arial"/>
                <w:sz w:val="18"/>
                <w:szCs w:val="18"/>
                <w:color w:val="auto"/>
              </w:rPr>
              <w:t>Signature of Shareholder</w:t>
            </w:r>
          </w:p>
        </w:tc>
        <w:tc>
          <w:tcPr>
            <w:tcW w:w="192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8"/>
                <w:szCs w:val="18"/>
                <w:color w:val="auto"/>
                <w:w w:val="88"/>
              </w:rPr>
              <w:t>Date:</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20" w:type="dxa"/>
            <w:vAlign w:val="bottom"/>
            <w:vMerge w:val="restart"/>
          </w:tcPr>
          <w:p>
            <w:pPr>
              <w:ind w:left="620"/>
              <w:spacing w:after="0"/>
              <w:rPr>
                <w:sz w:val="20"/>
                <w:szCs w:val="20"/>
                <w:color w:val="auto"/>
              </w:rPr>
            </w:pPr>
            <w:r>
              <w:rPr>
                <w:rFonts w:ascii="Arial" w:cs="Arial" w:eastAsia="Arial" w:hAnsi="Arial"/>
                <w:sz w:val="18"/>
                <w:szCs w:val="18"/>
                <w:color w:val="auto"/>
                <w:w w:val="87"/>
              </w:rPr>
              <w:t>Signature of Shareholder</w:t>
            </w: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vMerge w:val="restart"/>
          </w:tcPr>
          <w:p>
            <w:pPr>
              <w:ind w:left="2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183"/>
        </w:trPr>
        <w:tc>
          <w:tcPr>
            <w:tcW w:w="2320" w:type="dxa"/>
            <w:vAlign w:val="bottom"/>
            <w:gridSpan w:val="2"/>
            <w:vMerge w:val="continue"/>
          </w:tcPr>
          <w:p>
            <w:pPr>
              <w:spacing w:after="0"/>
              <w:rPr>
                <w:sz w:val="15"/>
                <w:szCs w:val="15"/>
                <w:color w:val="auto"/>
              </w:rPr>
            </w:pPr>
          </w:p>
        </w:tc>
        <w:tc>
          <w:tcPr>
            <w:tcW w:w="1920" w:type="dxa"/>
            <w:vAlign w:val="bottom"/>
            <w:tcBorders>
              <w:left w:val="single" w:sz="8" w:color="auto"/>
              <w:bottom w:val="single" w:sz="8" w:color="auto"/>
              <w:right w:val="single" w:sz="8" w:color="auto"/>
            </w:tcBorders>
          </w:tcPr>
          <w:p>
            <w:pPr>
              <w:spacing w:after="0"/>
              <w:rPr>
                <w:sz w:val="15"/>
                <w:szCs w:val="15"/>
                <w:color w:val="auto"/>
              </w:rPr>
            </w:pPr>
          </w:p>
        </w:tc>
        <w:tc>
          <w:tcPr>
            <w:tcW w:w="220" w:type="dxa"/>
            <w:vAlign w:val="bottom"/>
            <w:vMerge w:val="continue"/>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200" w:type="dxa"/>
            <w:vAlign w:val="bottom"/>
            <w:tcBorders>
              <w:left w:val="single" w:sz="8" w:color="auto"/>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2420" w:type="dxa"/>
            <w:vAlign w:val="bottom"/>
            <w:vMerge w:val="continue"/>
          </w:tcPr>
          <w:p>
            <w:pPr>
              <w:spacing w:after="0"/>
              <w:rPr>
                <w:sz w:val="15"/>
                <w:szCs w:val="15"/>
                <w:color w:val="auto"/>
              </w:rPr>
            </w:pPr>
          </w:p>
        </w:tc>
        <w:tc>
          <w:tcPr>
            <w:tcW w:w="1060" w:type="dxa"/>
            <w:vAlign w:val="bottom"/>
            <w:tcBorders>
              <w:left w:val="single" w:sz="8" w:color="auto"/>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40" w:right="260"/>
        <w:spacing w:after="0" w:line="273" w:lineRule="auto"/>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Please sign exactly as your name or names appear on this Proxy. When shares are held jointly, each holder should sign. When signing as</w:t>
      </w:r>
      <w:r>
        <w:rPr>
          <w:rFonts w:ascii="Arial" w:cs="Arial" w:eastAsia="Arial" w:hAnsi="Arial"/>
          <w:sz w:val="15"/>
          <w:szCs w:val="15"/>
          <w:b w:val="1"/>
          <w:bCs w:val="1"/>
          <w:color w:val="auto"/>
        </w:rPr>
        <w:t xml:space="preserve"> </w:t>
      </w:r>
      <w:r>
        <w:rPr>
          <w:rFonts w:ascii="Arial" w:cs="Arial" w:eastAsia="Arial" w:hAnsi="Arial"/>
          <w:sz w:val="15"/>
          <w:szCs w:val="15"/>
          <w:color w:val="auto"/>
        </w:rPr>
        <w:t>executor, administrator, attorney, trustee or guardian, please give full title as such. If the signer is a corporation, please sign full corporate name by</w:t>
      </w:r>
    </w:p>
    <w:p>
      <w:pPr>
        <w:spacing w:after="0" w:line="193" w:lineRule="auto"/>
        <w:tabs>
          <w:tab w:leader="none" w:pos="520" w:val="left"/>
        </w:tabs>
        <w:rPr>
          <w:sz w:val="20"/>
          <w:szCs w:val="20"/>
          <w:color w:val="auto"/>
        </w:rPr>
      </w:pPr>
      <w:r>
        <w:rPr>
          <w:rFonts w:ascii="Arial" w:cs="Arial" w:eastAsia="Arial" w:hAnsi="Arial"/>
          <w:sz w:val="24"/>
          <w:szCs w:val="24"/>
          <w:color w:val="auto"/>
        </w:rPr>
        <w:t>n</w:t>
      </w:r>
      <w:r>
        <w:rPr>
          <w:sz w:val="20"/>
          <w:szCs w:val="20"/>
          <w:color w:val="auto"/>
        </w:rPr>
        <w:tab/>
      </w:r>
      <w:r>
        <w:rPr>
          <w:rFonts w:ascii="Arial" w:cs="Arial" w:eastAsia="Arial" w:hAnsi="Arial"/>
          <w:sz w:val="18"/>
          <w:szCs w:val="18"/>
          <w:color w:val="auto"/>
        </w:rPr>
        <w:t>duly authorized officer, giving full title as such. If signer is a partnership, please sign in partnership name by authorized person.</w:t>
      </w:r>
    </w:p>
    <w:sectPr>
      <w:pgSz w:w="11900" w:h="16838" w:orient="portrait"/>
      <w:cols w:equalWidth="0" w:num="1">
        <w:col w:w="11060"/>
      </w:cols>
      <w:pgMar w:left="420" w:top="34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2)"/>
      <w:numFmt w:val="decimal"/>
      <w:start w:val="1"/>
    </w:lvl>
  </w:abstractNum>
  <w:abstractNum w:abstractNumId="5">
    <w:nsid w:val="7C3DBD3D"/>
    <w:multiLevelType w:val="hybridMultilevel"/>
    <w:lvl w:ilvl="0">
      <w:lvlJc w:val="left"/>
      <w:lvlText w:val="☐"/>
      <w:numFmt w:val="bullet"/>
      <w:start w:val="1"/>
    </w:lvl>
    <w:lvl w:ilvl="1">
      <w:lvlJc w:val="left"/>
      <w:lvlText w:val="(%2)"/>
      <w:numFmt w:val="decimal"/>
      <w:start w:val="5"/>
    </w:lvl>
  </w:abstractNum>
  <w:abstractNum w:abstractNumId="6">
    <w:nsid w:val="737B8DDC"/>
    <w:multiLevelType w:val="hybridMultilevel"/>
    <w:lvl w:ilvl="0">
      <w:lvlJc w:val="left"/>
      <w:lvlText w:val="☐"/>
      <w:numFmt w:val="bullet"/>
      <w:start w:val="1"/>
    </w:lvl>
    <w:lvl w:ilvl="1">
      <w:lvlJc w:val="left"/>
      <w:lvlText w:val="(%2)"/>
      <w:numFmt w:val="decimal"/>
      <w:start w:val="1"/>
    </w:lvl>
  </w:abstractNum>
  <w:abstractNum w:abstractNumId="7">
    <w:nsid w:val="6CEAF087"/>
    <w:multiLevelType w:val="hybridMultilevel"/>
    <w:lvl w:ilvl="0">
      <w:lvlJc w:val="left"/>
      <w:lvlText w:val="%1."/>
      <w:numFmt w:val="decimal"/>
      <w:start w:val="1"/>
    </w:lvl>
  </w:abstractNum>
  <w:abstractNum w:abstractNumId="8">
    <w:nsid w:val="22221A70"/>
    <w:multiLevelType w:val="hybridMultilevel"/>
    <w:lvl w:ilvl="0">
      <w:lvlJc w:val="left"/>
      <w:lvlText w:val="(%1)"/>
      <w:numFmt w:val="decimal"/>
      <w:start w:val="1"/>
    </w:lvl>
  </w:abstractNum>
  <w:abstractNum w:abstractNumId="9">
    <w:nsid w:val="4516DDE9"/>
    <w:multiLevelType w:val="hybridMultilevel"/>
    <w:lvl w:ilvl="0">
      <w:lvlJc w:val="left"/>
      <w:lvlText w:val="(%1)"/>
      <w:numFmt w:val="decimal"/>
      <w:start w:val="6"/>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2"/>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lvl w:ilvl="1">
      <w:lvlJc w:val="left"/>
      <w:lvlText w:val="%2."/>
      <w:numFmt w:val="lowerLetter"/>
      <w:start w:val="1"/>
    </w:lvl>
  </w:abstractNum>
  <w:abstractNum w:abstractNumId="18">
    <w:nsid w:val="7724C67E"/>
    <w:multiLevelType w:val="hybridMultilevel"/>
    <w:lvl w:ilvl="0">
      <w:lvlJc w:val="left"/>
      <w:lvlText w:val="(%1)"/>
      <w:numFmt w:val="lowerRoman"/>
      <w:start w:val="2"/>
    </w:lvl>
    <w:lvl w:ilvl="1">
      <w:lvlJc w:val="left"/>
      <w:lvlText w:val="%2"/>
      <w:numFmt w:val="lowerLetter"/>
      <w:start w:val="1"/>
    </w:lvl>
  </w:abstractNum>
  <w:abstractNum w:abstractNumId="19">
    <w:nsid w:val="5C482A97"/>
    <w:multiLevelType w:val="hybridMultilevel"/>
    <w:lvl w:ilvl="0">
      <w:lvlJc w:val="left"/>
      <w:lvlText w:val="(%1)"/>
      <w:numFmt w:val="lowerRoman"/>
      <w:start w:val="3"/>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4"/>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5"/>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lvl w:ilvl="1">
      <w:lvlJc w:val="left"/>
      <w:lvlText w:val="•"/>
      <w:numFmt w:val="bullet"/>
      <w:start w:val="1"/>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1)"/>
      <w:numFmt w:val="lowerRoman"/>
      <w:start w:val="2"/>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2"/>
    </w:lvl>
  </w:abstractNum>
  <w:abstractNum w:abstractNumId="54">
    <w:nsid w:val="649BB77C"/>
    <w:multiLevelType w:val="hybridMultilevel"/>
    <w:lvl w:ilvl="0">
      <w:lvlJc w:val="left"/>
      <w:lvlText w:val="%1."/>
      <w:numFmt w:val="decimal"/>
      <w:start w:val="3"/>
    </w:lvl>
  </w:abstractNum>
  <w:abstractNum w:abstractNumId="55">
    <w:nsid w:val="275AC79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2019-12-10T08:02:01Z</dcterms:created>
  <dcterms:modified xsi:type="dcterms:W3CDTF">2019-12-10T08:02:01Z</dcterms:modified>
</cp:coreProperties>
</file>