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700"/>
        <w:spacing w:after="0" w:line="238" w:lineRule="auto"/>
        <w:rPr>
          <w:sz w:val="20"/>
          <w:szCs w:val="20"/>
          <w:color w:val="auto"/>
        </w:rPr>
      </w:pPr>
      <w:r>
        <w:rPr>
          <w:rFonts w:ascii="Courier New" w:cs="Courier New" w:eastAsia="Courier New" w:hAnsi="Courier New"/>
          <w:sz w:val="18"/>
          <w:szCs w:val="18"/>
          <w:color w:val="auto"/>
        </w:rPr>
        <w:t>12/31/99</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DESIGNS,INC.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COMMON STOCK</w:t>
      </w:r>
    </w:p>
    <w:p>
      <w:pPr>
        <w:jc w:val="center"/>
        <w:ind w:right="18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w:t>
      </w:r>
    </w:p>
    <w:p>
      <w:pPr>
        <w:spacing w:after="0" w:line="238" w:lineRule="auto"/>
        <w:tabs>
          <w:tab w:leader="none" w:pos="1560" w:val="left"/>
          <w:tab w:leader="none" w:pos="1980" w:val="left"/>
        </w:tabs>
        <w:rPr>
          <w:sz w:val="20"/>
          <w:szCs w:val="20"/>
          <w:color w:val="auto"/>
        </w:rPr>
      </w:pPr>
      <w:r>
        <w:rPr>
          <w:rFonts w:ascii="Courier New" w:cs="Courier New" w:eastAsia="Courier New" w:hAnsi="Courier New"/>
          <w:sz w:val="18"/>
          <w:szCs w:val="18"/>
          <w:color w:val="auto"/>
        </w:rPr>
        <w:t>statement [</w:t>
      </w:r>
      <w:r>
        <w:rPr>
          <w:sz w:val="20"/>
          <w:szCs w:val="20"/>
          <w:color w:val="auto"/>
        </w:rPr>
        <w:tab/>
      </w:r>
      <w:r>
        <w:rPr>
          <w:rFonts w:ascii="Courier New" w:cs="Courier New" w:eastAsia="Courier New" w:hAnsi="Courier New"/>
          <w:sz w:val="18"/>
          <w:szCs w:val="18"/>
          <w:color w:val="auto"/>
        </w:rPr>
        <w:t>].</w:t>
        <w:tab/>
        <w:t>(A</w:t>
      </w:r>
    </w:p>
    <w:p>
      <w:pPr>
        <w:spacing w:after="0" w:line="5" w:lineRule="exact"/>
        <w:rPr>
          <w:sz w:val="24"/>
          <w:szCs w:val="24"/>
          <w:color w:val="auto"/>
        </w:rPr>
      </w:pPr>
    </w:p>
    <w:p>
      <w:pPr>
        <w:ind w:right="4119"/>
        <w:spacing w:after="0" w:line="235" w:lineRule="auto"/>
        <w:rPr>
          <w:sz w:val="20"/>
          <w:szCs w:val="20"/>
          <w:color w:val="auto"/>
        </w:rPr>
      </w:pPr>
      <w:r>
        <w:rPr>
          <w:rFonts w:ascii="Courier New" w:cs="Courier New" w:eastAsia="Courier New" w:hAnsi="Courier New"/>
          <w:sz w:val="18"/>
          <w:szCs w:val="18"/>
          <w:color w:val="auto"/>
        </w:rPr>
        <w:t>fee is not required only if the filing person: (1) has a previous statement on</w:t>
      </w:r>
    </w:p>
    <w:p>
      <w:pPr>
        <w:spacing w:after="0" w:line="6" w:lineRule="exact"/>
        <w:rPr>
          <w:sz w:val="24"/>
          <w:szCs w:val="24"/>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file reporting beneficial ownership of more than five percent of the class of</w:t>
      </w:r>
    </w:p>
    <w:p>
      <w:pPr>
        <w:spacing w:after="0" w:line="6" w:lineRule="exact"/>
        <w:rPr>
          <w:sz w:val="24"/>
          <w:szCs w:val="24"/>
          <w:color w:val="auto"/>
        </w:rPr>
      </w:pPr>
    </w:p>
    <w:p>
      <w:pPr>
        <w:ind w:right="4659"/>
        <w:spacing w:after="0" w:line="235" w:lineRule="auto"/>
        <w:rPr>
          <w:sz w:val="20"/>
          <w:szCs w:val="20"/>
          <w:color w:val="auto"/>
        </w:rPr>
      </w:pPr>
      <w:r>
        <w:rPr>
          <w:rFonts w:ascii="Courier New" w:cs="Courier New" w:eastAsia="Courier New" w:hAnsi="Courier New"/>
          <w:sz w:val="18"/>
          <w:szCs w:val="18"/>
          <w:color w:val="auto"/>
        </w:rPr>
        <w:t>securities described in Item 1; and (2) has filed no amendment subsequent</w:t>
      </w:r>
    </w:p>
    <w:p>
      <w:pPr>
        <w:spacing w:after="0"/>
        <w:rPr>
          <w:sz w:val="20"/>
          <w:szCs w:val="20"/>
          <w:color w:val="auto"/>
        </w:rPr>
      </w:pPr>
      <w:r>
        <w:rPr>
          <w:rFonts w:ascii="Courier New" w:cs="Courier New" w:eastAsia="Courier New" w:hAnsi="Courier New"/>
          <w:sz w:val="18"/>
          <w:szCs w:val="18"/>
          <w:color w:val="auto"/>
        </w:rPr>
        <w:t>thereto reporting beneficial ownership of five percent or</w:t>
      </w:r>
    </w:p>
    <w:p>
      <w:pPr>
        <w:spacing w:after="0" w:line="238" w:lineRule="auto"/>
        <w:rPr>
          <w:sz w:val="20"/>
          <w:szCs w:val="20"/>
          <w:color w:val="auto"/>
        </w:rPr>
      </w:pPr>
      <w:r>
        <w:rPr>
          <w:rFonts w:ascii="Courier New" w:cs="Courier New" w:eastAsia="Courier New" w:hAnsi="Courier New"/>
          <w:sz w:val="18"/>
          <w:szCs w:val="18"/>
          <w:color w:val="auto"/>
        </w:rPr>
        <w:t>less of such class.)</w:t>
      </w:r>
    </w:p>
    <w:p>
      <w:pPr>
        <w:spacing w:after="0" w:line="238" w:lineRule="auto"/>
        <w:rPr>
          <w:sz w:val="20"/>
          <w:szCs w:val="20"/>
          <w:color w:val="auto"/>
        </w:rPr>
      </w:pPr>
      <w:r>
        <w:rPr>
          <w:rFonts w:ascii="Courier New" w:cs="Courier New" w:eastAsia="Courier New" w:hAnsi="Courier New"/>
          <w:sz w:val="18"/>
          <w:szCs w:val="18"/>
          <w:color w:val="auto"/>
        </w:rPr>
        <w:t>(See Rule 13d-7).</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w:t>
      </w:r>
    </w:p>
    <w:p>
      <w:pPr>
        <w:spacing w:after="0" w:line="6" w:lineRule="exact"/>
        <w:rPr>
          <w:sz w:val="24"/>
          <w:szCs w:val="24"/>
          <w:color w:val="auto"/>
        </w:rPr>
      </w:pPr>
    </w:p>
    <w:p>
      <w:pPr>
        <w:ind w:right="4339"/>
        <w:spacing w:after="0" w:line="235" w:lineRule="auto"/>
        <w:rPr>
          <w:sz w:val="20"/>
          <w:szCs w:val="20"/>
          <w:color w:val="auto"/>
        </w:rPr>
      </w:pPr>
      <w:r>
        <w:rPr>
          <w:rFonts w:ascii="Courier New" w:cs="Courier New" w:eastAsia="Courier New" w:hAnsi="Courier New"/>
          <w:sz w:val="18"/>
          <w:szCs w:val="18"/>
          <w:color w:val="auto"/>
        </w:rPr>
        <w:t>initial filing on this form with respect to the subject class of securities, and</w:t>
      </w:r>
    </w:p>
    <w:p>
      <w:pPr>
        <w:spacing w:after="0" w:line="6" w:lineRule="exact"/>
        <w:rPr>
          <w:sz w:val="24"/>
          <w:szCs w:val="24"/>
          <w:color w:val="auto"/>
        </w:rPr>
      </w:pPr>
    </w:p>
    <w:p>
      <w:pPr>
        <w:ind w:right="4119"/>
        <w:spacing w:after="0" w:line="235" w:lineRule="auto"/>
        <w:rPr>
          <w:sz w:val="20"/>
          <w:szCs w:val="20"/>
          <w:color w:val="auto"/>
        </w:rPr>
      </w:pPr>
      <w:r>
        <w:rPr>
          <w:rFonts w:ascii="Courier New" w:cs="Courier New" w:eastAsia="Courier New" w:hAnsi="Courier New"/>
          <w:sz w:val="18"/>
          <w:szCs w:val="18"/>
          <w:color w:val="auto"/>
        </w:rPr>
        <w:t>for any subsequent amendment containing information which would alter the</w:t>
      </w:r>
    </w:p>
    <w:p>
      <w:pPr>
        <w:spacing w:after="0"/>
        <w:rPr>
          <w:sz w:val="20"/>
          <w:szCs w:val="20"/>
          <w:color w:val="auto"/>
        </w:rPr>
      </w:pPr>
      <w:r>
        <w:rPr>
          <w:rFonts w:ascii="Courier New" w:cs="Courier New" w:eastAsia="Courier New" w:hAnsi="Courier New"/>
          <w:sz w:val="18"/>
          <w:szCs w:val="18"/>
          <w:color w:val="auto"/>
        </w:rPr>
        <w:t>disclosures provided in a prior cover page.</w:t>
      </w:r>
    </w:p>
    <w:p>
      <w:pPr>
        <w:spacing w:after="0" w:line="207" w:lineRule="exact"/>
        <w:rPr>
          <w:sz w:val="24"/>
          <w:szCs w:val="24"/>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w:t>
      </w:r>
    </w:p>
    <w:p>
      <w:pPr>
        <w:spacing w:after="0" w:line="6" w:lineRule="exact"/>
        <w:rPr>
          <w:sz w:val="24"/>
          <w:szCs w:val="24"/>
          <w:color w:val="auto"/>
        </w:rPr>
      </w:pPr>
    </w:p>
    <w:p>
      <w:pPr>
        <w:ind w:right="4859"/>
        <w:spacing w:after="0" w:line="235" w:lineRule="auto"/>
        <w:rPr>
          <w:sz w:val="20"/>
          <w:szCs w:val="20"/>
          <w:color w:val="auto"/>
        </w:rPr>
      </w:pPr>
      <w:r>
        <w:rPr>
          <w:rFonts w:ascii="Courier New" w:cs="Courier New" w:eastAsia="Courier New" w:hAnsi="Courier New"/>
          <w:sz w:val="18"/>
          <w:szCs w:val="18"/>
          <w:color w:val="auto"/>
        </w:rPr>
        <w:t>to be "filed" for the purpose of Section 18 of the Securities Exchange Act of</w:t>
      </w:r>
    </w:p>
    <w:p>
      <w:pPr>
        <w:spacing w:after="0" w:line="6" w:lineRule="exact"/>
        <w:rPr>
          <w:sz w:val="24"/>
          <w:szCs w:val="24"/>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1934 ("Act") or otherwise subject to the liabilities of that section of the Act</w:t>
      </w:r>
    </w:p>
    <w:p>
      <w:pPr>
        <w:spacing w:after="0"/>
        <w:rPr>
          <w:sz w:val="20"/>
          <w:szCs w:val="20"/>
          <w:color w:val="auto"/>
        </w:rPr>
      </w:pPr>
      <w:r>
        <w:rPr>
          <w:rFonts w:ascii="Courier New" w:cs="Courier New" w:eastAsia="Courier New" w:hAnsi="Courier New"/>
          <w:sz w:val="18"/>
          <w:szCs w:val="18"/>
          <w:color w:val="auto"/>
        </w:rPr>
        <w:t>but shall be subject to all other provisions of the Act</w:t>
      </w:r>
    </w:p>
    <w:p>
      <w:pPr>
        <w:spacing w:after="0" w:line="238" w:lineRule="auto"/>
        <w:rPr>
          <w:sz w:val="20"/>
          <w:szCs w:val="20"/>
          <w:color w:val="auto"/>
        </w:rPr>
      </w:pPr>
      <w:r>
        <w:rPr>
          <w:rFonts w:ascii="Courier New" w:cs="Courier New" w:eastAsia="Courier New" w:hAnsi="Courier New"/>
          <w:sz w:val="18"/>
          <w:szCs w:val="18"/>
          <w:color w:val="auto"/>
        </w:rPr>
        <w:t>(however, see the</w:t>
      </w:r>
    </w:p>
    <w:p>
      <w:pPr>
        <w:spacing w:after="0" w:line="238" w:lineRule="auto"/>
        <w:rPr>
          <w:sz w:val="20"/>
          <w:szCs w:val="20"/>
          <w:color w:val="auto"/>
        </w:rPr>
      </w:pPr>
      <w:r>
        <w:rPr>
          <w:rFonts w:ascii="Courier New" w:cs="Courier New" w:eastAsia="Courier New" w:hAnsi="Courier New"/>
          <w:sz w:val="18"/>
          <w:szCs w:val="18"/>
          <w:color w:val="auto"/>
        </w:rPr>
        <w:t>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w:t>
      </w:r>
    </w:p>
    <w:p>
      <w:pPr>
        <w:ind w:left="220"/>
        <w:spacing w:after="0"/>
        <w:tabs>
          <w:tab w:leader="none" w:pos="1360" w:val="left"/>
          <w:tab w:leader="none" w:pos="3780" w:val="left"/>
        </w:tabs>
        <w:rPr>
          <w:sz w:val="20"/>
          <w:szCs w:val="20"/>
          <w:color w:val="auto"/>
        </w:rPr>
      </w:pPr>
      <w:r>
        <w:rPr>
          <w:rFonts w:ascii="Courier New" w:cs="Courier New" w:eastAsia="Courier New" w:hAnsi="Courier New"/>
          <w:sz w:val="18"/>
          <w:szCs w:val="18"/>
          <w:color w:val="auto"/>
        </w:rPr>
        <w:t>CUSIP NO.</w:t>
        <w:tab/>
        <w:t>25057L102</w:t>
      </w:r>
      <w:r>
        <w:rPr>
          <w:sz w:val="20"/>
          <w:szCs w:val="20"/>
          <w:color w:val="auto"/>
        </w:rPr>
        <w:tab/>
      </w:r>
      <w:r>
        <w:rPr>
          <w:rFonts w:ascii="Courier New" w:cs="Courier New" w:eastAsia="Courier New" w:hAnsi="Courier New"/>
          <w:sz w:val="16"/>
          <w:szCs w:val="16"/>
          <w:color w:val="auto"/>
        </w:rPr>
        <w:t>13G/A</w:t>
      </w:r>
    </w:p>
    <w:p>
      <w:pPr>
        <w:spacing w:after="0" w:line="238" w:lineRule="auto"/>
        <w:rPr>
          <w:sz w:val="20"/>
          <w:szCs w:val="20"/>
          <w:color w:val="auto"/>
        </w:rPr>
      </w:pPr>
      <w:r>
        <w:rPr>
          <w:rFonts w:ascii="Courier New" w:cs="Courier New" w:eastAsia="Courier New" w:hAnsi="Courier New"/>
          <w:sz w:val="18"/>
          <w:szCs w:val="18"/>
          <w:color w:val="auto"/>
        </w:rPr>
        <w:t>PAGE 2 OF 5 PAGES</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640" w:right="4339" w:hanging="527"/>
        <w:spacing w:after="0" w:line="469" w:lineRule="auto"/>
        <w:tabs>
          <w:tab w:leader="none" w:pos="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GRACE &amp; WHITE, INC.</w:t>
      </w:r>
    </w:p>
    <w:p>
      <w:pPr>
        <w:spacing w:after="0" w:line="7"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#13-2884675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48" w:orient="portrait"/>
          <w:cols w:equalWidth="0" w:num="1">
            <w:col w:w="10139"/>
          </w:cols>
          <w:pgMar w:left="320" w:top="1440" w:right="1440" w:bottom="0" w:gutter="0" w:footer="0" w:header="0"/>
        </w:sectPr>
      </w:pPr>
    </w:p>
    <w:bookmarkStart w:id="1" w:name="page2"/>
    <w:bookmarkEnd w:id="1"/>
    <w:p>
      <w:pPr>
        <w:spacing w:after="0" w:line="7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p>
      <w:pPr>
        <w:ind w:left="120"/>
        <w:spacing w:after="0" w:line="238" w:lineRule="auto"/>
        <w:rPr>
          <w:sz w:val="20"/>
          <w:szCs w:val="20"/>
          <w:color w:val="auto"/>
        </w:rPr>
      </w:pPr>
      <w:r>
        <w:rPr>
          <w:rFonts w:ascii="Courier New" w:cs="Courier New" w:eastAsia="Courier New" w:hAnsi="Courier New"/>
          <w:sz w:val="18"/>
          <w:szCs w:val="18"/>
          <w:color w:val="auto"/>
        </w:rPr>
        <w:t>2</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8"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NEW YORK, U.S.A.</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line="237" w:lineRule="auto"/>
        <w:rPr>
          <w:sz w:val="20"/>
          <w:szCs w:val="20"/>
          <w:color w:val="auto"/>
        </w:rPr>
      </w:pPr>
      <w:r>
        <w:rPr>
          <w:rFonts w:ascii="Courier New" w:cs="Courier New" w:eastAsia="Courier New" w:hAnsi="Courier New"/>
          <w:sz w:val="18"/>
          <w:szCs w:val="18"/>
          <w:color w:val="auto"/>
        </w:rPr>
        <w:t>NUMBER OF</w:t>
      </w:r>
    </w:p>
    <w:p>
      <w:pPr>
        <w:ind w:left="2740"/>
        <w:spacing w:after="0" w:line="238" w:lineRule="auto"/>
        <w:rPr>
          <w:sz w:val="20"/>
          <w:szCs w:val="20"/>
          <w:color w:val="auto"/>
        </w:rPr>
      </w:pPr>
      <w:r>
        <w:rPr>
          <w:rFonts w:ascii="Courier New" w:cs="Courier New" w:eastAsia="Courier New" w:hAnsi="Courier New"/>
          <w:sz w:val="18"/>
          <w:szCs w:val="18"/>
          <w:color w:val="auto"/>
        </w:rPr>
        <w:t>183,000</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NONE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8" w:lineRule="auto"/>
        <w:rPr>
          <w:sz w:val="20"/>
          <w:szCs w:val="20"/>
          <w:color w:val="auto"/>
        </w:rPr>
      </w:pPr>
      <w:r>
        <w:rPr>
          <w:rFonts w:ascii="Courier New" w:cs="Courier New" w:eastAsia="Courier New" w:hAnsi="Courier New"/>
          <w:sz w:val="18"/>
          <w:szCs w:val="18"/>
          <w:color w:val="auto"/>
        </w:rPr>
        <w:t>7</w:t>
      </w:r>
    </w:p>
    <w:p>
      <w:pPr>
        <w:ind w:left="420"/>
        <w:spacing w:after="0" w:line="238" w:lineRule="auto"/>
        <w:rPr>
          <w:sz w:val="20"/>
          <w:szCs w:val="20"/>
          <w:color w:val="auto"/>
        </w:rPr>
      </w:pPr>
      <w:r>
        <w:rPr>
          <w:rFonts w:ascii="Courier New" w:cs="Courier New" w:eastAsia="Courier New" w:hAnsi="Courier New"/>
          <w:sz w:val="18"/>
          <w:szCs w:val="18"/>
          <w:color w:val="auto"/>
        </w:rPr>
        <w:t>REPORTING</w:t>
      </w:r>
    </w:p>
    <w:p>
      <w:pPr>
        <w:ind w:left="2740"/>
        <w:spacing w:after="0"/>
        <w:rPr>
          <w:sz w:val="20"/>
          <w:szCs w:val="20"/>
          <w:color w:val="auto"/>
        </w:rPr>
      </w:pPr>
      <w:r>
        <w:rPr>
          <w:rFonts w:ascii="Courier New" w:cs="Courier New" w:eastAsia="Courier New" w:hAnsi="Courier New"/>
          <w:sz w:val="18"/>
          <w:szCs w:val="18"/>
          <w:color w:val="auto"/>
        </w:rPr>
        <w:t>1,954,457</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ind w:left="27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391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860"/>
        <w:spacing w:after="0" w:line="238" w:lineRule="auto"/>
        <w:rPr>
          <w:sz w:val="20"/>
          <w:szCs w:val="20"/>
          <w:color w:val="auto"/>
        </w:rPr>
      </w:pPr>
      <w:r>
        <w:rPr>
          <w:rFonts w:ascii="Courier New" w:cs="Courier New" w:eastAsia="Courier New" w:hAnsi="Courier New"/>
          <w:sz w:val="18"/>
          <w:szCs w:val="18"/>
          <w:color w:val="auto"/>
        </w:rPr>
        <w:t>1,954,457</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391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12.21%</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rPr>
          <w:sz w:val="20"/>
          <w:szCs w:val="20"/>
          <w:color w:val="auto"/>
        </w:rPr>
      </w:pPr>
      <w:r>
        <w:rPr>
          <w:rFonts w:ascii="Courier New" w:cs="Courier New" w:eastAsia="Courier New" w:hAnsi="Courier New"/>
          <w:sz w:val="18"/>
          <w:szCs w:val="18"/>
          <w:color w:val="auto"/>
        </w:rPr>
        <w:t>CUSIP NUMBER -----------------------------------------------</w:t>
      </w:r>
    </w:p>
    <w:p>
      <w:pPr>
        <w:spacing w:after="0" w:line="237" w:lineRule="auto"/>
        <w:rPr>
          <w:sz w:val="20"/>
          <w:szCs w:val="20"/>
          <w:color w:val="auto"/>
        </w:rPr>
      </w:pPr>
      <w:r>
        <w:rPr>
          <w:rFonts w:ascii="Courier New" w:cs="Courier New" w:eastAsia="Courier New" w:hAnsi="Courier New"/>
          <w:sz w:val="18"/>
          <w:szCs w:val="18"/>
          <w:color w:val="auto"/>
        </w:rPr>
        <w:t>- -----------------</w:t>
      </w:r>
    </w:p>
    <w:p>
      <w:pPr>
        <w:sectPr>
          <w:pgSz w:w="11900" w:h="16915" w:orient="portrait"/>
          <w:cols w:equalWidth="0" w:num="1">
            <w:col w:w="10139"/>
          </w:cols>
          <w:pgMar w:left="320" w:top="136" w:right="1440" w:bottom="0" w:gutter="0" w:footer="0" w:header="0"/>
        </w:sectPr>
      </w:pPr>
    </w:p>
    <w:p>
      <w:pPr>
        <w:spacing w:after="0" w:line="38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25057L102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ectPr>
          <w:pgSz w:w="11900" w:h="16915" w:orient="portrait"/>
          <w:cols w:equalWidth="0" w:num="2">
            <w:col w:w="2560" w:space="720"/>
            <w:col w:w="6859"/>
          </w:cols>
          <w:pgMar w:left="32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431"/>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DESIGNS,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73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66 B Street, Needham, MA 02494</w:t>
      </w:r>
    </w:p>
    <w:p>
      <w:pPr>
        <w:sectPr>
          <w:pgSz w:w="11900" w:h="16915" w:orient="portrait"/>
          <w:cols w:equalWidth="0" w:num="1">
            <w:col w:w="10139"/>
          </w:cols>
          <w:pgMar w:left="32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w:t>
      </w: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r>
        <w:rPr>
          <w:rFonts w:ascii="Courier New" w:cs="Courier New" w:eastAsia="Courier New" w:hAnsi="Courier New"/>
          <w:sz w:val="16"/>
          <w:szCs w:val="16"/>
          <w:color w:val="auto"/>
        </w:rPr>
        <w:t>GRACE &amp; WHITE,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Grace &amp; White, Inc.</w:t>
      </w:r>
    </w:p>
    <w:p>
      <w:pPr>
        <w:spacing w:after="0" w:line="4" w:lineRule="exact"/>
        <w:rPr>
          <w:rFonts w:ascii="Courier New" w:cs="Courier New" w:eastAsia="Courier New" w:hAnsi="Courier New"/>
          <w:sz w:val="18"/>
          <w:szCs w:val="18"/>
          <w:color w:val="auto"/>
        </w:rPr>
      </w:pPr>
    </w:p>
    <w:p>
      <w:pPr>
        <w:ind w:left="860" w:right="64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515 Madison Ave. Suite 1700 New York, New York 10022</w:t>
      </w:r>
    </w:p>
    <w:p>
      <w:pPr>
        <w:sectPr>
          <w:pgSz w:w="11900" w:h="16838" w:orient="portrait"/>
          <w:cols w:equalWidth="0" w:num="1">
            <w:col w:w="10139"/>
          </w:cols>
          <w:pgMar w:left="320" w:top="339" w:right="1440" w:bottom="0" w:gutter="0" w:footer="0" w:header="0"/>
        </w:sectPr>
      </w:pPr>
    </w:p>
    <w:p>
      <w:pPr>
        <w:spacing w:after="0" w:line="37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 Citizenship: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Corporation</w:t>
      </w:r>
    </w:p>
    <w:p>
      <w:pPr>
        <w:spacing w:after="0" w:line="419" w:lineRule="exact"/>
        <w:rPr>
          <w:sz w:val="20"/>
          <w:szCs w:val="20"/>
          <w:color w:val="auto"/>
        </w:rPr>
      </w:pPr>
    </w:p>
    <w:p>
      <w:pPr>
        <w:sectPr>
          <w:pgSz w:w="11900" w:h="16838" w:orient="portrait"/>
          <w:cols w:equalWidth="0" w:num="2">
            <w:col w:w="2140" w:space="720"/>
            <w:col w:w="7279"/>
          </w:cols>
          <w:pgMar w:left="320" w:top="339" w:right="1440" w:bottom="0" w:gutter="0" w:footer="0" w:header="0"/>
          <w:type w:val="continuous"/>
        </w:sectPr>
      </w:pPr>
    </w:p>
    <w:p>
      <w:pPr>
        <w:spacing w:after="0" w:line="1"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25057L102</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423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w:t>
      </w:r>
    </w:p>
    <w:p>
      <w:pPr>
        <w:ind w:left="8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spacing w:after="0" w:line="238" w:lineRule="auto"/>
        <w:rPr>
          <w:sz w:val="20"/>
          <w:szCs w:val="20"/>
          <w:color w:val="auto"/>
        </w:rPr>
      </w:pPr>
      <w:r>
        <w:rPr>
          <w:rFonts w:ascii="Courier New" w:cs="Courier New" w:eastAsia="Courier New" w:hAnsi="Courier New"/>
          <w:sz w:val="18"/>
          <w:szCs w:val="18"/>
          <w:color w:val="auto"/>
        </w:rPr>
        <w:t>or 13d-2(b), check whether the person filing is a:</w:t>
      </w:r>
    </w:p>
    <w:p>
      <w:pPr>
        <w:ind w:left="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w:t>
      </w:r>
    </w:p>
    <w:p>
      <w:pPr>
        <w:ind w:left="860" w:hanging="431"/>
        <w:spacing w:after="0" w:line="238"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Advisers Act of 1940.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beneficially owned by</w:t>
      </w:r>
    </w:p>
    <w:p>
      <w:pPr>
        <w:spacing w:after="0" w:line="4" w:lineRule="exact"/>
        <w:rPr>
          <w:rFonts w:ascii="Courier New" w:cs="Courier New" w:eastAsia="Courier New" w:hAnsi="Courier New"/>
          <w:sz w:val="18"/>
          <w:szCs w:val="18"/>
          <w:color w:val="auto"/>
        </w:rPr>
      </w:pPr>
    </w:p>
    <w:p>
      <w:pPr>
        <w:ind w:left="860" w:right="33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Grace &amp; White, Inc. by this Schedule amount to 1,954,457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12.21%</w:t>
      </w:r>
    </w:p>
    <w:p>
      <w:pPr>
        <w:spacing w:after="0" w:line="207" w:lineRule="exact"/>
        <w:rPr>
          <w:rFonts w:ascii="Courier New" w:cs="Courier New" w:eastAsia="Courier New" w:hAnsi="Courier New"/>
          <w:sz w:val="18"/>
          <w:szCs w:val="18"/>
          <w:color w:val="auto"/>
        </w:rPr>
      </w:pPr>
    </w:p>
    <w:p>
      <w:pPr>
        <w:ind w:left="860" w:right="3819" w:hanging="431"/>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above listed shares, see Items 5-8 of the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860" w:right="4239" w:hanging="841"/>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10" w:lineRule="exact"/>
        <w:rPr>
          <w:sz w:val="20"/>
          <w:szCs w:val="20"/>
          <w:color w:val="auto"/>
        </w:rPr>
      </w:pPr>
    </w:p>
    <w:p>
      <w:pPr>
        <w:ind w:left="860" w:right="3919" w:hanging="841"/>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w:t>
      </w:r>
    </w:p>
    <w:p>
      <w:pPr>
        <w:ind w:left="860"/>
        <w:spacing w:after="0" w:line="233" w:lineRule="auto"/>
        <w:rPr>
          <w:sz w:val="20"/>
          <w:szCs w:val="20"/>
          <w:color w:val="auto"/>
        </w:rPr>
      </w:pPr>
      <w:r>
        <w:rPr>
          <w:rFonts w:ascii="Courier New" w:cs="Courier New" w:eastAsia="Courier New" w:hAnsi="Courier New"/>
          <w:sz w:val="18"/>
          <w:szCs w:val="18"/>
          <w:color w:val="auto"/>
        </w:rPr>
        <w:t>By the Parent Holding Company.</w:t>
      </w: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860" w:right="391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4239"/>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belief,the securities referred to above were acquired in the ordinary course of</w:t>
      </w:r>
    </w:p>
    <w:p>
      <w:pPr>
        <w:sectPr>
          <w:pgSz w:w="11900" w:h="16838" w:orient="portrait"/>
          <w:cols w:equalWidth="0" w:num="1">
            <w:col w:w="10139"/>
          </w:cols>
          <w:pgMar w:left="320" w:top="339" w:right="1440" w:bottom="0" w:gutter="0" w:footer="0" w:header="0"/>
          <w:type w:val="continuous"/>
        </w:sectPr>
      </w:pPr>
    </w:p>
    <w:bookmarkStart w:id="3" w:name="page4"/>
    <w:bookmarkEnd w:id="3"/>
    <w:p>
      <w:pPr>
        <w:ind w:right="3919"/>
        <w:spacing w:after="0" w:line="273" w:lineRule="auto"/>
        <w:rPr>
          <w:sz w:val="20"/>
          <w:szCs w:val="20"/>
          <w:color w:val="auto"/>
        </w:rPr>
      </w:pPr>
      <w:r>
        <w:rPr>
          <w:rFonts w:ascii="Courier New" w:cs="Courier New" w:eastAsia="Courier New" w:hAnsi="Courier New"/>
          <w:sz w:val="16"/>
          <w:szCs w:val="16"/>
          <w:color w:val="auto"/>
        </w:rPr>
        <w:t>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7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69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7, 2000</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Grace &amp; White,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s/Marc Ravitz</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Marc Ravitz</w:t>
      </w:r>
    </w:p>
    <w:p>
      <w:pPr>
        <w:ind w:left="274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9599"/>
      </w:cols>
      <w:pgMar w:left="8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1"/>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lowerLetter"/>
      <w:start w:val="5"/>
    </w:lvl>
    <w:lvl w:ilvl="1">
      <w:lvlJc w:val="left"/>
      <w:lvlText w:val="---"/>
      <w:numFmt w:val="bullet"/>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2020-10-06T21:09:20Z</dcterms:created>
  <dcterms:modified xsi:type="dcterms:W3CDTF">2020-10-06T21:09:20Z</dcterms:modified>
</cp:coreProperties>
</file>