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01/11/2019</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20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color w:val="0000FF"/>
              </w:rPr>
              <w:t>01/11/2019</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0000FF"/>
              </w:rPr>
              <w:t>33,571</w:t>
            </w:r>
          </w:p>
        </w:tc>
        <w:tc>
          <w:tcPr>
            <w:tcW w:w="8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0000FF"/>
              </w:rPr>
              <w:t>A</w:t>
            </w:r>
          </w:p>
        </w:tc>
        <w:tc>
          <w:tcPr>
            <w:tcW w:w="6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2.32</w:t>
            </w:r>
          </w:p>
        </w:tc>
        <w:tc>
          <w:tcPr>
            <w:tcW w:w="6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w w:val="84"/>
              </w:rPr>
              <w:t>5,204,293</w:t>
            </w:r>
          </w:p>
        </w:tc>
        <w:tc>
          <w:tcPr>
            <w:tcW w:w="960" w:type="dxa"/>
            <w:vAlign w:val="bottom"/>
          </w:tcPr>
          <w:p>
            <w:pPr>
              <w:ind w:left="56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January 11, 2019, Tonga Partners, LP, Cuttyhunk II Fund. Tristan Partners, LP, and Tristan Offshore Fund, Ltd (collectively the "Cannell Investment Vehicles") owned in the aggregate 5,204,293 shares of the common stock of Destination XL Group, Inc.</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January 11, 2019, Mr. Cannell beneficially owns 5,204,293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01/15/2019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2019-12-23T20:15:38Z</dcterms:created>
  <dcterms:modified xsi:type="dcterms:W3CDTF">2019-12-23T20:15:38Z</dcterms:modified>
</cp:coreProperties>
</file>