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80"/>
        <w:spacing w:after="0" w:line="24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-240665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00" w:type="dxa"/>
            <w:vAlign w:val="bottom"/>
            <w:vMerge w:val="restart"/>
          </w:tcPr>
          <w:p>
            <w:pPr>
              <w:jc w:val="center"/>
              <w:ind w:right="21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91"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26035</wp:posOffset>
            </wp:positionV>
            <wp:extent cx="7324725" cy="9364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364345"/>
                    </a:xfrm>
                    <a:prstGeom prst="rect">
                      <a:avLst/>
                    </a:prstGeom>
                    <a:noFill/>
                  </pic:spPr>
                </pic:pic>
              </a:graphicData>
            </a:graphic>
          </wp:anchor>
        </w:drawing>
      </w:r>
    </w:p>
    <w:p>
      <w:pPr>
        <w:spacing w:after="0" w:line="57" w:lineRule="exact"/>
        <w:rPr>
          <w:sz w:val="24"/>
          <w:szCs w:val="24"/>
          <w:color w:val="auto"/>
        </w:rPr>
      </w:pPr>
    </w:p>
    <w:p>
      <w:pPr>
        <w:sectPr>
          <w:pgSz w:w="11900" w:h="16945" w:orient="portrait"/>
          <w:cols w:equalWidth="0" w:num="2">
            <w:col w:w="2320" w:space="380"/>
            <w:col w:w="8820"/>
          </w:cols>
          <w:pgMar w:left="240" w:top="218"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6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MESDAG WILLEM</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60"/>
              <w:spacing w:after="0" w:line="18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3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RED MOUNTAIN CAPITAL MANAGEMENT</w:t>
            </w:r>
          </w:p>
        </w:tc>
        <w:tc>
          <w:tcPr>
            <w:tcW w:w="31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01/29/2014</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INC.</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8" w:right="700" w:firstLine="8"/>
        <w:spacing w:after="0" w:line="267"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2"/>
        <w:spacing w:after="0"/>
        <w:tabs>
          <w:tab w:leader="none" w:pos="512" w:val="left"/>
          <w:tab w:leader="none" w:pos="2152"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2"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2" w:lineRule="exact"/>
        <w:rPr>
          <w:sz w:val="20"/>
          <w:szCs w:val="20"/>
          <w:color w:val="auto"/>
        </w:rPr>
      </w:pP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6" w:lineRule="exact"/>
        <w:rPr>
          <w:sz w:val="20"/>
          <w:szCs w:val="20"/>
          <w:color w:val="auto"/>
        </w:rPr>
      </w:pPr>
    </w:p>
    <w:p>
      <w:pPr>
        <w:sectPr>
          <w:pgSz w:w="11900" w:h="16945" w:orient="portrait"/>
          <w:cols w:equalWidth="0" w:num="2">
            <w:col w:w="7980" w:space="68"/>
            <w:col w:w="3472"/>
          </w:cols>
          <w:pgMar w:left="240" w:top="218" w:right="139" w:bottom="0" w:gutter="0" w:footer="0" w:header="0"/>
          <w:type w:val="continuous"/>
        </w:sect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10100 SANTA MONICA BOULEVARD, SUITE 925</w:t>
            </w:r>
          </w:p>
        </w:tc>
        <w:tc>
          <w:tcPr>
            <w:tcW w:w="3760" w:type="dxa"/>
            <w:vAlign w:val="bottom"/>
            <w:tcBorders>
              <w:bottom w:val="single" w:sz="8" w:color="2C2C2C"/>
            </w:tcBorders>
            <w:gridSpan w:val="5"/>
          </w:tcPr>
          <w:p>
            <w:pPr>
              <w:spacing w:after="0"/>
              <w:rPr>
                <w:sz w:val="2"/>
                <w:szCs w:val="2"/>
                <w:color w:val="auto"/>
              </w:rPr>
            </w:pPr>
          </w:p>
        </w:tc>
        <w:tc>
          <w:tcPr>
            <w:tcW w:w="3640" w:type="dxa"/>
            <w:vAlign w:val="bottom"/>
            <w:tcBorders>
              <w:bottom w:val="single" w:sz="8" w:color="2C2C2C"/>
            </w:tcBorders>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gridSpan w:val="4"/>
            <w:vMerge w:val="continue"/>
          </w:tcPr>
          <w:p>
            <w:pPr>
              <w:spacing w:after="0"/>
              <w:rPr>
                <w:sz w:val="15"/>
                <w:szCs w:val="15"/>
                <w:color w:val="auto"/>
              </w:rPr>
            </w:pPr>
          </w:p>
        </w:tc>
        <w:tc>
          <w:tcPr>
            <w:tcW w:w="3760" w:type="dxa"/>
            <w:vAlign w:val="bottom"/>
            <w:gridSpan w:val="5"/>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5"/>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ind w:left="280"/>
              <w:spacing w:after="0" w:line="116" w:lineRule="exact"/>
              <w:rPr>
                <w:sz w:val="20"/>
                <w:szCs w:val="20"/>
                <w:color w:val="auto"/>
              </w:rPr>
            </w:pPr>
            <w:r>
              <w:rPr>
                <w:rFonts w:ascii="Arial" w:cs="Arial" w:eastAsia="Arial" w:hAnsi="Arial"/>
                <w:sz w:val="13"/>
                <w:szCs w:val="13"/>
                <w:color w:val="auto"/>
              </w:rPr>
              <w:t>Line)</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X</w:t>
            </w:r>
          </w:p>
        </w:tc>
        <w:tc>
          <w:tcPr>
            <w:tcW w:w="30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300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160" w:type="dxa"/>
            <w:vAlign w:val="bottom"/>
          </w:tcPr>
          <w:p>
            <w:pPr>
              <w:ind w:left="180"/>
              <w:spacing w:after="0"/>
              <w:rPr>
                <w:sz w:val="20"/>
                <w:szCs w:val="20"/>
                <w:color w:val="auto"/>
              </w:rPr>
            </w:pPr>
            <w:r>
              <w:rPr>
                <w:rFonts w:ascii="Arial" w:cs="Arial" w:eastAsia="Arial" w:hAnsi="Arial"/>
                <w:sz w:val="13"/>
                <w:szCs w:val="13"/>
                <w:color w:val="auto"/>
              </w:rPr>
              <w:t>Person</w:t>
            </w: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2160" w:type="dxa"/>
            <w:vAlign w:val="bottom"/>
            <w:gridSpan w:val="3"/>
          </w:tcPr>
          <w:p>
            <w:pPr>
              <w:ind w:left="28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580" w:type="dxa"/>
            <w:vAlign w:val="bottom"/>
            <w:tcBorders>
              <w:bottom w:val="single" w:sz="8" w:color="2C2C2C"/>
            </w:tcBorders>
            <w:gridSpan w:val="7"/>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9"/>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0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60" w:type="dxa"/>
            <w:vAlign w:val="bottom"/>
            <w:tcBorders>
              <w:bottom w:val="single" w:sz="8" w:color="2C2C2C"/>
            </w:tcBorders>
            <w:gridSpan w:val="3"/>
          </w:tcPr>
          <w:p>
            <w:pPr>
              <w:spacing w:after="0"/>
              <w:rPr>
                <w:sz w:val="3"/>
                <w:szCs w:val="3"/>
                <w:color w:val="auto"/>
              </w:rPr>
            </w:pPr>
          </w:p>
        </w:tc>
        <w:tc>
          <w:tcPr>
            <w:tcW w:w="21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60" w:type="dxa"/>
            <w:vAlign w:val="bottom"/>
            <w:gridSpan w:val="3"/>
          </w:tcPr>
          <w:p>
            <w:pPr>
              <w:ind w:left="1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160" w:type="dxa"/>
            <w:vAlign w:val="bottom"/>
            <w:gridSpan w:val="3"/>
          </w:tcPr>
          <w:p>
            <w:pPr>
              <w:ind w:left="112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160" w:type="dxa"/>
            <w:vAlign w:val="bottom"/>
            <w:gridSpan w:val="3"/>
          </w:tcPr>
          <w:p>
            <w:pPr>
              <w:ind w:left="112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gridSpan w:val="2"/>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footnote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4,838,054</w:t>
            </w:r>
          </w:p>
        </w:tc>
        <w:tc>
          <w:tcPr>
            <w:tcW w:w="100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Remarks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below</w:t>
            </w:r>
            <w:r>
              <w:rPr>
                <w:rFonts w:ascii="Times New Roman" w:cs="Times New Roman" w:eastAsia="Times New Roman" w:hAnsi="Times New Roman"/>
                <w:sz w:val="21"/>
                <w:szCs w:val="21"/>
                <w:color w:val="008000"/>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5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6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15,000</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2"/>
                <w:szCs w:val="12"/>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01/29/2014</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15,000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5.5</w:t>
            </w:r>
          </w:p>
        </w:tc>
        <w:tc>
          <w:tcPr>
            <w:tcW w:w="114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3"/>
                <w:szCs w:val="13"/>
                <w:color w:val="0000FF"/>
              </w:rPr>
              <w:t>01/29/2014</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spacing w:after="0" w:line="145" w:lineRule="exact"/>
              <w:rPr>
                <w:sz w:val="20"/>
                <w:szCs w:val="20"/>
                <w:color w:val="auto"/>
              </w:rPr>
            </w:pPr>
            <w:r>
              <w:rPr>
                <w:rFonts w:ascii="Times New Roman" w:cs="Times New Roman" w:eastAsia="Times New Roman" w:hAnsi="Times New Roman"/>
                <w:sz w:val="13"/>
                <w:szCs w:val="13"/>
                <w:color w:val="0000FF"/>
              </w:rPr>
              <w:t>01/29/2024</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tcPr>
          <w:p>
            <w:pPr>
              <w:ind w:left="280"/>
              <w:spacing w:after="0" w:line="145"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ind w:left="300"/>
              <w:spacing w:after="0" w:line="145" w:lineRule="exact"/>
              <w:rPr>
                <w:sz w:val="20"/>
                <w:szCs w:val="20"/>
                <w:color w:val="auto"/>
              </w:rPr>
            </w:pPr>
            <w:r>
              <w:rPr>
                <w:rFonts w:ascii="Times New Roman" w:cs="Times New Roman" w:eastAsia="Times New Roman" w:hAnsi="Times New Roman"/>
                <w:sz w:val="13"/>
                <w:szCs w:val="13"/>
                <w:color w:val="0000FF"/>
              </w:rPr>
              <w:t>15,000</w:t>
            </w:r>
          </w:p>
        </w:tc>
        <w:tc>
          <w:tcPr>
            <w:tcW w:w="760" w:type="dxa"/>
            <w:vAlign w:val="bottom"/>
          </w:tcPr>
          <w:p>
            <w:pPr>
              <w:ind w:left="340"/>
              <w:spacing w:after="0" w:line="145"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160"/>
              <w:spacing w:after="0" w:line="132"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5"/>
          </w:tcPr>
          <w:p>
            <w:pPr>
              <w:ind w:left="60"/>
              <w:spacing w:after="0" w:line="236"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6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5"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MESDAG WILLEM</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RED MOUNTAIN CAPITAL MANAGEMENT INC.</w:t>
            </w: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10100 SANTA MONICA BOULEVARD, SUITE 925</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90067</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6"/>
          </w:tcPr>
          <w:p>
            <w:pPr>
              <w:spacing w:after="0" w:line="225"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RED MOUNTAIN PARTNERS, L.P.</w:t>
              </w:r>
            </w:hyperlink>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10100 SANTA MONICA BOULEVARD</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925</w:t>
            </w: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sz w:val="1"/>
          <w:szCs w:val="1"/>
          <w:color w:val="auto"/>
        </w:rPr>
        <w:drawing>
          <wp:inline distT="0" distB="0" distL="0" distR="0">
            <wp:extent cx="33655" cy="189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655" cy="18923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1"/>
          <w:szCs w:val="21"/>
          <w:color w:val="auto"/>
          <w:vertAlign w:val="superscript"/>
        </w:rPr>
        <w:t>*</w:t>
      </w:r>
    </w:p>
    <w:p>
      <w:pPr>
        <w:sectPr>
          <w:pgSz w:w="11900" w:h="16945" w:orient="portrait"/>
          <w:cols w:equalWidth="0" w:num="1">
            <w:col w:w="11520"/>
          </w:cols>
          <w:pgMar w:left="240" w:top="218" w:right="139" w:bottom="0" w:gutter="0" w:footer="0" w:header="0"/>
          <w:type w:val="continuous"/>
        </w:sectPr>
      </w:pPr>
    </w:p>
    <w:bookmarkStart w:id="1" w:name="page2"/>
    <w:bookmarkEnd w:id="1"/>
    <w:p>
      <w:pPr>
        <w:ind w:left="8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RMCP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-135890</wp:posOffset>
            </wp:positionV>
            <wp:extent cx="2922270" cy="5287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2270" cy="5287010"/>
                    </a:xfrm>
                    <a:prstGeom prst="rect">
                      <a:avLst/>
                    </a:prstGeom>
                    <a:noFill/>
                  </pic:spPr>
                </pic:pic>
              </a:graphicData>
            </a:graphic>
          </wp:anchor>
        </w:drawing>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160"/>
              <w:spacing w:after="0"/>
              <w:rPr>
                <w:sz w:val="20"/>
                <w:szCs w:val="20"/>
                <w:color w:val="auto"/>
              </w:rPr>
            </w:pPr>
            <w:r>
              <w:rPr>
                <w:rFonts w:ascii="Arial" w:cs="Arial" w:eastAsia="Arial" w:hAnsi="Arial"/>
                <w:sz w:val="13"/>
                <w:szCs w:val="13"/>
                <w:color w:val="auto"/>
              </w:rPr>
              <w:t>(First)</w:t>
            </w:r>
          </w:p>
        </w:tc>
        <w:tc>
          <w:tcPr>
            <w:tcW w:w="146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4"/>
        </w:trPr>
        <w:tc>
          <w:tcPr>
            <w:tcW w:w="4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10100 SANTA MONICA BOULEVARD</w:t>
            </w:r>
          </w:p>
        </w:tc>
        <w:tc>
          <w:tcPr>
            <w:tcW w:w="146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SUITE 925</w:t>
            </w:r>
          </w:p>
        </w:tc>
        <w:tc>
          <w:tcPr>
            <w:tcW w:w="15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152"/>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266"/>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4"/>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90067</w:t>
            </w:r>
          </w:p>
        </w:tc>
      </w:tr>
      <w:tr>
        <w:trPr>
          <w:trHeight w:val="152"/>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160"/>
              <w:spacing w:after="0"/>
              <w:rPr>
                <w:sz w:val="20"/>
                <w:szCs w:val="20"/>
                <w:color w:val="auto"/>
              </w:rPr>
            </w:pPr>
            <w:r>
              <w:rPr>
                <w:rFonts w:ascii="Arial" w:cs="Arial" w:eastAsia="Arial" w:hAnsi="Arial"/>
                <w:sz w:val="13"/>
                <w:szCs w:val="13"/>
                <w:color w:val="auto"/>
              </w:rPr>
              <w:t>(State)</w:t>
            </w:r>
          </w:p>
        </w:tc>
        <w:tc>
          <w:tcPr>
            <w:tcW w:w="146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RED MOUNTAIN CAPITAL PARTNERS LLC</w:t>
        </w:r>
      </w:hyperlink>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160"/>
              <w:spacing w:after="0"/>
              <w:rPr>
                <w:sz w:val="20"/>
                <w:szCs w:val="20"/>
                <w:color w:val="auto"/>
              </w:rPr>
            </w:pPr>
            <w:r>
              <w:rPr>
                <w:rFonts w:ascii="Arial" w:cs="Arial" w:eastAsia="Arial" w:hAnsi="Arial"/>
                <w:sz w:val="13"/>
                <w:szCs w:val="13"/>
                <w:color w:val="auto"/>
              </w:rPr>
              <w:t>(First)</w:t>
            </w:r>
          </w:p>
        </w:tc>
        <w:tc>
          <w:tcPr>
            <w:tcW w:w="146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4"/>
        </w:trPr>
        <w:tc>
          <w:tcPr>
            <w:tcW w:w="4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10100 SANTA MONICA BOULEVARD</w:t>
            </w:r>
          </w:p>
        </w:tc>
        <w:tc>
          <w:tcPr>
            <w:tcW w:w="146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SUITE 925</w:t>
            </w:r>
          </w:p>
        </w:tc>
        <w:tc>
          <w:tcPr>
            <w:tcW w:w="15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152"/>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266"/>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4"/>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90067</w:t>
            </w:r>
          </w:p>
        </w:tc>
      </w:tr>
      <w:tr>
        <w:trPr>
          <w:trHeight w:val="152"/>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160"/>
              <w:spacing w:after="0"/>
              <w:rPr>
                <w:sz w:val="20"/>
                <w:szCs w:val="20"/>
                <w:color w:val="auto"/>
              </w:rPr>
            </w:pPr>
            <w:r>
              <w:rPr>
                <w:rFonts w:ascii="Arial" w:cs="Arial" w:eastAsia="Arial" w:hAnsi="Arial"/>
                <w:sz w:val="13"/>
                <w:szCs w:val="13"/>
                <w:color w:val="auto"/>
              </w:rPr>
              <w:t>(State)</w:t>
            </w:r>
          </w:p>
        </w:tc>
        <w:tc>
          <w:tcPr>
            <w:tcW w:w="146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line="235" w:lineRule="auto"/>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RED MOUNTAIN CAPITAL MANAGEMENT</w:t>
        </w:r>
      </w:hyperlink>
    </w:p>
    <w:p>
      <w:pPr>
        <w:spacing w:after="0" w:line="1" w:lineRule="exact"/>
        <w:rPr>
          <w:sz w:val="20"/>
          <w:szCs w:val="20"/>
          <w:color w:val="auto"/>
        </w:rPr>
      </w:pP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INC</w:t>
        </w:r>
      </w:hyperlink>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160"/>
              <w:spacing w:after="0"/>
              <w:rPr>
                <w:sz w:val="20"/>
                <w:szCs w:val="20"/>
                <w:color w:val="auto"/>
              </w:rPr>
            </w:pPr>
            <w:r>
              <w:rPr>
                <w:rFonts w:ascii="Arial" w:cs="Arial" w:eastAsia="Arial" w:hAnsi="Arial"/>
                <w:sz w:val="13"/>
                <w:szCs w:val="13"/>
                <w:color w:val="auto"/>
              </w:rPr>
              <w:t>(First)</w:t>
            </w:r>
          </w:p>
        </w:tc>
        <w:tc>
          <w:tcPr>
            <w:tcW w:w="146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4"/>
        </w:trPr>
        <w:tc>
          <w:tcPr>
            <w:tcW w:w="4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10100 SANTA MONICA BOULEVARD</w:t>
            </w:r>
          </w:p>
        </w:tc>
        <w:tc>
          <w:tcPr>
            <w:tcW w:w="146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SUITE 925</w:t>
            </w:r>
          </w:p>
        </w:tc>
        <w:tc>
          <w:tcPr>
            <w:tcW w:w="15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152"/>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266"/>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4"/>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90067</w:t>
            </w:r>
          </w:p>
        </w:tc>
      </w:tr>
      <w:tr>
        <w:trPr>
          <w:trHeight w:val="152"/>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160"/>
              <w:spacing w:after="0"/>
              <w:rPr>
                <w:sz w:val="20"/>
                <w:szCs w:val="20"/>
                <w:color w:val="auto"/>
              </w:rPr>
            </w:pPr>
            <w:r>
              <w:rPr>
                <w:rFonts w:ascii="Arial" w:cs="Arial" w:eastAsia="Arial" w:hAnsi="Arial"/>
                <w:sz w:val="13"/>
                <w:szCs w:val="13"/>
                <w:color w:val="auto"/>
              </w:rPr>
              <w:t>(State)</w:t>
            </w:r>
          </w:p>
        </w:tc>
        <w:tc>
          <w:tcPr>
            <w:tcW w:w="146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40" w:hanging="135"/>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Red Mountain Partners, L. P. ("RMP").</w:t>
      </w:r>
    </w:p>
    <w:p>
      <w:pPr>
        <w:spacing w:after="0" w:line="48" w:lineRule="exact"/>
        <w:rPr>
          <w:rFonts w:ascii="Times New Roman" w:cs="Times New Roman" w:eastAsia="Times New Roman" w:hAnsi="Times New Roman"/>
          <w:sz w:val="13"/>
          <w:szCs w:val="13"/>
          <w:color w:val="008000"/>
        </w:rPr>
      </w:pPr>
    </w:p>
    <w:p>
      <w:pPr>
        <w:ind w:right="120" w:firstLine="5"/>
        <w:spacing w:after="0" w:line="268" w:lineRule="auto"/>
        <w:tabs>
          <w:tab w:leader="none" w:pos="13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Amended and Restated Non-Employee Director Compensation Plan, on January 29, 2014 the Issuer granted options to purchase 15,000 shares to Willem Mesdag upon his election to the Board of Directors.</w:t>
      </w:r>
    </w:p>
    <w:p>
      <w:pPr>
        <w:spacing w:after="0" w:line="8" w:lineRule="exact"/>
        <w:rPr>
          <w:rFonts w:ascii="Times New Roman" w:cs="Times New Roman" w:eastAsia="Times New Roman" w:hAnsi="Times New Roman"/>
          <w:sz w:val="13"/>
          <w:szCs w:val="13"/>
          <w:color w:val="008000"/>
        </w:rPr>
      </w:pPr>
    </w:p>
    <w:p>
      <w:pPr>
        <w:ind w:left="140" w:hanging="135"/>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5,000 shares are currently exercisable and 5,000 shares will become exercisable on January 29, 2015 and 5,000 shares will become exercisable on January 29, 2016. .</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3"/>
          <w:szCs w:val="13"/>
          <w:color w:val="008000"/>
        </w:rPr>
        <w:t>Remarks This Form 4 is jointly filed by (i) RMP, (ii) RMCP GP LLC ("RMCP GP"), (iii) Red Mountain Capital Partners LLC ("RMCP LLC"), (iv) Red Mountain Capital Management, Inc. ("RMCM"), and (v) Willem Mesdag. RMCP GP is the general partner of RMP. RMCP LLC is the managing member of RMCP GP. RMCM is the managing member of RMCP LLC. Willem Mesdag is the president, sole executive officer, sole director and sole shareholder of RMCM. Willem Mesdag is also a director of DXLG. Each of Reporting Person,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5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-6985</wp:posOffset>
            </wp:positionV>
            <wp:extent cx="128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7" w:lineRule="exact"/>
        <w:rPr>
          <w:sz w:val="20"/>
          <w:szCs w:val="20"/>
          <w:color w:val="auto"/>
        </w:rPr>
      </w:pPr>
    </w:p>
    <w:p>
      <w:pPr>
        <w:ind w:left="6820"/>
        <w:spacing w:after="0"/>
        <w:tabs>
          <w:tab w:leader="none" w:pos="9100" w:val="left"/>
        </w:tabs>
        <w:rPr>
          <w:sz w:val="20"/>
          <w:szCs w:val="20"/>
          <w:color w:val="auto"/>
        </w:rPr>
      </w:pPr>
      <w:r>
        <w:rPr>
          <w:rFonts w:ascii="Times New Roman" w:cs="Times New Roman" w:eastAsia="Times New Roman" w:hAnsi="Times New Roman"/>
          <w:sz w:val="17"/>
          <w:szCs w:val="17"/>
          <w:color w:val="0000FF"/>
        </w:rPr>
        <w:t>himself and the Red Mountain</w:t>
        <w:tab/>
        <w:t>02/07/2014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-13970</wp:posOffset>
            </wp:positionV>
            <wp:extent cx="1952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-13970</wp:posOffset>
            </wp:positionV>
            <wp:extent cx="368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32"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680"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6" Type="http://schemas.openxmlformats.org/officeDocument/2006/relationships/hyperlink" Target="http://www.sec.gov/cgi-bin/browse-edgar?action=getcompany&amp;CIK=0001374606" TargetMode="External"/><Relationship Id="rId18" Type="http://schemas.openxmlformats.org/officeDocument/2006/relationships/hyperlink" Target="http://www.sec.gov/cgi-bin/browse-edgar?action=getcompany&amp;CIK=0001374588" TargetMode="External"/><Relationship Id="rId19"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2019-12-16T04:50:39Z</dcterms:created>
  <dcterms:modified xsi:type="dcterms:W3CDTF">2019-12-16T04:50:39Z</dcterms:modified>
</cp:coreProperties>
</file>