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40"/>
        <w:spacing w:after="0"/>
        <w:rPr>
          <w:sz w:val="20"/>
          <w:szCs w:val="20"/>
          <w:color w:val="auto"/>
        </w:rPr>
      </w:pPr>
      <w:r>
        <w:rPr>
          <w:rFonts w:ascii="Arial" w:cs="Arial" w:eastAsia="Arial" w:hAnsi="Arial"/>
          <w:sz w:val="22"/>
          <w:szCs w:val="22"/>
          <w:b w:val="1"/>
          <w:bCs w:val="1"/>
          <w:color w:val="auto"/>
        </w:rPr>
        <w:t>Date of Report (Date of earliest event reported): June 15, 2010</w:t>
      </w:r>
    </w:p>
    <w:p>
      <w:pPr>
        <w:spacing w:after="0" w:line="152" w:lineRule="exact"/>
        <w:rPr>
          <w:sz w:val="24"/>
          <w:szCs w:val="24"/>
          <w:color w:val="auto"/>
        </w:rPr>
      </w:pPr>
    </w:p>
    <w:p>
      <w:pPr>
        <w:ind w:left="5300"/>
        <w:spacing w:after="0"/>
        <w:rPr>
          <w:sz w:val="20"/>
          <w:szCs w:val="20"/>
          <w:color w:val="auto"/>
        </w:rPr>
      </w:pPr>
      <w:r>
        <w:rPr>
          <w:rFonts w:ascii="Arial" w:cs="Arial" w:eastAsia="Arial" w:hAnsi="Arial"/>
          <w:sz w:val="22"/>
          <w:szCs w:val="22"/>
          <w:b w:val="1"/>
          <w:bCs w:val="1"/>
          <w:color w:val="auto"/>
        </w:rPr>
        <w:t>01-34219</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40" w:space="720"/>
            <w:col w:w="34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June 15, 2010, the Compensation Committee of Casual Male Retail Group, Inc. (the “Company”) amended the Company’s Amended and Restated Long– Term Incentive Plan (as amended, the “LTIP”), pursuant to which the Company’s executives (which includes its “named executive officers”) are eligible to participate.</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LTIP was amended to permit the Compensation Committee, in its discretion, to require that all or any portion of a participant’s award be paid in shares of restricted stock and/or stock options, as opposed to cash. For fiscal 2010, the Compensation Committee will require that all participants, through their irrevocable elections, elect to receive at least 50% of any award in equity, through either shares of restricted stock and/or stock options.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 changes were made to the timing of the grants of awards or the vesting schedule.</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2010</w:t>
      </w:r>
    </w:p>
    <w:sectPr>
      <w:pgSz w:w="11900" w:h="16838" w:orient="portrait"/>
      <w:cols w:equalWidth="0" w:num="1">
        <w:col w:w="10980"/>
      </w:cols>
      <w:pgMar w:left="240" w:top="2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2019-12-10T07:57:33Z</dcterms:created>
  <dcterms:modified xsi:type="dcterms:W3CDTF">2019-12-10T07:57:33Z</dcterms:modified>
</cp:coreProperties>
</file>