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Rubin Elaine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04/14/2021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$0.01 par valu</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04/14/2021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25,000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1.3173</w:t>
            </w:r>
            <w:r>
              <w:rPr>
                <w:rFonts w:ascii="Arial" w:cs="Arial" w:eastAsia="Arial" w:hAnsi="Arial"/>
                <w:sz w:val="22"/>
                <w:szCs w:val="22"/>
                <w:color w:val="008000"/>
                <w:w w:val="93"/>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25,000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04/14/2021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15,000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1.3393</w:t>
            </w:r>
            <w:r>
              <w:rPr>
                <w:rFonts w:ascii="Arial" w:cs="Arial" w:eastAsia="Arial" w:hAnsi="Arial"/>
                <w:sz w:val="22"/>
                <w:szCs w:val="22"/>
                <w:color w:val="008000"/>
                <w:w w:val="93"/>
                <w:vertAlign w:val="superscript"/>
              </w:rPr>
              <w:t>(2)</w:t>
            </w:r>
          </w:p>
        </w:tc>
        <w:tc>
          <w:tcPr>
            <w:tcW w:w="300" w:type="dxa"/>
            <w:vAlign w:val="bottom"/>
          </w:tcPr>
          <w:p>
            <w:pPr>
              <w:spacing w:after="0"/>
              <w:rPr>
                <w:sz w:val="18"/>
                <w:szCs w:val="18"/>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w w:val="96"/>
              </w:rPr>
              <w:t>15,000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Spouse's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IRA</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account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purchased in multiple transactions at a price ranging from $1.22 to $1.34, inclusive. The Reporting Person undertakes to provide to the Issuer, any security holder of the Issuer, and/or the staff of the Securities and Exchange Commission, upon request, full information regarding the number of shares purchased at each separate price within the ranges set forth in Footnote (1) to the Form 4.</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purchased in multiple transactions at a price ranging from $1.31 to $1.34, inclusive. The Reporting Person undertakes to provide to the Issuer, any security holder of the Issuer, and/or the staff of the Securities and Exchange Commission, upon request, full information regarding the number of shares purchased at each separate price within the ranges set forth in Footnote (2) to the Form 4.</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Robert S. Molloy,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04/16/2021</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in-Fact for Elaine Rubin</w:t>
            </w:r>
          </w:p>
        </w:tc>
        <w:tc>
          <w:tcPr>
            <w:tcW w:w="2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0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035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2021-04-16T07:36:33Z</dcterms:created>
  <dcterms:modified xsi:type="dcterms:W3CDTF">2021-04-16T07:36:33Z</dcterms:modified>
</cp:coreProperties>
</file>