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174625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w:t>
      </w:r>
      <w:r>
        <w:rPr>
          <w:rFonts w:ascii="Arial" w:cs="Arial" w:eastAsia="Arial" w:hAnsi="Arial"/>
          <w:sz w:val="22"/>
          <w:szCs w:val="22"/>
          <w:b w:val="1"/>
          <w:bCs w:val="1"/>
          <w:u w:val="single" w:color="auto"/>
          <w:color w:val="auto"/>
        </w:rPr>
        <w:t>ASHINGTON, D.C. 205</w:t>
      </w:r>
      <w:r>
        <w:rPr>
          <w:rFonts w:ascii="Arial" w:cs="Arial" w:eastAsia="Arial" w:hAnsi="Arial"/>
          <w:sz w:val="22"/>
          <w:szCs w:val="22"/>
          <w:b w:val="1"/>
          <w:bCs w:val="1"/>
          <w:color w:val="auto"/>
        </w:rPr>
        <w:t>49</w:t>
      </w:r>
    </w:p>
    <w:p>
      <w:pPr>
        <w:spacing w:after="0" w:line="14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24130</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66"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CURRENT REPORT</w:t>
      </w:r>
    </w:p>
    <w:p>
      <w:pPr>
        <w:spacing w:after="0" w:line="152"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Pursuant to Section 13 or 15(d) of the Securities Exchange Act of 1934</w:t>
      </w:r>
    </w:p>
    <w:p>
      <w:pPr>
        <w:spacing w:after="0" w:line="94"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Date of Report (Date of earliest event reported): March 15,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68580</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39"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DESTINATION XL GROUP, INC.</w:t>
      </w:r>
    </w:p>
    <w:p>
      <w:pPr>
        <w:spacing w:after="0" w:line="76"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(Exact name of Registrant as Specified in Its Charter)</w:t>
      </w:r>
    </w:p>
    <w:p>
      <w:pPr>
        <w:spacing w:after="0" w:line="154" w:lineRule="exact"/>
        <w:rPr>
          <w:sz w:val="24"/>
          <w:szCs w:val="24"/>
          <w:color w:val="auto"/>
        </w:rPr>
      </w:pPr>
    </w:p>
    <w:tbl>
      <w:tblPr>
        <w:tblLayout w:type="fixed"/>
        <w:tblInd w:w="1160" w:type="dxa"/>
        <w:tblCellMar>
          <w:top w:w="0" w:type="dxa"/>
          <w:left w:w="0" w:type="dxa"/>
          <w:bottom w:w="0" w:type="dxa"/>
          <w:right w:w="0" w:type="dxa"/>
        </w:tblCellMar>
      </w:tblPr>
      <w:tr>
        <w:trPr>
          <w:trHeight w:val="176"/>
        </w:trPr>
        <w:tc>
          <w:tcPr>
            <w:tcW w:w="3340" w:type="dxa"/>
            <w:vAlign w:val="bottom"/>
          </w:tcPr>
          <w:p>
            <w:pPr>
              <w:jc w:val="center"/>
              <w:ind w:right="941"/>
              <w:spacing w:after="0" w:line="176" w:lineRule="exact"/>
              <w:rPr>
                <w:sz w:val="20"/>
                <w:szCs w:val="20"/>
                <w:color w:val="auto"/>
              </w:rPr>
            </w:pPr>
            <w:r>
              <w:rPr>
                <w:rFonts w:ascii="Arial" w:cs="Arial" w:eastAsia="Arial" w:hAnsi="Arial"/>
                <w:sz w:val="18"/>
                <w:szCs w:val="18"/>
                <w:b w:val="1"/>
                <w:bCs w:val="1"/>
                <w:color w:val="auto"/>
                <w:w w:val="91"/>
              </w:rPr>
              <w:t>Delaware</w:t>
            </w:r>
          </w:p>
        </w:tc>
        <w:tc>
          <w:tcPr>
            <w:tcW w:w="2240" w:type="dxa"/>
            <w:vAlign w:val="bottom"/>
            <w:tcBorders>
              <w:top w:val="single" w:sz="8" w:color="auto"/>
            </w:tcBorders>
          </w:tcPr>
          <w:p>
            <w:pPr>
              <w:jc w:val="right"/>
              <w:ind w:right="681"/>
              <w:spacing w:after="0" w:line="176" w:lineRule="exact"/>
              <w:rPr>
                <w:sz w:val="20"/>
                <w:szCs w:val="20"/>
                <w:color w:val="auto"/>
              </w:rPr>
            </w:pPr>
            <w:r>
              <w:rPr>
                <w:rFonts w:ascii="Arial" w:cs="Arial" w:eastAsia="Arial" w:hAnsi="Arial"/>
                <w:sz w:val="18"/>
                <w:szCs w:val="18"/>
                <w:b w:val="1"/>
                <w:bCs w:val="1"/>
                <w:color w:val="auto"/>
              </w:rPr>
              <w:t>01-34219</w:t>
            </w:r>
          </w:p>
        </w:tc>
        <w:tc>
          <w:tcPr>
            <w:tcW w:w="2720" w:type="dxa"/>
            <w:vAlign w:val="bottom"/>
          </w:tcPr>
          <w:p>
            <w:pPr>
              <w:jc w:val="right"/>
              <w:ind w:right="4"/>
              <w:spacing w:after="0" w:line="176" w:lineRule="exact"/>
              <w:rPr>
                <w:sz w:val="20"/>
                <w:szCs w:val="20"/>
                <w:color w:val="auto"/>
              </w:rPr>
            </w:pPr>
            <w:r>
              <w:rPr>
                <w:rFonts w:ascii="Arial" w:cs="Arial" w:eastAsia="Arial" w:hAnsi="Arial"/>
                <w:sz w:val="18"/>
                <w:szCs w:val="18"/>
                <w:b w:val="1"/>
                <w:bCs w:val="1"/>
                <w:color w:val="auto"/>
              </w:rPr>
              <w:t>04-2623104</w:t>
            </w:r>
          </w:p>
        </w:tc>
      </w:tr>
      <w:tr>
        <w:trPr>
          <w:trHeight w:val="135"/>
        </w:trPr>
        <w:tc>
          <w:tcPr>
            <w:tcW w:w="3340" w:type="dxa"/>
            <w:vAlign w:val="bottom"/>
          </w:tcPr>
          <w:p>
            <w:pPr>
              <w:jc w:val="center"/>
              <w:ind w:right="941"/>
              <w:spacing w:after="0" w:line="135" w:lineRule="exact"/>
              <w:rPr>
                <w:sz w:val="20"/>
                <w:szCs w:val="20"/>
                <w:color w:val="auto"/>
              </w:rPr>
            </w:pPr>
            <w:r>
              <w:rPr>
                <w:rFonts w:ascii="Arial" w:cs="Arial" w:eastAsia="Arial" w:hAnsi="Arial"/>
                <w:sz w:val="13"/>
                <w:szCs w:val="13"/>
                <w:b w:val="1"/>
                <w:bCs w:val="1"/>
                <w:color w:val="auto"/>
                <w:w w:val="95"/>
              </w:rPr>
              <w:t>(State or Other Jurisdiction</w:t>
            </w:r>
          </w:p>
        </w:tc>
        <w:tc>
          <w:tcPr>
            <w:tcW w:w="224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5"/>
              </w:rPr>
              <w:t>(Commission File Number)</w:t>
            </w:r>
          </w:p>
        </w:tc>
        <w:tc>
          <w:tcPr>
            <w:tcW w:w="2720" w:type="dxa"/>
            <w:vAlign w:val="bottom"/>
          </w:tcPr>
          <w:p>
            <w:pPr>
              <w:jc w:val="center"/>
              <w:ind w:left="1604"/>
              <w:spacing w:after="0" w:line="135" w:lineRule="exact"/>
              <w:rPr>
                <w:sz w:val="20"/>
                <w:szCs w:val="20"/>
                <w:color w:val="auto"/>
              </w:rPr>
            </w:pPr>
            <w:r>
              <w:rPr>
                <w:rFonts w:ascii="Arial" w:cs="Arial" w:eastAsia="Arial" w:hAnsi="Arial"/>
                <w:sz w:val="13"/>
                <w:szCs w:val="13"/>
                <w:b w:val="1"/>
                <w:bCs w:val="1"/>
                <w:color w:val="auto"/>
                <w:w w:val="98"/>
              </w:rPr>
              <w:t>(IRS Employer</w:t>
            </w:r>
          </w:p>
        </w:tc>
      </w:tr>
      <w:tr>
        <w:trPr>
          <w:trHeight w:val="174"/>
        </w:trPr>
        <w:tc>
          <w:tcPr>
            <w:tcW w:w="3340" w:type="dxa"/>
            <w:vAlign w:val="bottom"/>
          </w:tcPr>
          <w:p>
            <w:pPr>
              <w:jc w:val="center"/>
              <w:ind w:right="941"/>
              <w:spacing w:after="0"/>
              <w:rPr>
                <w:sz w:val="20"/>
                <w:szCs w:val="20"/>
                <w:color w:val="auto"/>
              </w:rPr>
            </w:pPr>
            <w:r>
              <w:rPr>
                <w:rFonts w:ascii="Arial" w:cs="Arial" w:eastAsia="Arial" w:hAnsi="Arial"/>
                <w:sz w:val="13"/>
                <w:szCs w:val="13"/>
                <w:b w:val="1"/>
                <w:bCs w:val="1"/>
                <w:color w:val="auto"/>
                <w:w w:val="96"/>
              </w:rPr>
              <w:t>of Incorporation)</w:t>
            </w:r>
          </w:p>
        </w:tc>
        <w:tc>
          <w:tcPr>
            <w:tcW w:w="2240" w:type="dxa"/>
            <w:vAlign w:val="bottom"/>
          </w:tcPr>
          <w:p>
            <w:pPr>
              <w:spacing w:after="0"/>
              <w:rPr>
                <w:sz w:val="15"/>
                <w:szCs w:val="15"/>
                <w:color w:val="auto"/>
              </w:rPr>
            </w:pPr>
          </w:p>
        </w:tc>
        <w:tc>
          <w:tcPr>
            <w:tcW w:w="2720" w:type="dxa"/>
            <w:vAlign w:val="bottom"/>
          </w:tcPr>
          <w:p>
            <w:pPr>
              <w:jc w:val="center"/>
              <w:ind w:left="1584"/>
              <w:spacing w:after="0"/>
              <w:rPr>
                <w:sz w:val="20"/>
                <w:szCs w:val="20"/>
                <w:color w:val="auto"/>
              </w:rPr>
            </w:pPr>
            <w:r>
              <w:rPr>
                <w:rFonts w:ascii="Arial" w:cs="Arial" w:eastAsia="Arial" w:hAnsi="Arial"/>
                <w:sz w:val="13"/>
                <w:szCs w:val="13"/>
                <w:b w:val="1"/>
                <w:bCs w:val="1"/>
                <w:color w:val="auto"/>
                <w:w w:val="96"/>
              </w:rPr>
              <w:t>Identification No.)</w:t>
            </w:r>
          </w:p>
        </w:tc>
      </w:tr>
      <w:tr>
        <w:trPr>
          <w:trHeight w:val="347"/>
        </w:trPr>
        <w:tc>
          <w:tcPr>
            <w:tcW w:w="3340" w:type="dxa"/>
            <w:vAlign w:val="bottom"/>
          </w:tcPr>
          <w:p>
            <w:pPr>
              <w:jc w:val="center"/>
              <w:ind w:right="941"/>
              <w:spacing w:after="0"/>
              <w:rPr>
                <w:sz w:val="20"/>
                <w:szCs w:val="20"/>
                <w:color w:val="auto"/>
              </w:rPr>
            </w:pPr>
            <w:r>
              <w:rPr>
                <w:rFonts w:ascii="Arial" w:cs="Arial" w:eastAsia="Arial" w:hAnsi="Arial"/>
                <w:sz w:val="18"/>
                <w:szCs w:val="18"/>
                <w:b w:val="1"/>
                <w:bCs w:val="1"/>
                <w:color w:val="auto"/>
                <w:w w:val="90"/>
              </w:rPr>
              <w:t>555 Turnpike Street</w:t>
            </w:r>
          </w:p>
        </w:tc>
        <w:tc>
          <w:tcPr>
            <w:tcW w:w="2240" w:type="dxa"/>
            <w:vAlign w:val="bottom"/>
          </w:tcPr>
          <w:p>
            <w:pPr>
              <w:spacing w:after="0"/>
              <w:rPr>
                <w:sz w:val="24"/>
                <w:szCs w:val="24"/>
                <w:color w:val="auto"/>
              </w:rPr>
            </w:pPr>
          </w:p>
        </w:tc>
        <w:tc>
          <w:tcPr>
            <w:tcW w:w="2720" w:type="dxa"/>
            <w:vAlign w:val="bottom"/>
          </w:tcPr>
          <w:p>
            <w:pPr>
              <w:spacing w:after="0"/>
              <w:rPr>
                <w:sz w:val="24"/>
                <w:szCs w:val="24"/>
                <w:color w:val="auto"/>
              </w:rPr>
            </w:pPr>
          </w:p>
        </w:tc>
      </w:tr>
      <w:tr>
        <w:trPr>
          <w:trHeight w:val="195"/>
        </w:trPr>
        <w:tc>
          <w:tcPr>
            <w:tcW w:w="3340" w:type="dxa"/>
            <w:vAlign w:val="bottom"/>
          </w:tcPr>
          <w:p>
            <w:pPr>
              <w:jc w:val="center"/>
              <w:ind w:right="941"/>
              <w:spacing w:after="0" w:line="195" w:lineRule="exact"/>
              <w:rPr>
                <w:sz w:val="20"/>
                <w:szCs w:val="20"/>
                <w:color w:val="auto"/>
              </w:rPr>
            </w:pPr>
            <w:r>
              <w:rPr>
                <w:rFonts w:ascii="Arial" w:cs="Arial" w:eastAsia="Arial" w:hAnsi="Arial"/>
                <w:sz w:val="18"/>
                <w:szCs w:val="18"/>
                <w:b w:val="1"/>
                <w:bCs w:val="1"/>
                <w:color w:val="auto"/>
                <w:w w:val="87"/>
              </w:rPr>
              <w:t>Canton, Massachusetts</w:t>
            </w:r>
          </w:p>
        </w:tc>
        <w:tc>
          <w:tcPr>
            <w:tcW w:w="2240" w:type="dxa"/>
            <w:vAlign w:val="bottom"/>
          </w:tcPr>
          <w:p>
            <w:pPr>
              <w:spacing w:after="0"/>
              <w:rPr>
                <w:sz w:val="16"/>
                <w:szCs w:val="16"/>
                <w:color w:val="auto"/>
              </w:rPr>
            </w:pPr>
          </w:p>
        </w:tc>
        <w:tc>
          <w:tcPr>
            <w:tcW w:w="2720" w:type="dxa"/>
            <w:vAlign w:val="bottom"/>
          </w:tcPr>
          <w:p>
            <w:pPr>
              <w:jc w:val="right"/>
              <w:ind w:right="224"/>
              <w:spacing w:after="0" w:line="195" w:lineRule="exact"/>
              <w:rPr>
                <w:sz w:val="20"/>
                <w:szCs w:val="20"/>
                <w:color w:val="auto"/>
              </w:rPr>
            </w:pPr>
            <w:r>
              <w:rPr>
                <w:rFonts w:ascii="Arial" w:cs="Arial" w:eastAsia="Arial" w:hAnsi="Arial"/>
                <w:sz w:val="18"/>
                <w:szCs w:val="18"/>
                <w:b w:val="1"/>
                <w:bCs w:val="1"/>
                <w:color w:val="auto"/>
              </w:rPr>
              <w:t>02021</w:t>
            </w:r>
          </w:p>
        </w:tc>
      </w:tr>
      <w:tr>
        <w:trPr>
          <w:trHeight w:val="174"/>
        </w:trPr>
        <w:tc>
          <w:tcPr>
            <w:tcW w:w="3340" w:type="dxa"/>
            <w:vAlign w:val="bottom"/>
          </w:tcPr>
          <w:p>
            <w:pPr>
              <w:jc w:val="center"/>
              <w:ind w:right="941"/>
              <w:spacing w:after="0"/>
              <w:rPr>
                <w:sz w:val="20"/>
                <w:szCs w:val="20"/>
                <w:color w:val="auto"/>
              </w:rPr>
            </w:pPr>
            <w:r>
              <w:rPr>
                <w:rFonts w:ascii="Arial" w:cs="Arial" w:eastAsia="Arial" w:hAnsi="Arial"/>
                <w:sz w:val="13"/>
                <w:szCs w:val="13"/>
                <w:b w:val="1"/>
                <w:bCs w:val="1"/>
                <w:color w:val="auto"/>
                <w:w w:val="93"/>
              </w:rPr>
              <w:t>(Address of Principal Executive Offices)</w:t>
            </w:r>
          </w:p>
        </w:tc>
        <w:tc>
          <w:tcPr>
            <w:tcW w:w="2240" w:type="dxa"/>
            <w:vAlign w:val="bottom"/>
          </w:tcPr>
          <w:p>
            <w:pPr>
              <w:spacing w:after="0"/>
              <w:rPr>
                <w:sz w:val="15"/>
                <w:szCs w:val="15"/>
                <w:color w:val="auto"/>
              </w:rPr>
            </w:pPr>
          </w:p>
        </w:tc>
        <w:tc>
          <w:tcPr>
            <w:tcW w:w="2720" w:type="dxa"/>
            <w:vAlign w:val="bottom"/>
          </w:tcPr>
          <w:p>
            <w:pPr>
              <w:jc w:val="center"/>
              <w:ind w:left="1604"/>
              <w:spacing w:after="0"/>
              <w:rPr>
                <w:sz w:val="20"/>
                <w:szCs w:val="20"/>
                <w:color w:val="auto"/>
              </w:rPr>
            </w:pPr>
            <w:r>
              <w:rPr>
                <w:rFonts w:ascii="Arial" w:cs="Arial" w:eastAsia="Arial" w:hAnsi="Arial"/>
                <w:sz w:val="13"/>
                <w:szCs w:val="13"/>
                <w:b w:val="1"/>
                <w:bCs w:val="1"/>
                <w:color w:val="auto"/>
                <w:w w:val="99"/>
              </w:rPr>
              <w:t>(Zip Code)</w:t>
            </w:r>
          </w:p>
        </w:tc>
      </w:tr>
    </w:tbl>
    <w:p>
      <w:pPr>
        <w:spacing w:after="0" w:line="171"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Registrant’s Telephone Number, Including Area Code: 781 828-9300</w:t>
      </w:r>
    </w:p>
    <w:p>
      <w:pPr>
        <w:spacing w:after="0" w:line="352"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118745</wp:posOffset>
            </wp:positionV>
            <wp:extent cx="142303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328" w:lineRule="exact"/>
        <w:rPr>
          <w:sz w:val="24"/>
          <w:szCs w:val="24"/>
          <w:color w:val="auto"/>
        </w:rPr>
      </w:pPr>
    </w:p>
    <w:p>
      <w:pPr>
        <w:ind w:right="680"/>
        <w:spacing w:after="0" w:line="261"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17" w:lineRule="exact"/>
        <w:rPr>
          <w:sz w:val="24"/>
          <w:szCs w:val="24"/>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03"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03"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03"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15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registered pursuant to Section 12(b) of the Act:</w:t>
      </w:r>
    </w:p>
    <w:p>
      <w:pPr>
        <w:spacing w:after="0" w:line="117" w:lineRule="exact"/>
        <w:rPr>
          <w:sz w:val="24"/>
          <w:szCs w:val="24"/>
          <w:color w:val="auto"/>
        </w:rPr>
      </w:pPr>
    </w:p>
    <w:tbl>
      <w:tblPr>
        <w:tblLayout w:type="fixed"/>
        <w:tblInd w:w="0" w:type="dxa"/>
        <w:tblCellMar>
          <w:top w:w="0" w:type="dxa"/>
          <w:left w:w="0" w:type="dxa"/>
          <w:bottom w:w="0" w:type="dxa"/>
          <w:right w:w="0" w:type="dxa"/>
        </w:tblCellMar>
      </w:tblPr>
      <w:tr>
        <w:trPr>
          <w:trHeight w:val="207"/>
        </w:trPr>
        <w:tc>
          <w:tcPr>
            <w:tcW w:w="428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86"/>
              </w:rPr>
              <w:t>Title of each class</w:t>
            </w:r>
          </w:p>
        </w:tc>
        <w:tc>
          <w:tcPr>
            <w:tcW w:w="120" w:type="dxa"/>
            <w:vAlign w:val="bottom"/>
          </w:tcPr>
          <w:p>
            <w:pPr>
              <w:spacing w:after="0"/>
              <w:rPr>
                <w:sz w:val="18"/>
                <w:szCs w:val="18"/>
                <w:color w:val="auto"/>
              </w:rPr>
            </w:pPr>
          </w:p>
        </w:tc>
        <w:tc>
          <w:tcPr>
            <w:tcW w:w="1680" w:type="dxa"/>
            <w:vAlign w:val="bottom"/>
          </w:tcPr>
          <w:p>
            <w:pPr>
              <w:jc w:val="center"/>
              <w:spacing w:after="0"/>
              <w:rPr>
                <w:sz w:val="20"/>
                <w:szCs w:val="20"/>
                <w:color w:val="auto"/>
              </w:rPr>
            </w:pPr>
            <w:r>
              <w:rPr>
                <w:rFonts w:ascii="Arial" w:cs="Arial" w:eastAsia="Arial" w:hAnsi="Arial"/>
                <w:sz w:val="18"/>
                <w:szCs w:val="18"/>
                <w:b w:val="1"/>
                <w:bCs w:val="1"/>
                <w:color w:val="auto"/>
                <w:w w:val="93"/>
              </w:rPr>
              <w:t>Trading</w:t>
            </w:r>
          </w:p>
        </w:tc>
        <w:tc>
          <w:tcPr>
            <w:tcW w:w="120" w:type="dxa"/>
            <w:vAlign w:val="bottom"/>
          </w:tcPr>
          <w:p>
            <w:pPr>
              <w:spacing w:after="0"/>
              <w:rPr>
                <w:sz w:val="18"/>
                <w:szCs w:val="18"/>
                <w:color w:val="auto"/>
              </w:rPr>
            </w:pPr>
          </w:p>
        </w:tc>
        <w:tc>
          <w:tcPr>
            <w:tcW w:w="504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87"/>
              </w:rPr>
              <w:t>Name of each exchange on which registered</w:t>
            </w:r>
          </w:p>
        </w:tc>
        <w:tc>
          <w:tcPr>
            <w:tcW w:w="0" w:type="dxa"/>
            <w:vAlign w:val="bottom"/>
          </w:tcPr>
          <w:p>
            <w:pPr>
              <w:spacing w:after="0"/>
              <w:rPr>
                <w:sz w:val="1"/>
                <w:szCs w:val="1"/>
                <w:color w:val="auto"/>
              </w:rPr>
            </w:pPr>
          </w:p>
        </w:tc>
      </w:tr>
      <w:tr>
        <w:trPr>
          <w:trHeight w:val="203"/>
        </w:trPr>
        <w:tc>
          <w:tcPr>
            <w:tcW w:w="4280" w:type="dxa"/>
            <w:vAlign w:val="bottom"/>
            <w:tcBorders>
              <w:bottom w:val="single" w:sz="8" w:color="auto"/>
            </w:tcBorders>
            <w:vMerge w:val="continue"/>
          </w:tcPr>
          <w:p>
            <w:pPr>
              <w:spacing w:after="0"/>
              <w:rPr>
                <w:sz w:val="17"/>
                <w:szCs w:val="17"/>
                <w:color w:val="auto"/>
              </w:rPr>
            </w:pPr>
          </w:p>
        </w:tc>
        <w:tc>
          <w:tcPr>
            <w:tcW w:w="120" w:type="dxa"/>
            <w:vAlign w:val="bottom"/>
          </w:tcPr>
          <w:p>
            <w:pPr>
              <w:spacing w:after="0"/>
              <w:rPr>
                <w:sz w:val="17"/>
                <w:szCs w:val="17"/>
                <w:color w:val="auto"/>
              </w:rPr>
            </w:pPr>
          </w:p>
        </w:tc>
        <w:tc>
          <w:tcPr>
            <w:tcW w:w="1680" w:type="dxa"/>
            <w:vAlign w:val="bottom"/>
            <w:tcBorders>
              <w:bottom w:val="single" w:sz="8" w:color="auto"/>
            </w:tcBorders>
          </w:tcPr>
          <w:p>
            <w:pPr>
              <w:jc w:val="center"/>
              <w:spacing w:after="0" w:line="202" w:lineRule="exact"/>
              <w:rPr>
                <w:sz w:val="20"/>
                <w:szCs w:val="20"/>
                <w:color w:val="auto"/>
              </w:rPr>
            </w:pPr>
            <w:r>
              <w:rPr>
                <w:rFonts w:ascii="Arial" w:cs="Arial" w:eastAsia="Arial" w:hAnsi="Arial"/>
                <w:sz w:val="18"/>
                <w:szCs w:val="18"/>
                <w:b w:val="1"/>
                <w:bCs w:val="1"/>
                <w:color w:val="auto"/>
                <w:w w:val="89"/>
              </w:rPr>
              <w:t>Symbol(s)</w:t>
            </w:r>
          </w:p>
        </w:tc>
        <w:tc>
          <w:tcPr>
            <w:tcW w:w="120" w:type="dxa"/>
            <w:vAlign w:val="bottom"/>
          </w:tcPr>
          <w:p>
            <w:pPr>
              <w:spacing w:after="0"/>
              <w:rPr>
                <w:sz w:val="17"/>
                <w:szCs w:val="17"/>
                <w:color w:val="auto"/>
              </w:rPr>
            </w:pPr>
          </w:p>
        </w:tc>
        <w:tc>
          <w:tcPr>
            <w:tcW w:w="504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4280" w:type="dxa"/>
            <w:vAlign w:val="bottom"/>
          </w:tcPr>
          <w:p>
            <w:pPr>
              <w:jc w:val="center"/>
              <w:spacing w:after="0"/>
              <w:rPr>
                <w:sz w:val="20"/>
                <w:szCs w:val="20"/>
                <w:color w:val="auto"/>
              </w:rPr>
            </w:pPr>
            <w:r>
              <w:rPr>
                <w:rFonts w:ascii="Arial" w:cs="Arial" w:eastAsia="Arial" w:hAnsi="Arial"/>
                <w:sz w:val="18"/>
                <w:szCs w:val="18"/>
                <w:color w:val="auto"/>
                <w:w w:val="89"/>
              </w:rPr>
              <w:t>Common Stock, par value $0.01 per share</w:t>
            </w:r>
          </w:p>
        </w:tc>
        <w:tc>
          <w:tcPr>
            <w:tcW w:w="120" w:type="dxa"/>
            <w:vAlign w:val="bottom"/>
          </w:tcPr>
          <w:p>
            <w:pPr>
              <w:spacing w:after="0"/>
              <w:rPr>
                <w:sz w:val="19"/>
                <w:szCs w:val="19"/>
                <w:color w:val="auto"/>
              </w:rPr>
            </w:pPr>
          </w:p>
        </w:tc>
        <w:tc>
          <w:tcPr>
            <w:tcW w:w="1680" w:type="dxa"/>
            <w:vAlign w:val="bottom"/>
          </w:tcPr>
          <w:p>
            <w:pPr>
              <w:jc w:val="center"/>
              <w:spacing w:after="0"/>
              <w:rPr>
                <w:sz w:val="20"/>
                <w:szCs w:val="20"/>
                <w:color w:val="auto"/>
              </w:rPr>
            </w:pPr>
            <w:r>
              <w:rPr>
                <w:rFonts w:ascii="Arial" w:cs="Arial" w:eastAsia="Arial" w:hAnsi="Arial"/>
                <w:sz w:val="18"/>
                <w:szCs w:val="18"/>
                <w:color w:val="auto"/>
              </w:rPr>
              <w:t>DXLG</w:t>
            </w:r>
          </w:p>
        </w:tc>
        <w:tc>
          <w:tcPr>
            <w:tcW w:w="120" w:type="dxa"/>
            <w:vAlign w:val="bottom"/>
          </w:tcPr>
          <w:p>
            <w:pPr>
              <w:spacing w:after="0"/>
              <w:rPr>
                <w:sz w:val="19"/>
                <w:szCs w:val="19"/>
                <w:color w:val="auto"/>
              </w:rPr>
            </w:pPr>
          </w:p>
        </w:tc>
        <w:tc>
          <w:tcPr>
            <w:tcW w:w="5040" w:type="dxa"/>
            <w:vAlign w:val="bottom"/>
          </w:tcPr>
          <w:p>
            <w:pPr>
              <w:jc w:val="center"/>
              <w:spacing w:after="0"/>
              <w:rPr>
                <w:sz w:val="20"/>
                <w:szCs w:val="20"/>
                <w:color w:val="auto"/>
              </w:rPr>
            </w:pPr>
            <w:r>
              <w:rPr>
                <w:rFonts w:ascii="Arial" w:cs="Arial" w:eastAsia="Arial" w:hAnsi="Arial"/>
                <w:sz w:val="18"/>
                <w:szCs w:val="18"/>
                <w:color w:val="auto"/>
                <w:w w:val="95"/>
              </w:rPr>
              <w:t>The NASDAQ Stock Market LLC</w:t>
            </w:r>
          </w:p>
        </w:tc>
        <w:tc>
          <w:tcPr>
            <w:tcW w:w="0" w:type="dxa"/>
            <w:vAlign w:val="bottom"/>
          </w:tcPr>
          <w:p>
            <w:pPr>
              <w:spacing w:after="0"/>
              <w:rPr>
                <w:sz w:val="1"/>
                <w:szCs w:val="1"/>
                <w:color w:val="auto"/>
              </w:rPr>
            </w:pPr>
          </w:p>
        </w:tc>
      </w:tr>
    </w:tbl>
    <w:p>
      <w:pPr>
        <w:spacing w:after="0" w:line="160" w:lineRule="exact"/>
        <w:rPr>
          <w:sz w:val="24"/>
          <w:szCs w:val="24"/>
          <w:color w:val="auto"/>
        </w:rPr>
      </w:pPr>
    </w:p>
    <w:p>
      <w:pPr>
        <w:ind w:right="480"/>
        <w:spacing w:after="0" w:line="261"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84"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190" w:lineRule="exact"/>
        <w:rPr>
          <w:sz w:val="24"/>
          <w:szCs w:val="24"/>
          <w:color w:val="auto"/>
        </w:rPr>
      </w:pPr>
    </w:p>
    <w:p>
      <w:pPr>
        <w:ind w:right="160"/>
        <w:spacing w:after="0" w:line="226"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-20320</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-3175</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189230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2.02 Results of Operations and Financial Condition.</w:t>
      </w:r>
    </w:p>
    <w:p>
      <w:pPr>
        <w:spacing w:after="0" w:line="108" w:lineRule="exact"/>
        <w:rPr>
          <w:sz w:val="20"/>
          <w:szCs w:val="20"/>
          <w:color w:val="auto"/>
        </w:rPr>
      </w:pPr>
    </w:p>
    <w:p>
      <w:pPr>
        <w:ind w:right="60"/>
        <w:spacing w:after="0" w:line="261" w:lineRule="auto"/>
        <w:rPr>
          <w:sz w:val="20"/>
          <w:szCs w:val="20"/>
          <w:color w:val="auto"/>
        </w:rPr>
      </w:pPr>
      <w:r>
        <w:rPr>
          <w:rFonts w:ascii="Arial" w:cs="Arial" w:eastAsia="Arial" w:hAnsi="Arial"/>
          <w:sz w:val="18"/>
          <w:szCs w:val="18"/>
          <w:color w:val="auto"/>
        </w:rPr>
        <w:t>On March 17, 2022, Destination XL Group, Inc. (the “Company”) issued a press release announcing the Company’s operating results for the fourth quarter and fiscal year 2021. A copy of this press release is furnished herewith as Exhibit 99.1.</w:t>
      </w:r>
    </w:p>
    <w:p>
      <w:pPr>
        <w:spacing w:after="0" w:line="63" w:lineRule="exact"/>
        <w:rPr>
          <w:sz w:val="20"/>
          <w:szCs w:val="20"/>
          <w:color w:val="auto"/>
        </w:rPr>
      </w:pPr>
    </w:p>
    <w:p>
      <w:pPr>
        <w:spacing w:after="0"/>
        <w:rPr>
          <w:sz w:val="20"/>
          <w:szCs w:val="20"/>
          <w:color w:val="auto"/>
        </w:rPr>
      </w:pPr>
      <w:r>
        <w:rPr>
          <w:rFonts w:ascii="Arial" w:cs="Arial" w:eastAsia="Arial" w:hAnsi="Arial"/>
          <w:sz w:val="16"/>
          <w:szCs w:val="16"/>
          <w:color w:val="auto"/>
        </w:rPr>
        <w:t>An audio webcast to discuss the Company’s operating results for the fourth quarter and fiscal year 2021 will be held today, March 17, 2022 at 9:00 a.m. ET.</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Interested parties can access the webcast on the Company's website at www.dxl.com under the Investor Relations section.</w:t>
      </w:r>
    </w:p>
    <w:p>
      <w:pPr>
        <w:spacing w:after="0" w:line="300" w:lineRule="exact"/>
        <w:rPr>
          <w:sz w:val="20"/>
          <w:szCs w:val="20"/>
          <w:color w:val="auto"/>
        </w:rPr>
      </w:pPr>
    </w:p>
    <w:p>
      <w:pPr>
        <w:ind w:right="300"/>
        <w:spacing w:after="0" w:line="266" w:lineRule="auto"/>
        <w:rPr>
          <w:sz w:val="20"/>
          <w:szCs w:val="20"/>
          <w:color w:val="auto"/>
        </w:rPr>
      </w:pPr>
      <w:r>
        <w:rPr>
          <w:rFonts w:ascii="Arial" w:cs="Arial" w:eastAsia="Arial" w:hAnsi="Arial"/>
          <w:sz w:val="18"/>
          <w:szCs w:val="18"/>
          <w:b w:val="1"/>
          <w:bCs w:val="1"/>
          <w:color w:val="auto"/>
        </w:rPr>
        <w:t>Item 5.02 Departure of Directors or Certain Officers; Election of Directors; Appointment of Certain Officers; Compensatory Arrangements of Certain Officers.</w:t>
      </w:r>
    </w:p>
    <w:p>
      <w:pPr>
        <w:spacing w:after="0" w:line="58" w:lineRule="exact"/>
        <w:rPr>
          <w:sz w:val="20"/>
          <w:szCs w:val="20"/>
          <w:color w:val="auto"/>
        </w:rPr>
      </w:pPr>
    </w:p>
    <w:p>
      <w:pPr>
        <w:ind w:right="140"/>
        <w:spacing w:after="0" w:line="274" w:lineRule="auto"/>
        <w:rPr>
          <w:sz w:val="20"/>
          <w:szCs w:val="20"/>
          <w:color w:val="auto"/>
        </w:rPr>
      </w:pPr>
      <w:r>
        <w:rPr>
          <w:rFonts w:ascii="Arial" w:cs="Arial" w:eastAsia="Arial" w:hAnsi="Arial"/>
          <w:sz w:val="16"/>
          <w:szCs w:val="16"/>
          <w:color w:val="auto"/>
        </w:rPr>
        <w:t>On March 15, 2022, the Compensation Committee (the "Committee") of the Company's Board of Directors (the "Board") approved an additional discretionary cash bonus in the aggregate of $1.2 million to participants in the Company’s 2021 Annual Incentive Plan (the “2021 AIP”) in addition to the payouts earned for achieving financial metrics for fiscal 2021 under the 2021 AIP. In light of the extraordinary financial performance of the Company in fiscal year 2021 and the substantially increased workload of the Company's management team during the year and the contributions of other employees to the Company’s financial performance, the Committee determined that it was appropriate and in the best interests of the Company and its stockholders to approve the discretionary award. Accordingly, each participant in the 2021 AIP, which includes the Company's Named Executive Officers, will receive an additional discretionary cash bonus equal to 10% of the participant's fiscal 2021 base earnings (as such term is used in the AIP).</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8.01 Other Information.</w:t>
      </w:r>
    </w:p>
    <w:p>
      <w:pPr>
        <w:spacing w:after="0" w:line="108"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auto"/>
        </w:rPr>
        <w:t>On March 15, 2022, the Board approved a stock repurchase program pursuant to which the Company may repurchase up to $15.0 million of its common stock through open market and privately negotiated transactions.</w:t>
      </w:r>
    </w:p>
    <w:p>
      <w:pPr>
        <w:spacing w:after="0" w:line="157" w:lineRule="exact"/>
        <w:rPr>
          <w:sz w:val="20"/>
          <w:szCs w:val="20"/>
          <w:color w:val="auto"/>
        </w:rPr>
      </w:pPr>
    </w:p>
    <w:p>
      <w:pPr>
        <w:jc w:val="both"/>
        <w:spacing w:after="0" w:line="262" w:lineRule="auto"/>
        <w:rPr>
          <w:sz w:val="20"/>
          <w:szCs w:val="20"/>
          <w:color w:val="auto"/>
        </w:rPr>
      </w:pPr>
      <w:r>
        <w:rPr>
          <w:rFonts w:ascii="Arial" w:cs="Arial" w:eastAsia="Arial" w:hAnsi="Arial"/>
          <w:sz w:val="17"/>
          <w:szCs w:val="17"/>
          <w:color w:val="auto"/>
        </w:rPr>
        <w:t>The timing and the amount of any repurchases of common stock will be determined based on the Company’s evaluation of market conditions and other factors. The stock repurchase program is expected to commence in the first quarter of fiscal 2022 and will expire on March 15, 2023. The stock repurchase program may be suspended, terminated or modified at any time for any reason. The Company expects to finance the repurchases from operating funds and/or periodic borrowings on its credit facility. Any repurchased common stock will be held as treasury stock.</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color w:val="auto"/>
        </w:rPr>
        <w:t>(d) Exhibits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20" w:type="dxa"/>
            <w:vAlign w:val="bottom"/>
          </w:tcPr>
          <w:p>
            <w:pPr>
              <w:spacing w:after="0"/>
              <w:rPr>
                <w:sz w:val="18"/>
                <w:szCs w:val="18"/>
                <w:color w:val="auto"/>
              </w:rPr>
            </w:pPr>
          </w:p>
        </w:tc>
        <w:tc>
          <w:tcPr>
            <w:tcW w:w="2020" w:type="dxa"/>
            <w:vAlign w:val="bottom"/>
            <w:gridSpan w:val="2"/>
          </w:tcPr>
          <w:p>
            <w:pPr>
              <w:spacing w:after="0"/>
              <w:rPr>
                <w:sz w:val="20"/>
                <w:szCs w:val="20"/>
                <w:color w:val="auto"/>
              </w:rPr>
            </w:pPr>
            <w:r>
              <w:rPr>
                <w:rFonts w:ascii="Arial" w:cs="Arial" w:eastAsia="Arial" w:hAnsi="Arial"/>
                <w:sz w:val="18"/>
                <w:szCs w:val="18"/>
                <w:b w:val="1"/>
                <w:bCs w:val="1"/>
                <w:color w:val="auto"/>
              </w:rPr>
              <w:t>Exhibit No.</w:t>
            </w:r>
          </w:p>
        </w:tc>
        <w:tc>
          <w:tcPr>
            <w:tcW w:w="9100" w:type="dxa"/>
            <w:vAlign w:val="bottom"/>
            <w:gridSpan w:val="6"/>
          </w:tcPr>
          <w:p>
            <w:pPr>
              <w:spacing w:after="0"/>
              <w:rPr>
                <w:sz w:val="20"/>
                <w:szCs w:val="20"/>
                <w:color w:val="auto"/>
              </w:rPr>
            </w:pPr>
            <w:r>
              <w:rPr>
                <w:rFonts w:ascii="Arial" w:cs="Arial" w:eastAsia="Arial" w:hAnsi="Arial"/>
                <w:sz w:val="18"/>
                <w:szCs w:val="18"/>
                <w:b w:val="1"/>
                <w:bCs w:val="1"/>
                <w:color w:val="auto"/>
              </w:rPr>
              <w:t>Description</w:t>
            </w:r>
          </w:p>
        </w:tc>
      </w:tr>
      <w:tr>
        <w:trPr>
          <w:trHeight w:val="20"/>
        </w:trPr>
        <w:tc>
          <w:tcPr>
            <w:tcW w:w="12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5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r>
      <w:tr>
        <w:trPr>
          <w:trHeight w:val="358"/>
        </w:trPr>
        <w:tc>
          <w:tcPr>
            <w:tcW w:w="940" w:type="dxa"/>
            <w:vAlign w:val="bottom"/>
            <w:gridSpan w:val="2"/>
          </w:tcPr>
          <w:p>
            <w:pPr>
              <w:ind w:left="120"/>
              <w:spacing w:after="0"/>
              <w:rPr>
                <w:sz w:val="20"/>
                <w:szCs w:val="20"/>
                <w:color w:val="auto"/>
              </w:rPr>
            </w:pPr>
            <w:r>
              <w:rPr>
                <w:rFonts w:ascii="Arial" w:cs="Arial" w:eastAsia="Arial" w:hAnsi="Arial"/>
                <w:sz w:val="18"/>
                <w:szCs w:val="18"/>
                <w:color w:val="auto"/>
              </w:rPr>
              <w:t>99.1</w:t>
            </w:r>
          </w:p>
        </w:tc>
        <w:tc>
          <w:tcPr>
            <w:tcW w:w="1200" w:type="dxa"/>
            <w:vAlign w:val="bottom"/>
          </w:tcPr>
          <w:p>
            <w:pPr>
              <w:spacing w:after="0"/>
              <w:rPr>
                <w:sz w:val="24"/>
                <w:szCs w:val="24"/>
                <w:color w:val="auto"/>
              </w:rPr>
            </w:pPr>
          </w:p>
        </w:tc>
        <w:tc>
          <w:tcPr>
            <w:tcW w:w="6180" w:type="dxa"/>
            <w:vAlign w:val="bottom"/>
            <w:tcBorders>
              <w:bottom w:val="single" w:sz="8" w:color="0000FF"/>
            </w:tcBorders>
            <w:gridSpan w:val="2"/>
          </w:tcPr>
          <w:p>
            <w:pPr>
              <w:spacing w:after="0"/>
              <w:rPr>
                <w:rFonts w:ascii="Arial" w:cs="Arial" w:eastAsia="Arial" w:hAnsi="Arial"/>
                <w:sz w:val="18"/>
                <w:szCs w:val="18"/>
                <w:color w:val="0000FF"/>
                <w:w w:val="89"/>
              </w:rPr>
            </w:pPr>
            <w:hyperlink w:anchor="page4">
              <w:r>
                <w:rPr>
                  <w:rFonts w:ascii="Arial" w:cs="Arial" w:eastAsia="Arial" w:hAnsi="Arial"/>
                  <w:sz w:val="18"/>
                  <w:szCs w:val="18"/>
                  <w:color w:val="0000FF"/>
                  <w:w w:val="89"/>
                </w:rPr>
                <w:t>Press release dated March 17, 2022 announcing fourth quarter and fiscal 2021 results.</w:t>
              </w:r>
            </w:hyperlink>
          </w:p>
        </w:tc>
        <w:tc>
          <w:tcPr>
            <w:tcW w:w="20" w:type="dxa"/>
            <w:vAlign w:val="bottom"/>
            <w:tcBorders>
              <w:bottom w:val="single" w:sz="8" w:color="0000EE"/>
            </w:tcBorders>
          </w:tcPr>
          <w:p>
            <w:pPr>
              <w:spacing w:after="0"/>
              <w:rPr>
                <w:sz w:val="24"/>
                <w:szCs w:val="24"/>
                <w:color w:val="auto"/>
              </w:rPr>
            </w:pPr>
          </w:p>
        </w:tc>
        <w:tc>
          <w:tcPr>
            <w:tcW w:w="2900" w:type="dxa"/>
            <w:vAlign w:val="bottom"/>
            <w:gridSpan w:val="3"/>
          </w:tcPr>
          <w:p>
            <w:pPr>
              <w:spacing w:after="0"/>
              <w:rPr>
                <w:sz w:val="24"/>
                <w:szCs w:val="24"/>
                <w:color w:val="auto"/>
              </w:rPr>
            </w:pPr>
          </w:p>
        </w:tc>
      </w:tr>
      <w:tr>
        <w:trPr>
          <w:trHeight w:val="736"/>
        </w:trPr>
        <w:tc>
          <w:tcPr>
            <w:tcW w:w="940" w:type="dxa"/>
            <w:vAlign w:val="bottom"/>
            <w:gridSpan w:val="2"/>
          </w:tcPr>
          <w:p>
            <w:pPr>
              <w:ind w:left="120"/>
              <w:spacing w:after="0"/>
              <w:rPr>
                <w:sz w:val="20"/>
                <w:szCs w:val="20"/>
                <w:color w:val="auto"/>
              </w:rPr>
            </w:pPr>
            <w:r>
              <w:rPr>
                <w:rFonts w:ascii="Arial" w:cs="Arial" w:eastAsia="Arial" w:hAnsi="Arial"/>
                <w:sz w:val="18"/>
                <w:szCs w:val="18"/>
                <w:color w:val="auto"/>
              </w:rPr>
              <w:t>104</w:t>
            </w:r>
          </w:p>
        </w:tc>
        <w:tc>
          <w:tcPr>
            <w:tcW w:w="1200" w:type="dxa"/>
            <w:vAlign w:val="bottom"/>
          </w:tcPr>
          <w:p>
            <w:pPr>
              <w:spacing w:after="0"/>
              <w:rPr>
                <w:sz w:val="24"/>
                <w:szCs w:val="24"/>
                <w:color w:val="auto"/>
              </w:rPr>
            </w:pPr>
          </w:p>
        </w:tc>
        <w:tc>
          <w:tcPr>
            <w:tcW w:w="9100" w:type="dxa"/>
            <w:vAlign w:val="bottom"/>
            <w:gridSpan w:val="6"/>
          </w:tcPr>
          <w:p>
            <w:pPr>
              <w:spacing w:after="0"/>
              <w:rPr>
                <w:sz w:val="20"/>
                <w:szCs w:val="20"/>
                <w:color w:val="auto"/>
              </w:rPr>
            </w:pPr>
            <w:r>
              <w:rPr>
                <w:rFonts w:ascii="Arial" w:cs="Arial" w:eastAsia="Arial" w:hAnsi="Arial"/>
                <w:sz w:val="18"/>
                <w:szCs w:val="18"/>
                <w:color w:val="auto"/>
              </w:rPr>
              <w:t>Cover Page Interactive Data File – The cover page interactive data file does not appear in the</w:t>
            </w:r>
          </w:p>
        </w:tc>
      </w:tr>
      <w:tr>
        <w:trPr>
          <w:trHeight w:val="155"/>
        </w:trPr>
        <w:tc>
          <w:tcPr>
            <w:tcW w:w="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740" w:type="dxa"/>
            <w:vAlign w:val="bottom"/>
            <w:tcBorders>
              <w:top w:val="single" w:sz="8" w:color="auto"/>
            </w:tcBorders>
            <w:gridSpan w:val="5"/>
          </w:tcPr>
          <w:p>
            <w:pPr>
              <w:spacing w:after="0" w:line="156" w:lineRule="exact"/>
              <w:rPr>
                <w:sz w:val="20"/>
                <w:szCs w:val="20"/>
                <w:color w:val="auto"/>
              </w:rPr>
            </w:pPr>
            <w:r>
              <w:rPr>
                <w:rFonts w:ascii="Arial" w:cs="Arial" w:eastAsia="Arial" w:hAnsi="Arial"/>
                <w:sz w:val="18"/>
                <w:szCs w:val="18"/>
                <w:color w:val="auto"/>
                <w:w w:val="92"/>
              </w:rPr>
              <w:t>interactive data file because its XBRL tags are embedded within the Inline XBRL document.</w:t>
            </w:r>
          </w:p>
        </w:tc>
        <w:tc>
          <w:tcPr>
            <w:tcW w:w="2360" w:type="dxa"/>
            <w:vAlign w:val="bottom"/>
          </w:tcPr>
          <w:p>
            <w:pPr>
              <w:spacing w:after="0"/>
              <w:rPr>
                <w:sz w:val="13"/>
                <w:szCs w:val="13"/>
                <w:color w:val="auto"/>
              </w:rPr>
            </w:pPr>
          </w:p>
        </w:tc>
      </w:tr>
      <w:tr>
        <w:trPr>
          <w:trHeight w:val="703"/>
        </w:trPr>
        <w:tc>
          <w:tcPr>
            <w:tcW w:w="12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1200" w:type="dxa"/>
            <w:vAlign w:val="bottom"/>
            <w:tcBorders>
              <w:bottom w:val="single" w:sz="8" w:color="9A9A9A"/>
            </w:tcBorders>
          </w:tcPr>
          <w:p>
            <w:pPr>
              <w:spacing w:after="0"/>
              <w:rPr>
                <w:sz w:val="24"/>
                <w:szCs w:val="24"/>
                <w:color w:val="auto"/>
              </w:rPr>
            </w:pPr>
          </w:p>
        </w:tc>
        <w:tc>
          <w:tcPr>
            <w:tcW w:w="880" w:type="dxa"/>
            <w:vAlign w:val="bottom"/>
            <w:tcBorders>
              <w:top w:val="single" w:sz="8" w:color="auto"/>
              <w:bottom w:val="single" w:sz="8" w:color="9A9A9A"/>
            </w:tcBorders>
          </w:tcPr>
          <w:p>
            <w:pPr>
              <w:spacing w:after="0"/>
              <w:rPr>
                <w:sz w:val="24"/>
                <w:szCs w:val="24"/>
                <w:color w:val="auto"/>
              </w:rPr>
            </w:pPr>
          </w:p>
        </w:tc>
        <w:tc>
          <w:tcPr>
            <w:tcW w:w="5300" w:type="dxa"/>
            <w:vAlign w:val="bottom"/>
            <w:tcBorders>
              <w:top w:val="single" w:sz="8" w:color="auto"/>
              <w:bottom w:val="single" w:sz="8" w:color="9A9A9A"/>
            </w:tcBorders>
          </w:tcPr>
          <w:p>
            <w:pPr>
              <w:spacing w:after="0"/>
              <w:rPr>
                <w:sz w:val="24"/>
                <w:szCs w:val="24"/>
                <w:color w:val="auto"/>
              </w:rPr>
            </w:pPr>
          </w:p>
        </w:tc>
        <w:tc>
          <w:tcPr>
            <w:tcW w:w="20" w:type="dxa"/>
            <w:vAlign w:val="bottom"/>
            <w:tcBorders>
              <w:top w:val="single" w:sz="8" w:color="auto"/>
              <w:bottom w:val="single" w:sz="8" w:color="9A9A9A"/>
            </w:tcBorders>
          </w:tcPr>
          <w:p>
            <w:pPr>
              <w:spacing w:after="0"/>
              <w:rPr>
                <w:sz w:val="24"/>
                <w:szCs w:val="24"/>
                <w:color w:val="auto"/>
              </w:rPr>
            </w:pPr>
          </w:p>
        </w:tc>
        <w:tc>
          <w:tcPr>
            <w:tcW w:w="480" w:type="dxa"/>
            <w:vAlign w:val="bottom"/>
            <w:tcBorders>
              <w:top w:val="single" w:sz="8" w:color="auto"/>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23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2" w:name="page3"/>
    <w:bookmarkEnd w:id="2"/>
    <w:p>
      <w:pPr>
        <w:jc w:val="center"/>
        <w:ind w:right="-39"/>
        <w:spacing w:after="0"/>
        <w:rPr>
          <w:sz w:val="20"/>
          <w:szCs w:val="20"/>
          <w:color w:val="auto"/>
        </w:rPr>
      </w:pPr>
      <w:r>
        <w:rPr>
          <w:rFonts w:ascii="Arial" w:cs="Arial" w:eastAsia="Arial" w:hAnsi="Arial"/>
          <w:sz w:val="18"/>
          <w:szCs w:val="18"/>
          <w:b w:val="1"/>
          <w:bCs w:val="1"/>
          <w:color w:val="auto"/>
        </w:rPr>
        <w:t>SIGNATURES</w:t>
      </w:r>
    </w:p>
    <w:p>
      <w:pPr>
        <w:spacing w:after="0" w:line="162"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98" w:lineRule="exact"/>
        <w:rPr>
          <w:sz w:val="20"/>
          <w:szCs w:val="20"/>
          <w:color w:val="auto"/>
        </w:rPr>
      </w:pPr>
    </w:p>
    <w:p>
      <w:pPr>
        <w:ind w:left="6100"/>
        <w:spacing w:after="0"/>
        <w:rPr>
          <w:sz w:val="20"/>
          <w:szCs w:val="20"/>
          <w:color w:val="auto"/>
        </w:rPr>
      </w:pPr>
      <w:r>
        <w:rPr>
          <w:rFonts w:ascii="Arial" w:cs="Arial" w:eastAsia="Arial" w:hAnsi="Arial"/>
          <w:sz w:val="18"/>
          <w:szCs w:val="18"/>
          <w:color w:val="auto"/>
        </w:rPr>
        <w:t>Destination XL Group, Inc.</w:t>
      </w:r>
    </w:p>
    <w:p>
      <w:pPr>
        <w:spacing w:after="0" w:line="320" w:lineRule="exact"/>
        <w:rPr>
          <w:sz w:val="20"/>
          <w:szCs w:val="20"/>
          <w:color w:val="auto"/>
        </w:rPr>
      </w:pPr>
    </w:p>
    <w:p>
      <w:pPr>
        <w:ind w:left="20"/>
        <w:spacing w:after="0"/>
        <w:tabs>
          <w:tab w:leader="none" w:pos="680" w:val="left"/>
          <w:tab w:leader="none" w:pos="5640" w:val="left"/>
          <w:tab w:leader="none" w:pos="608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March 17, 2022</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Robert S. Molloy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-1905</wp:posOffset>
            </wp:positionV>
            <wp:extent cx="327469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ind w:left="6100"/>
        <w:spacing w:after="0" w:line="216" w:lineRule="auto"/>
        <w:rPr>
          <w:sz w:val="20"/>
          <w:szCs w:val="20"/>
          <w:color w:val="auto"/>
        </w:rPr>
      </w:pPr>
      <w:r>
        <w:rPr>
          <w:rFonts w:ascii="Arial" w:cs="Arial" w:eastAsia="Arial" w:hAnsi="Arial"/>
          <w:sz w:val="18"/>
          <w:szCs w:val="18"/>
          <w:color w:val="auto"/>
        </w:rPr>
        <w:t>Robert S. Molloy</w:t>
      </w:r>
    </w:p>
    <w:p>
      <w:pPr>
        <w:spacing w:after="0" w:line="1" w:lineRule="exact"/>
        <w:rPr>
          <w:sz w:val="20"/>
          <w:szCs w:val="20"/>
          <w:color w:val="auto"/>
        </w:rPr>
      </w:pPr>
    </w:p>
    <w:p>
      <w:pPr>
        <w:ind w:left="6100"/>
        <w:spacing w:after="0"/>
        <w:rPr>
          <w:sz w:val="20"/>
          <w:szCs w:val="20"/>
          <w:color w:val="auto"/>
        </w:rPr>
      </w:pPr>
      <w:r>
        <w:rPr>
          <w:rFonts w:ascii="Arial" w:cs="Arial" w:eastAsia="Arial" w:hAnsi="Arial"/>
          <w:sz w:val="18"/>
          <w:szCs w:val="18"/>
          <w:color w:val="auto"/>
        </w:rPr>
        <w:t>General Counsel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283210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3" w:name="page4"/>
    <w:bookmarkEnd w:id="3"/>
    <w:p>
      <w:pPr>
        <w:jc w:val="right"/>
        <w:spacing w:after="0"/>
        <w:rPr>
          <w:sz w:val="20"/>
          <w:szCs w:val="20"/>
          <w:color w:val="auto"/>
        </w:rPr>
      </w:pPr>
      <w:r>
        <w:rPr>
          <w:rFonts w:ascii="Arial" w:cs="Arial" w:eastAsia="Arial" w:hAnsi="Arial"/>
          <w:sz w:val="19"/>
          <w:szCs w:val="19"/>
          <w:b w:val="1"/>
          <w:bCs w:val="1"/>
          <w:color w:val="auto"/>
        </w:rPr>
        <w:drawing>
          <wp:anchor simplePos="0" relativeHeight="251657728" behindDoc="1" locked="0" layoutInCell="0" allowOverlap="1">
            <wp:simplePos x="0" y="0"/>
            <wp:positionH relativeFrom="page">
              <wp:posOffset>456565</wp:posOffset>
            </wp:positionH>
            <wp:positionV relativeFrom="page">
              <wp:posOffset>88900</wp:posOffset>
            </wp:positionV>
            <wp:extent cx="1054100" cy="59182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clrChange>
                        <a:clrFrom>
                          <a:srgbClr val="FFFFFF"/>
                        </a:clrFrom>
                        <a:clrTo>
                          <a:srgbClr val="FFFFFF">
                            <a:alpha val="0"/>
                          </a:srgbClr>
                        </a:clrTo>
                      </a:clrChange>
                      <a:extLst>
                        <a:ext uri="{28A0092B-C50C-407E-A947-70E740481C1C}"/>
                      </a:extLst>
                    </a:blip>
                    <a:srcRect/>
                    <a:stretch>
                      <a:fillRect/>
                    </a:stretch>
                  </pic:blipFill>
                  <pic:spPr bwMode="auto">
                    <a:xfrm>
                      <a:off x="0" y="0"/>
                      <a:ext cx="1054100" cy="591820"/>
                    </a:xfrm>
                    <a:prstGeom prst="rect">
                      <a:avLst/>
                    </a:prstGeom>
                    <a:noFill/>
                  </pic:spPr>
                </pic:pic>
              </a:graphicData>
            </a:graphic>
          </wp:anchor>
        </w:drawing>
        <w:t>Exhibit 99.1</w:t>
      </w:r>
    </w:p>
    <w:p>
      <w:pPr>
        <w:spacing w:after="0" w:line="151" w:lineRule="exact"/>
        <w:rPr>
          <w:sz w:val="20"/>
          <w:szCs w:val="20"/>
          <w:color w:val="auto"/>
        </w:rPr>
      </w:pPr>
    </w:p>
    <w:p>
      <w:pPr>
        <w:jc w:val="center"/>
        <w:ind w:right="60"/>
        <w:spacing w:after="0"/>
        <w:rPr>
          <w:sz w:val="20"/>
          <w:szCs w:val="20"/>
          <w:color w:val="auto"/>
        </w:rPr>
      </w:pPr>
      <w:r>
        <w:rPr>
          <w:rFonts w:ascii="Arial" w:cs="Arial" w:eastAsia="Arial" w:hAnsi="Arial"/>
          <w:sz w:val="25"/>
          <w:szCs w:val="25"/>
          <w:b w:val="1"/>
          <w:bCs w:val="1"/>
          <w:color w:val="auto"/>
        </w:rPr>
        <w:t>Destination XL Group, Inc. Reports Fiscal 2021 Fourth-Quarter and</w:t>
      </w:r>
    </w:p>
    <w:p>
      <w:pPr>
        <w:spacing w:after="0" w:line="24" w:lineRule="exact"/>
        <w:rPr>
          <w:sz w:val="20"/>
          <w:szCs w:val="20"/>
          <w:color w:val="auto"/>
        </w:rPr>
      </w:pPr>
    </w:p>
    <w:p>
      <w:pPr>
        <w:jc w:val="center"/>
        <w:ind w:right="-79"/>
        <w:spacing w:after="0"/>
        <w:rPr>
          <w:sz w:val="20"/>
          <w:szCs w:val="20"/>
          <w:color w:val="auto"/>
        </w:rPr>
      </w:pPr>
      <w:r>
        <w:rPr>
          <w:rFonts w:ascii="Arial" w:cs="Arial" w:eastAsia="Arial" w:hAnsi="Arial"/>
          <w:sz w:val="25"/>
          <w:szCs w:val="25"/>
          <w:b w:val="1"/>
          <w:bCs w:val="1"/>
          <w:color w:val="auto"/>
        </w:rPr>
        <w:t>Full-Year Financial Results</w:t>
      </w:r>
    </w:p>
    <w:p>
      <w:pPr>
        <w:spacing w:after="0" w:line="41" w:lineRule="exact"/>
        <w:rPr>
          <w:sz w:val="20"/>
          <w:szCs w:val="20"/>
          <w:color w:val="auto"/>
        </w:rPr>
      </w:pPr>
    </w:p>
    <w:p>
      <w:pPr>
        <w:jc w:val="center"/>
        <w:ind w:right="60"/>
        <w:spacing w:after="0"/>
        <w:rPr>
          <w:sz w:val="20"/>
          <w:szCs w:val="20"/>
          <w:color w:val="auto"/>
        </w:rPr>
      </w:pPr>
      <w:r>
        <w:rPr>
          <w:rFonts w:ascii="Arial" w:cs="Arial" w:eastAsia="Arial" w:hAnsi="Arial"/>
          <w:sz w:val="22"/>
          <w:szCs w:val="22"/>
          <w:b w:val="1"/>
          <w:bCs w:val="1"/>
          <w:i w:val="1"/>
          <w:iCs w:val="1"/>
          <w:color w:val="auto"/>
        </w:rPr>
        <w:t>Reports Record Annual Sales and Profit;</w:t>
      </w:r>
    </w:p>
    <w:p>
      <w:pPr>
        <w:spacing w:after="0" w:line="24" w:lineRule="exact"/>
        <w:rPr>
          <w:sz w:val="20"/>
          <w:szCs w:val="20"/>
          <w:color w:val="auto"/>
        </w:rPr>
      </w:pPr>
    </w:p>
    <w:p>
      <w:pPr>
        <w:jc w:val="center"/>
        <w:ind w:right="60"/>
        <w:spacing w:after="0"/>
        <w:rPr>
          <w:sz w:val="20"/>
          <w:szCs w:val="20"/>
          <w:color w:val="auto"/>
        </w:rPr>
      </w:pPr>
      <w:r>
        <w:rPr>
          <w:rFonts w:ascii="Arial" w:cs="Arial" w:eastAsia="Arial" w:hAnsi="Arial"/>
          <w:sz w:val="22"/>
          <w:szCs w:val="22"/>
          <w:b w:val="1"/>
          <w:bCs w:val="1"/>
          <w:i w:val="1"/>
          <w:iCs w:val="1"/>
          <w:color w:val="auto"/>
        </w:rPr>
        <w:t>Full-Year Sales of $505 Million, Net Income of $56.7 million, $0.83 EPS,</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i w:val="1"/>
          <w:iCs w:val="1"/>
          <w:color w:val="auto"/>
        </w:rPr>
        <w:t>Adjusted EBITDA of $76.9 million</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i w:val="1"/>
          <w:iCs w:val="1"/>
          <w:color w:val="auto"/>
        </w:rPr>
        <w:t>Announces $15.0 Million Stock Repurchase Program</w:t>
      </w:r>
    </w:p>
    <w:p>
      <w:pPr>
        <w:spacing w:after="0" w:line="268" w:lineRule="exact"/>
        <w:rPr>
          <w:sz w:val="20"/>
          <w:szCs w:val="20"/>
          <w:color w:val="auto"/>
        </w:rPr>
      </w:pPr>
    </w:p>
    <w:p>
      <w:pPr>
        <w:ind w:right="20"/>
        <w:spacing w:after="0" w:line="260" w:lineRule="auto"/>
        <w:rPr>
          <w:sz w:val="20"/>
          <w:szCs w:val="20"/>
          <w:color w:val="auto"/>
        </w:rPr>
      </w:pPr>
      <w:r>
        <w:rPr>
          <w:rFonts w:ascii="Arial" w:cs="Arial" w:eastAsia="Arial" w:hAnsi="Arial"/>
          <w:sz w:val="20"/>
          <w:szCs w:val="20"/>
          <w:color w:val="auto"/>
        </w:rPr>
        <w:t>CANTON, MA., March 17, 2022– Destination XL Group, Inc. (NASDAQ: DXLG), the largest omni-channel specialty retailer of big and tall men’s apparel, today reported financial results for the fourth quarter and fiscal year 2021.</w:t>
      </w:r>
    </w:p>
    <w:p>
      <w:pPr>
        <w:spacing w:after="0" w:line="103"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Fourth Quarter Highlights</w:t>
      </w:r>
    </w:p>
    <w:p>
      <w:pPr>
        <w:spacing w:after="0" w:line="154" w:lineRule="exact"/>
        <w:rPr>
          <w:sz w:val="20"/>
          <w:szCs w:val="20"/>
          <w:color w:val="auto"/>
        </w:rPr>
      </w:pPr>
    </w:p>
    <w:p>
      <w:pPr>
        <w:ind w:left="760" w:right="500" w:hanging="378"/>
        <w:spacing w:after="0" w:line="347" w:lineRule="auto"/>
        <w:tabs>
          <w:tab w:leader="none" w:pos="7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Total sales for the fourth quarter were $133.5 million, up 33.3% from $100.1 million for fiscal 2020 and up 1.7% from $131.2 million for fiscal 2019. Comparable sales increased 41.5% as compared to fiscal 2020 and 9.4% as compared to fiscal 2019.</w:t>
      </w:r>
    </w:p>
    <w:p>
      <w:pPr>
        <w:spacing w:after="0" w:line="103" w:lineRule="exact"/>
        <w:rPr>
          <w:rFonts w:ascii="Arial" w:cs="Arial" w:eastAsia="Arial" w:hAnsi="Arial"/>
          <w:sz w:val="18"/>
          <w:szCs w:val="18"/>
          <w:color w:val="auto"/>
        </w:rPr>
      </w:pPr>
    </w:p>
    <w:p>
      <w:pPr>
        <w:ind w:left="760" w:right="20" w:hanging="378"/>
        <w:spacing w:after="0" w:line="316" w:lineRule="auto"/>
        <w:tabs>
          <w:tab w:leader="none" w:pos="760" w:val="left"/>
        </w:tabs>
        <w:numPr>
          <w:ilvl w:val="0"/>
          <w:numId w:val="2"/>
        </w:numPr>
        <w:rPr>
          <w:rFonts w:ascii="Arial" w:cs="Arial" w:eastAsia="Arial" w:hAnsi="Arial"/>
          <w:sz w:val="19"/>
          <w:szCs w:val="19"/>
          <w:color w:val="auto"/>
        </w:rPr>
      </w:pPr>
      <w:r>
        <w:rPr>
          <w:rFonts w:ascii="Arial" w:cs="Arial" w:eastAsia="Arial" w:hAnsi="Arial"/>
          <w:sz w:val="19"/>
          <w:szCs w:val="19"/>
          <w:color w:val="auto"/>
        </w:rPr>
        <w:t>Net income for the fourth quarter was $9.9 million, or $0.14 per diluted share, as compared to a net loss of $(5.1) million, or $(0.10) per diluted share, for fiscal 2020 and net income of $2.4 million, or $0.05 per diluted share for fiscal 2019.</w:t>
      </w:r>
    </w:p>
    <w:p>
      <w:pPr>
        <w:spacing w:after="0" w:line="113" w:lineRule="exact"/>
        <w:rPr>
          <w:rFonts w:ascii="Arial" w:cs="Arial" w:eastAsia="Arial" w:hAnsi="Arial"/>
          <w:sz w:val="19"/>
          <w:szCs w:val="19"/>
          <w:color w:val="auto"/>
        </w:rPr>
      </w:pPr>
    </w:p>
    <w:p>
      <w:pPr>
        <w:ind w:left="760" w:right="100" w:hanging="378"/>
        <w:spacing w:after="0" w:line="288" w:lineRule="auto"/>
        <w:tabs>
          <w:tab w:leader="none" w:pos="760" w:val="left"/>
        </w:tabs>
        <w:numPr>
          <w:ilvl w:val="0"/>
          <w:numId w:val="2"/>
        </w:numPr>
        <w:rPr>
          <w:rFonts w:ascii="Arial" w:cs="Arial" w:eastAsia="Arial" w:hAnsi="Arial"/>
          <w:sz w:val="20"/>
          <w:szCs w:val="20"/>
          <w:color w:val="auto"/>
        </w:rPr>
      </w:pPr>
      <w:r>
        <w:rPr>
          <w:rFonts w:ascii="Arial" w:cs="Arial" w:eastAsia="Arial" w:hAnsi="Arial"/>
          <w:sz w:val="20"/>
          <w:szCs w:val="20"/>
          <w:color w:val="auto"/>
        </w:rPr>
        <w:t>Adjusted EBITDA, a non-GAAP measure, was $14.3 million for the fourth quarter as compared to $0.7 million for fiscal 2020 and $9.9 million for fiscal 2019.</w:t>
      </w:r>
    </w:p>
    <w:p>
      <w:pPr>
        <w:spacing w:after="0" w:line="131"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Fiscal 2021 Highlights</w:t>
      </w:r>
    </w:p>
    <w:p>
      <w:pPr>
        <w:spacing w:after="0" w:line="222" w:lineRule="exact"/>
        <w:rPr>
          <w:sz w:val="20"/>
          <w:szCs w:val="20"/>
          <w:color w:val="auto"/>
        </w:rPr>
      </w:pPr>
    </w:p>
    <w:p>
      <w:pPr>
        <w:ind w:left="760" w:right="240" w:hanging="378"/>
        <w:spacing w:after="0" w:line="347" w:lineRule="auto"/>
        <w:tabs>
          <w:tab w:leader="none" w:pos="7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Total sales for fiscal 2021 were $505.0 million as compared to total sales of $318.9 million for fiscal 2020 and $474.0 million for fiscal 2019. Comparable sales increased 68.5% as compared to fiscal 2020 and 14.2% as compared to fiscal 2019.</w:t>
      </w:r>
    </w:p>
    <w:p>
      <w:pPr>
        <w:spacing w:after="0" w:line="89" w:lineRule="exact"/>
        <w:rPr>
          <w:rFonts w:ascii="Arial" w:cs="Arial" w:eastAsia="Arial" w:hAnsi="Arial"/>
          <w:sz w:val="18"/>
          <w:szCs w:val="18"/>
          <w:color w:val="auto"/>
        </w:rPr>
      </w:pPr>
    </w:p>
    <w:p>
      <w:pPr>
        <w:ind w:left="760" w:right="120" w:hanging="378"/>
        <w:spacing w:after="0" w:line="278" w:lineRule="auto"/>
        <w:tabs>
          <w:tab w:leader="none" w:pos="760" w:val="left"/>
        </w:tabs>
        <w:numPr>
          <w:ilvl w:val="0"/>
          <w:numId w:val="3"/>
        </w:numPr>
        <w:rPr>
          <w:rFonts w:ascii="Arial" w:cs="Arial" w:eastAsia="Arial" w:hAnsi="Arial"/>
          <w:sz w:val="20"/>
          <w:szCs w:val="20"/>
          <w:color w:val="auto"/>
        </w:rPr>
      </w:pPr>
      <w:r>
        <w:rPr>
          <w:rFonts w:ascii="Arial" w:cs="Arial" w:eastAsia="Arial" w:hAnsi="Arial"/>
          <w:sz w:val="20"/>
          <w:szCs w:val="20"/>
          <w:color w:val="auto"/>
        </w:rPr>
        <w:t>Net income was $56.7 million, or $0.83 per diluted share, as compared to a net loss of $(64.5) million, or $(1.26) per diluted share, in fiscal 2020 and a net loss of $(7.8) million, or $(0.16) per diluted share, in fiscal 2019. Our significant net operating loss carryforwards minimized our cash tax payments and made this income substantially tax-free.</w:t>
      </w:r>
    </w:p>
    <w:p>
      <w:pPr>
        <w:spacing w:after="0" w:line="145" w:lineRule="exact"/>
        <w:rPr>
          <w:rFonts w:ascii="Arial" w:cs="Arial" w:eastAsia="Arial" w:hAnsi="Arial"/>
          <w:sz w:val="20"/>
          <w:szCs w:val="20"/>
          <w:color w:val="auto"/>
        </w:rPr>
      </w:pPr>
    </w:p>
    <w:p>
      <w:pPr>
        <w:ind w:left="760" w:hanging="378"/>
        <w:spacing w:after="0"/>
        <w:tabs>
          <w:tab w:leader="none" w:pos="760" w:val="left"/>
        </w:tabs>
        <w:numPr>
          <w:ilvl w:val="0"/>
          <w:numId w:val="3"/>
        </w:numPr>
        <w:rPr>
          <w:rFonts w:ascii="Arial" w:cs="Arial" w:eastAsia="Arial" w:hAnsi="Arial"/>
          <w:sz w:val="20"/>
          <w:szCs w:val="20"/>
          <w:color w:val="auto"/>
        </w:rPr>
      </w:pPr>
      <w:r>
        <w:rPr>
          <w:rFonts w:ascii="Arial" w:cs="Arial" w:eastAsia="Arial" w:hAnsi="Arial"/>
          <w:sz w:val="20"/>
          <w:szCs w:val="20"/>
          <w:color w:val="auto"/>
        </w:rPr>
        <w:t>Adjusted EBITDA was $76.9 million as compared to $(24.2) million for fiscal 2020 and $23.5 million for fiscal 2019.</w:t>
      </w:r>
    </w:p>
    <w:p>
      <w:pPr>
        <w:spacing w:after="0" w:line="215" w:lineRule="exact"/>
        <w:rPr>
          <w:rFonts w:ascii="Arial" w:cs="Arial" w:eastAsia="Arial" w:hAnsi="Arial"/>
          <w:sz w:val="20"/>
          <w:szCs w:val="20"/>
          <w:color w:val="auto"/>
        </w:rPr>
      </w:pPr>
    </w:p>
    <w:p>
      <w:pPr>
        <w:ind w:left="760" w:right="320" w:hanging="378"/>
        <w:spacing w:after="0" w:line="347" w:lineRule="auto"/>
        <w:tabs>
          <w:tab w:leader="none" w:pos="760" w:val="left"/>
        </w:tabs>
        <w:numPr>
          <w:ilvl w:val="0"/>
          <w:numId w:val="3"/>
        </w:numPr>
        <w:rPr>
          <w:rFonts w:ascii="Arial" w:cs="Arial" w:eastAsia="Arial" w:hAnsi="Arial"/>
          <w:sz w:val="18"/>
          <w:szCs w:val="18"/>
          <w:color w:val="auto"/>
        </w:rPr>
      </w:pPr>
      <w:r>
        <w:rPr>
          <w:rFonts w:ascii="Arial" w:cs="Arial" w:eastAsia="Arial" w:hAnsi="Arial"/>
          <w:sz w:val="18"/>
          <w:szCs w:val="18"/>
          <w:color w:val="auto"/>
        </w:rPr>
        <w:t>Cash flow from operations for fiscal 2021 was $75.5 million, as compared to $(1.2) million for fiscal 2020 and $15.8 million for fiscal 2019. Free cash flow was $70.3 million as compared to $(5.5) million for fiscal 2020 and $2.4 million for fiscal 2019.</w:t>
      </w:r>
    </w:p>
    <w:p>
      <w:pPr>
        <w:spacing w:after="0" w:line="89" w:lineRule="exact"/>
        <w:rPr>
          <w:rFonts w:ascii="Arial" w:cs="Arial" w:eastAsia="Arial" w:hAnsi="Arial"/>
          <w:sz w:val="18"/>
          <w:szCs w:val="18"/>
          <w:color w:val="auto"/>
        </w:rPr>
      </w:pPr>
    </w:p>
    <w:p>
      <w:pPr>
        <w:ind w:left="760" w:right="220" w:hanging="378"/>
        <w:spacing w:after="0" w:line="288" w:lineRule="auto"/>
        <w:tabs>
          <w:tab w:leader="none" w:pos="760" w:val="left"/>
        </w:tabs>
        <w:numPr>
          <w:ilvl w:val="0"/>
          <w:numId w:val="3"/>
        </w:numPr>
        <w:rPr>
          <w:rFonts w:ascii="Arial" w:cs="Arial" w:eastAsia="Arial" w:hAnsi="Arial"/>
          <w:sz w:val="20"/>
          <w:szCs w:val="20"/>
          <w:color w:val="auto"/>
        </w:rPr>
      </w:pPr>
      <w:r>
        <w:rPr>
          <w:rFonts w:ascii="Arial" w:cs="Arial" w:eastAsia="Arial" w:hAnsi="Arial"/>
          <w:sz w:val="20"/>
          <w:szCs w:val="20"/>
          <w:color w:val="auto"/>
        </w:rPr>
        <w:t>At January 29, 2022, the Company had total cash of $15.5 million and no outstanding debt, compared to total debt, net of cash, of $55.4 million at January 30, 2021 and $49.8 million at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281940</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1" w:right="339" w:bottom="1440" w:gutter="0" w:footer="0" w:header="0"/>
        </w:sectPr>
      </w:pPr>
    </w:p>
    <w:bookmarkStart w:id="4" w:name="page5"/>
    <w:bookmarkEnd w:id="4"/>
    <w:p>
      <w:pPr>
        <w:ind w:left="760" w:right="100"/>
        <w:spacing w:after="0" w:line="288" w:lineRule="auto"/>
        <w:rPr>
          <w:sz w:val="20"/>
          <w:szCs w:val="20"/>
          <w:color w:val="auto"/>
        </w:rPr>
      </w:pPr>
      <w:r>
        <w:rPr>
          <w:rFonts w:ascii="Arial" w:cs="Arial" w:eastAsia="Arial" w:hAnsi="Arial"/>
          <w:sz w:val="20"/>
          <w:szCs w:val="20"/>
          <w:color w:val="auto"/>
        </w:rPr>
        <w:t>February 1, 2020. Excess availability under our credit facility was $68.9 million at January 29, 2022, as compared to $11.5 million at January 30, 2021 and $48.5 million at February 1, 2020.</w:t>
      </w:r>
    </w:p>
    <w:p>
      <w:pPr>
        <w:spacing w:after="0" w:line="137" w:lineRule="exact"/>
        <w:rPr>
          <w:sz w:val="20"/>
          <w:szCs w:val="20"/>
          <w:color w:val="auto"/>
        </w:rPr>
      </w:pPr>
    </w:p>
    <w:p>
      <w:pPr>
        <w:ind w:left="760" w:hanging="378"/>
        <w:spacing w:after="0"/>
        <w:tabs>
          <w:tab w:leader="none" w:pos="760" w:val="left"/>
        </w:tabs>
        <w:numPr>
          <w:ilvl w:val="0"/>
          <w:numId w:val="4"/>
        </w:numPr>
        <w:rPr>
          <w:rFonts w:ascii="Arial" w:cs="Arial" w:eastAsia="Arial" w:hAnsi="Arial"/>
          <w:sz w:val="20"/>
          <w:szCs w:val="20"/>
          <w:color w:val="auto"/>
        </w:rPr>
      </w:pPr>
      <w:r>
        <w:rPr>
          <w:rFonts w:ascii="Arial" w:cs="Arial" w:eastAsia="Arial" w:hAnsi="Arial"/>
          <w:sz w:val="20"/>
          <w:szCs w:val="20"/>
          <w:color w:val="auto"/>
        </w:rPr>
        <w:t>On March 15, 2022, the Board authorized a $15.0 million stock repurchase program.</w:t>
      </w:r>
    </w:p>
    <w:p>
      <w:pPr>
        <w:spacing w:after="0" w:line="196"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Management Comments</w:t>
      </w:r>
    </w:p>
    <w:p>
      <w:pPr>
        <w:spacing w:after="0" w:line="141" w:lineRule="exact"/>
        <w:rPr>
          <w:sz w:val="20"/>
          <w:szCs w:val="20"/>
          <w:color w:val="auto"/>
        </w:rPr>
      </w:pPr>
    </w:p>
    <w:p>
      <w:pPr>
        <w:ind w:right="20"/>
        <w:spacing w:after="0" w:line="243" w:lineRule="auto"/>
        <w:rPr>
          <w:sz w:val="20"/>
          <w:szCs w:val="20"/>
          <w:color w:val="auto"/>
        </w:rPr>
      </w:pPr>
      <w:r>
        <w:rPr>
          <w:rFonts w:ascii="Arial" w:cs="Arial" w:eastAsia="Arial" w:hAnsi="Arial"/>
          <w:sz w:val="19"/>
          <w:szCs w:val="19"/>
          <w:color w:val="auto"/>
        </w:rPr>
        <w:t>“This has been a historic year for DXL as we exceeded $500 million in sales for the first time in our Company’s history. Furthermore, we delivered $76.9 million in adjusted EBITDA that was made possible through improvements in gross margin, a restructured lease portfolio and lower operating expenses. Our adjusted EBITDA margin was in excess of 15%, and we reported earnings of $0.83 per diluted share, which benefited from our substantial net operating loss carryforwards. We generated over $70 million in free cash flow during fiscal 2021, which enabled us to retire our long-term debt, pay off our revolver and renegotiate our credit facility on more favorable terms. I am incredibly proud of what our Company has accomplished this year for our customers and our shareholders," said Harvey S. Kanter, President and Chief Executive Officer.</w:t>
      </w:r>
    </w:p>
    <w:p>
      <w:pPr>
        <w:spacing w:after="0" w:line="112" w:lineRule="exact"/>
        <w:rPr>
          <w:sz w:val="20"/>
          <w:szCs w:val="20"/>
          <w:color w:val="auto"/>
        </w:rPr>
      </w:pPr>
    </w:p>
    <w:p>
      <w:pPr>
        <w:ind w:right="60"/>
        <w:spacing w:after="0" w:line="234" w:lineRule="auto"/>
        <w:rPr>
          <w:sz w:val="20"/>
          <w:szCs w:val="20"/>
          <w:color w:val="auto"/>
        </w:rPr>
      </w:pPr>
      <w:r>
        <w:rPr>
          <w:rFonts w:ascii="Arial" w:cs="Arial" w:eastAsia="Arial" w:hAnsi="Arial"/>
          <w:sz w:val="20"/>
          <w:szCs w:val="20"/>
          <w:color w:val="auto"/>
        </w:rPr>
        <w:t>Kanter continued, “The structural changes to our business model we have implemented and the digital transformative work we have accomplished is driving our customers to engage with the DXL brand in new and meaningful ways. Our future is driven by an unrelenting passion to deliver a differentiated experience that resonates with big and tall guys everywhere and to remain focused on driving initiatives in marketing, technology and merchandising.</w:t>
      </w:r>
    </w:p>
    <w:p>
      <w:pPr>
        <w:spacing w:after="0" w:line="75" w:lineRule="exact"/>
        <w:rPr>
          <w:sz w:val="20"/>
          <w:szCs w:val="20"/>
          <w:color w:val="auto"/>
        </w:rPr>
      </w:pPr>
    </w:p>
    <w:p>
      <w:pPr>
        <w:ind w:right="60"/>
        <w:spacing w:after="0" w:line="260" w:lineRule="auto"/>
        <w:rPr>
          <w:sz w:val="20"/>
          <w:szCs w:val="20"/>
          <w:color w:val="auto"/>
        </w:rPr>
      </w:pPr>
      <w:r>
        <w:rPr>
          <w:rFonts w:ascii="Arial" w:cs="Arial" w:eastAsia="Arial" w:hAnsi="Arial"/>
          <w:sz w:val="18"/>
          <w:szCs w:val="18"/>
          <w:color w:val="auto"/>
        </w:rPr>
        <w:t>“We recognize that our business in fiscal 2021 benefited from many macro-level tailwinds, including emergence from pandemic restrictions, pent-up demand and fiscal stimulus policy. As we head into fiscal 2022, concerns around the current Russia Ukraine conflict, Fed Monetary Policy, record costs and inflation all present challenges. However, despite these potential headwinds, we are very excited about our plan for fiscal 2022, and are cautiously optimistic that we will continue to grow our business with robust margins. Given the record-setting year we just finished and non-comparable year-over-year elements, we are taking a thoughtful and pragmatic approach to our financial projections and are guiding to sales from $510 million to $530 million and an EBITDA margin greater than 10.0%.</w:t>
      </w:r>
    </w:p>
    <w:p>
      <w:pPr>
        <w:spacing w:after="0" w:line="59" w:lineRule="exact"/>
        <w:rPr>
          <w:sz w:val="20"/>
          <w:szCs w:val="20"/>
          <w:color w:val="auto"/>
        </w:rPr>
      </w:pPr>
    </w:p>
    <w:p>
      <w:pPr>
        <w:spacing w:after="0" w:line="248" w:lineRule="auto"/>
        <w:rPr>
          <w:sz w:val="20"/>
          <w:szCs w:val="20"/>
          <w:color w:val="auto"/>
        </w:rPr>
      </w:pPr>
      <w:r>
        <w:rPr>
          <w:rFonts w:ascii="Arial" w:cs="Arial" w:eastAsia="Arial" w:hAnsi="Arial"/>
          <w:sz w:val="19"/>
          <w:szCs w:val="19"/>
          <w:color w:val="auto"/>
        </w:rPr>
        <w:t>Kanter concluded, “In fiscal 2022, we intend to build off the many successes we achieved last year to drive new customer acquisition, lifetime customer value through greater retention and new channels of distribution all of which will strengthen our brand and provide new opportunities for greater top-line growth. Our strong balance sheet and substantial free cash flow will allow us to withstand market volatility, invest in our business and return capital to shareholders through a stock repurchase program.”</w:t>
      </w:r>
    </w:p>
    <w:p>
      <w:pPr>
        <w:spacing w:after="0" w:line="333"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Fourth-Quarter and Fiscal 2021 Results</w:t>
      </w:r>
    </w:p>
    <w:p>
      <w:pPr>
        <w:spacing w:after="0" w:line="141" w:lineRule="exact"/>
        <w:rPr>
          <w:sz w:val="20"/>
          <w:szCs w:val="20"/>
          <w:color w:val="auto"/>
        </w:rPr>
      </w:pPr>
    </w:p>
    <w:p>
      <w:pPr>
        <w:ind w:right="20"/>
        <w:spacing w:after="0" w:line="246" w:lineRule="auto"/>
        <w:rPr>
          <w:sz w:val="20"/>
          <w:szCs w:val="20"/>
          <w:color w:val="auto"/>
        </w:rPr>
      </w:pPr>
      <w:r>
        <w:rPr>
          <w:rFonts w:ascii="Arial" w:cs="Arial" w:eastAsia="Arial" w:hAnsi="Arial"/>
          <w:sz w:val="20"/>
          <w:szCs w:val="20"/>
          <w:i w:val="1"/>
          <w:iCs w:val="1"/>
          <w:color w:val="auto"/>
        </w:rPr>
        <w:t>In addition to referring to fiscal 2020, the following review of our fourth quarter and full-year results for fiscal 2021 also includes comparisons to our fourth quarter and full-year results for fiscal 2019. Due to the COVID-19 pandemic and its impact on our results during the fourth quarter and full-year of fiscal 2020, we believe that comparisons to our results from the fourth quarter and full-year fiscal 2019 are more informative.</w:t>
      </w:r>
    </w:p>
    <w:p>
      <w:pPr>
        <w:spacing w:after="0" w:line="218"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Sales</w:t>
      </w:r>
    </w:p>
    <w:p>
      <w:pPr>
        <w:spacing w:after="0" w:line="148" w:lineRule="exact"/>
        <w:rPr>
          <w:sz w:val="20"/>
          <w:szCs w:val="20"/>
          <w:color w:val="auto"/>
        </w:rPr>
      </w:pPr>
    </w:p>
    <w:p>
      <w:pPr>
        <w:ind w:right="160"/>
        <w:spacing w:after="0" w:line="264" w:lineRule="auto"/>
        <w:rPr>
          <w:sz w:val="20"/>
          <w:szCs w:val="20"/>
          <w:color w:val="auto"/>
        </w:rPr>
      </w:pPr>
      <w:r>
        <w:rPr>
          <w:rFonts w:ascii="Arial" w:cs="Arial" w:eastAsia="Arial" w:hAnsi="Arial"/>
          <w:sz w:val="20"/>
          <w:szCs w:val="20"/>
          <w:color w:val="auto"/>
        </w:rPr>
        <w:t>For the fourth quarter of fiscal 2021, total sales were $133.5 million as compared to $100.1 million for the fourth quarter of fiscal 2020 and $131.2 million for the fourth quarter of fiscal 2019. The increase in total sales for the fourth quarter as compared to fiscal 2020 and fiscal 2019 was primarily due to the increase in</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20"/>
          <w:szCs w:val="20"/>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194945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52" w:right="379" w:bottom="1440" w:gutter="0" w:footer="0" w:header="0"/>
        </w:sectPr>
      </w:pPr>
    </w:p>
    <w:bookmarkStart w:id="5" w:name="page6"/>
    <w:bookmarkEnd w:id="5"/>
    <w:p>
      <w:pPr>
        <w:spacing w:after="0"/>
        <w:rPr>
          <w:sz w:val="20"/>
          <w:szCs w:val="20"/>
          <w:color w:val="auto"/>
        </w:rPr>
      </w:pPr>
      <w:r>
        <w:rPr>
          <w:rFonts w:ascii="Arial" w:cs="Arial" w:eastAsia="Arial" w:hAnsi="Arial"/>
          <w:sz w:val="20"/>
          <w:szCs w:val="20"/>
          <w:color w:val="auto"/>
        </w:rPr>
        <w:t>comparable sales which was partially offset by decreases in wholesale revenue and sales from closed stores.</w:t>
      </w:r>
    </w:p>
    <w:p>
      <w:pPr>
        <w:spacing w:after="0" w:line="162" w:lineRule="exact"/>
        <w:rPr>
          <w:sz w:val="20"/>
          <w:szCs w:val="20"/>
          <w:color w:val="auto"/>
        </w:rPr>
      </w:pPr>
    </w:p>
    <w:p>
      <w:pPr>
        <w:spacing w:after="0" w:line="271" w:lineRule="auto"/>
        <w:rPr>
          <w:sz w:val="20"/>
          <w:szCs w:val="20"/>
          <w:color w:val="auto"/>
        </w:rPr>
      </w:pPr>
      <w:r>
        <w:rPr>
          <w:rFonts w:ascii="Arial" w:cs="Arial" w:eastAsia="Arial" w:hAnsi="Arial"/>
          <w:sz w:val="19"/>
          <w:szCs w:val="19"/>
          <w:color w:val="auto"/>
        </w:rPr>
        <w:t>As compared to fiscal 2020, comparable sales for the fourth quarter increased 41.5%, driven by a 58.4% comparable sales increase from stores and a 17.8% increase in the direct business. As compared to fiscal 2019, comparable sales for the fourth quarter were up 9.4%, with our direct business up 33.1% and our stores flat. During the fourth quarter of fiscal 2021, our comparable sales, when compared to the same periods in fiscal 2019, increased by 17.4% in November and 7.8% in December, reflecting an earlier shopping season as customers responded to concerns around global supply chain issues and product availability, and slowed to 1.8% in January, as the Omicron variant impacted shopping behavior. We were also less promotional in the 2021 holiday season as compared to previous years, which impacted sales but strengthened margins. Regionally, our southeast and south central stores were our strongest performers in the fourth quarter of fiscal 2021, consistent with the trend we saw throughout much of fiscal 2021.</w:t>
      </w:r>
    </w:p>
    <w:p>
      <w:pPr>
        <w:spacing w:after="0" w:line="105" w:lineRule="exact"/>
        <w:rPr>
          <w:sz w:val="20"/>
          <w:szCs w:val="20"/>
          <w:color w:val="auto"/>
        </w:rPr>
      </w:pPr>
    </w:p>
    <w:p>
      <w:pPr>
        <w:spacing w:after="0" w:line="260" w:lineRule="auto"/>
        <w:rPr>
          <w:sz w:val="20"/>
          <w:szCs w:val="20"/>
          <w:color w:val="auto"/>
        </w:rPr>
      </w:pPr>
      <w:r>
        <w:rPr>
          <w:rFonts w:ascii="Arial" w:cs="Arial" w:eastAsia="Arial" w:hAnsi="Arial"/>
          <w:sz w:val="20"/>
          <w:szCs w:val="20"/>
          <w:color w:val="auto"/>
        </w:rPr>
        <w:t>For fiscal 2021, total sales increased 58.3% to $505.0 million from $318.9 million for fiscal 2020 and increased 6.5% from $474.0 million in fiscal 2019. As compared to fiscal 2020, comparable sales increased 68.5%, with stores up 98.1% and the direct business up 25.4%. As compared to fiscal 2019, comparable sales increased 14.2%, primarily due to a comparable sales increase in the direct business of 44.0% and an increase in stores of 4.8%.</w:t>
      </w:r>
    </w:p>
    <w:p>
      <w:pPr>
        <w:spacing w:after="0" w:line="124" w:lineRule="exact"/>
        <w:rPr>
          <w:sz w:val="20"/>
          <w:szCs w:val="20"/>
          <w:color w:val="auto"/>
        </w:rPr>
      </w:pPr>
    </w:p>
    <w:p>
      <w:pPr>
        <w:ind w:right="80"/>
        <w:spacing w:after="0" w:line="298" w:lineRule="auto"/>
        <w:rPr>
          <w:sz w:val="20"/>
          <w:szCs w:val="20"/>
          <w:color w:val="auto"/>
        </w:rPr>
      </w:pPr>
      <w:r>
        <w:rPr>
          <w:rFonts w:ascii="Arial" w:cs="Arial" w:eastAsia="Arial" w:hAnsi="Arial"/>
          <w:sz w:val="18"/>
          <w:szCs w:val="18"/>
          <w:color w:val="auto"/>
        </w:rPr>
        <w:t>For fiscal 2021, wholesale revenues were $5.4 million as compared to $16.6 million in fiscal 2020 and $12.5 million in fiscal 2019. While a significant portion of our wholesale revenues in fiscal 2020 were due to the sale of masks, our wholesale business was driven primarily by our relationship with Amazon. Based on several factors, including low margins, volatility in the global supply chain, increasing lead times and the shifting dynamics of the business, the Company and Amazon have agreed to end the wholesale relationship.</w:t>
      </w:r>
    </w:p>
    <w:p>
      <w:pPr>
        <w:spacing w:after="0" w:line="92"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Gross Margin</w:t>
      </w:r>
    </w:p>
    <w:p>
      <w:pPr>
        <w:spacing w:after="0" w:line="148" w:lineRule="exact"/>
        <w:rPr>
          <w:sz w:val="20"/>
          <w:szCs w:val="20"/>
          <w:color w:val="auto"/>
        </w:rPr>
      </w:pPr>
    </w:p>
    <w:p>
      <w:pPr>
        <w:ind w:right="20"/>
        <w:spacing w:after="0" w:line="264" w:lineRule="auto"/>
        <w:rPr>
          <w:sz w:val="20"/>
          <w:szCs w:val="20"/>
          <w:color w:val="auto"/>
        </w:rPr>
      </w:pPr>
      <w:r>
        <w:rPr>
          <w:rFonts w:ascii="Arial" w:cs="Arial" w:eastAsia="Arial" w:hAnsi="Arial"/>
          <w:sz w:val="20"/>
          <w:szCs w:val="20"/>
          <w:color w:val="auto"/>
        </w:rPr>
        <w:t>For the fourth quarter of fiscal 2021, gross margin, inclusive of occupancy costs, was 49.8%, compared with a gross margin of 39.0% for the fourth quarter of fiscal 2020 and a gross margin of 43.0% for the fourth quarter of fiscal 2019. For fiscal 2021, gross margin, inclusive of occupancy costs, was 49.5%, compared to 32.9% for fiscal 2020 and 43.1% for fiscal 2019.</w:t>
      </w:r>
    </w:p>
    <w:p>
      <w:pPr>
        <w:spacing w:after="0" w:line="119" w:lineRule="exact"/>
        <w:rPr>
          <w:sz w:val="20"/>
          <w:szCs w:val="20"/>
          <w:color w:val="auto"/>
        </w:rPr>
      </w:pPr>
    </w:p>
    <w:p>
      <w:pPr>
        <w:jc w:val="both"/>
        <w:ind w:right="120"/>
        <w:spacing w:after="0" w:line="284" w:lineRule="auto"/>
        <w:rPr>
          <w:sz w:val="20"/>
          <w:szCs w:val="20"/>
          <w:color w:val="auto"/>
        </w:rPr>
      </w:pPr>
      <w:r>
        <w:rPr>
          <w:rFonts w:ascii="Arial" w:cs="Arial" w:eastAsia="Arial" w:hAnsi="Arial"/>
          <w:sz w:val="19"/>
          <w:szCs w:val="19"/>
          <w:color w:val="auto"/>
        </w:rPr>
        <w:t>As compared to the fourth quarter of fiscal 2019, our gross margin rate for the fourth quarter improved by 680 basis points, driven by a 410 basis point improvement in merchandise margins and a 270 basis point improvement in occupancy costs. On a dollar basis, our occupancy costs decreased by $3.3 million, as a result of our lease renegotiations as well as closed stores.</w:t>
      </w:r>
    </w:p>
    <w:p>
      <w:pPr>
        <w:spacing w:after="0" w:line="102" w:lineRule="exact"/>
        <w:rPr>
          <w:sz w:val="20"/>
          <w:szCs w:val="20"/>
          <w:color w:val="auto"/>
        </w:rPr>
      </w:pPr>
    </w:p>
    <w:p>
      <w:pPr>
        <w:jc w:val="both"/>
        <w:spacing w:after="0" w:line="306" w:lineRule="auto"/>
        <w:rPr>
          <w:sz w:val="20"/>
          <w:szCs w:val="20"/>
          <w:color w:val="auto"/>
        </w:rPr>
      </w:pPr>
      <w:r>
        <w:rPr>
          <w:rFonts w:ascii="Arial" w:cs="Arial" w:eastAsia="Arial" w:hAnsi="Arial"/>
          <w:sz w:val="18"/>
          <w:szCs w:val="18"/>
          <w:color w:val="auto"/>
        </w:rPr>
        <w:t>For the full year, our gross margin rate improved by 640 basis points as compared to fiscal 2019, driven by a 300 basis point improvement in merchandise margins and a 340 basis point improvement in occupancy costs. As a result of our lease renegotiations as well as closed stores, on a dollar basis, occupancy costs for fiscal 2021 decreased by approximately $12.5 million, or 17.7%, as compared to fiscal 2019.</w:t>
      </w:r>
    </w:p>
    <w:p>
      <w:pPr>
        <w:spacing w:after="0" w:line="72" w:lineRule="exact"/>
        <w:rPr>
          <w:sz w:val="20"/>
          <w:szCs w:val="20"/>
          <w:color w:val="auto"/>
        </w:rPr>
      </w:pPr>
    </w:p>
    <w:p>
      <w:pPr>
        <w:ind w:right="120"/>
        <w:spacing w:after="0" w:line="278" w:lineRule="auto"/>
        <w:rPr>
          <w:sz w:val="20"/>
          <w:szCs w:val="20"/>
          <w:color w:val="auto"/>
        </w:rPr>
      </w:pPr>
      <w:r>
        <w:rPr>
          <w:rFonts w:ascii="Arial" w:cs="Arial" w:eastAsia="Arial" w:hAnsi="Arial"/>
          <w:sz w:val="19"/>
          <w:szCs w:val="19"/>
          <w:color w:val="auto"/>
        </w:rPr>
        <w:t>The improvement in merchandise margin for the fourth quarter and fiscal year 2021 was primarily driven by our low promotional strategy and low clearance levels. Partially offsetting the savings from the reduction in markdowns was the continuing increase in the cost of freight due to shortages of vessels for overseas product, port congestion and labor shortages of truck drivers. For the full year, we estimate that the supply chain disruptions negatively impacted gross margin by approximately 84 basis points, and we</w:t>
      </w:r>
    </w:p>
    <w:p>
      <w:pPr>
        <w:spacing w:after="0" w:line="95" w:lineRule="exact"/>
        <w:rPr>
          <w:sz w:val="20"/>
          <w:szCs w:val="20"/>
          <w:color w:val="auto"/>
        </w:rPr>
      </w:pPr>
    </w:p>
    <w:p>
      <w:pPr>
        <w:jc w:val="center"/>
        <w:ind w:right="-79"/>
        <w:spacing w:after="0"/>
        <w:rPr>
          <w:sz w:val="20"/>
          <w:szCs w:val="20"/>
          <w:color w:val="auto"/>
        </w:rPr>
      </w:pPr>
      <w:r>
        <w:rPr>
          <w:rFonts w:ascii="Arial" w:cs="Arial" w:eastAsia="Arial" w:hAnsi="Arial"/>
          <w:sz w:val="20"/>
          <w:szCs w:val="20"/>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194945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460" w:right="419" w:bottom="1440" w:gutter="0" w:footer="0" w:header="0"/>
        </w:sectPr>
      </w:pPr>
    </w:p>
    <w:bookmarkStart w:id="6" w:name="page7"/>
    <w:bookmarkEnd w:id="6"/>
    <w:p>
      <w:pPr>
        <w:ind w:right="440"/>
        <w:spacing w:after="0" w:line="274" w:lineRule="auto"/>
        <w:rPr>
          <w:sz w:val="20"/>
          <w:szCs w:val="20"/>
          <w:color w:val="auto"/>
        </w:rPr>
      </w:pPr>
      <w:r>
        <w:rPr>
          <w:rFonts w:ascii="Arial" w:cs="Arial" w:eastAsia="Arial" w:hAnsi="Arial"/>
          <w:sz w:val="20"/>
          <w:szCs w:val="20"/>
          <w:color w:val="auto"/>
        </w:rPr>
        <w:t>expect that we will continue to experience cost increases related to these supply chain issues as well as due to the increase in the cost of certain raw materials, particularly cotton, throughout fiscal 2022.</w:t>
      </w:r>
    </w:p>
    <w:p>
      <w:pPr>
        <w:spacing w:after="0" w:line="109"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Selling, General &amp; Administrative</w:t>
      </w:r>
    </w:p>
    <w:p>
      <w:pPr>
        <w:spacing w:after="0" w:line="148" w:lineRule="exact"/>
        <w:rPr>
          <w:sz w:val="20"/>
          <w:szCs w:val="20"/>
          <w:color w:val="auto"/>
        </w:rPr>
      </w:pPr>
    </w:p>
    <w:p>
      <w:pPr>
        <w:ind w:right="420"/>
        <w:spacing w:after="0" w:line="274" w:lineRule="auto"/>
        <w:rPr>
          <w:sz w:val="20"/>
          <w:szCs w:val="20"/>
          <w:color w:val="auto"/>
        </w:rPr>
      </w:pPr>
      <w:r>
        <w:rPr>
          <w:rFonts w:ascii="Arial" w:cs="Arial" w:eastAsia="Arial" w:hAnsi="Arial"/>
          <w:sz w:val="20"/>
          <w:szCs w:val="20"/>
          <w:color w:val="auto"/>
        </w:rPr>
        <w:t>SG&amp;A expenses for the fourth quarter of fiscal 2021 were 39.0% of sales, compared with 38.3% in the fourth quarter of fiscal 2020 and 35.4% in the fourth quarter of fiscal 2019.</w:t>
      </w:r>
    </w:p>
    <w:p>
      <w:pPr>
        <w:spacing w:after="0" w:line="69" w:lineRule="exact"/>
        <w:rPr>
          <w:sz w:val="20"/>
          <w:szCs w:val="20"/>
          <w:color w:val="auto"/>
        </w:rPr>
      </w:pPr>
    </w:p>
    <w:p>
      <w:pPr>
        <w:spacing w:after="0" w:line="260" w:lineRule="auto"/>
        <w:rPr>
          <w:sz w:val="20"/>
          <w:szCs w:val="20"/>
          <w:color w:val="auto"/>
        </w:rPr>
      </w:pPr>
      <w:r>
        <w:rPr>
          <w:rFonts w:ascii="Arial" w:cs="Arial" w:eastAsia="Arial" w:hAnsi="Arial"/>
          <w:sz w:val="20"/>
          <w:szCs w:val="20"/>
          <w:color w:val="auto"/>
        </w:rPr>
        <w:t>On a dollar basis, compared to the fourth quarter of fiscal 2019, SG&amp;A expense increased by $5.6 million. The increase was primarily due to increased incentive-based accruals, reinstating a 401(k) profit sharing contribution and an increase in marketing costs, due to timing. These increases were partially offset by the realized cost-savings implemented in fiscal 2020, which included a reduction in corporate headcount, professional services and the elimination of certain service agreements.</w:t>
      </w:r>
    </w:p>
    <w:p>
      <w:pPr>
        <w:spacing w:after="0" w:line="83" w:lineRule="exact"/>
        <w:rPr>
          <w:sz w:val="20"/>
          <w:szCs w:val="20"/>
          <w:color w:val="auto"/>
        </w:rPr>
      </w:pPr>
    </w:p>
    <w:p>
      <w:pPr>
        <w:spacing w:after="0"/>
        <w:rPr>
          <w:sz w:val="20"/>
          <w:szCs w:val="20"/>
          <w:color w:val="auto"/>
        </w:rPr>
      </w:pPr>
      <w:r>
        <w:rPr>
          <w:rFonts w:ascii="Arial" w:cs="Arial" w:eastAsia="Arial" w:hAnsi="Arial"/>
          <w:sz w:val="20"/>
          <w:szCs w:val="20"/>
          <w:color w:val="auto"/>
        </w:rPr>
        <w:t>For fiscal 2021, SG&amp;A expenses were 34.2% of sales, compared to 40.5% in fiscal 2020 and 38.1% in fiscal 2019.</w:t>
      </w:r>
    </w:p>
    <w:p>
      <w:pPr>
        <w:spacing w:after="0" w:line="121" w:lineRule="exact"/>
        <w:rPr>
          <w:sz w:val="20"/>
          <w:szCs w:val="20"/>
          <w:color w:val="auto"/>
        </w:rPr>
      </w:pPr>
    </w:p>
    <w:p>
      <w:pPr>
        <w:spacing w:after="0" w:line="264" w:lineRule="auto"/>
        <w:rPr>
          <w:sz w:val="20"/>
          <w:szCs w:val="20"/>
          <w:color w:val="auto"/>
        </w:rPr>
      </w:pPr>
      <w:r>
        <w:rPr>
          <w:rFonts w:ascii="Arial" w:cs="Arial" w:eastAsia="Arial" w:hAnsi="Arial"/>
          <w:sz w:val="20"/>
          <w:szCs w:val="20"/>
          <w:color w:val="auto"/>
        </w:rPr>
        <w:t>On a dollar basis, compared to fiscal 2019, SG&amp;A expense for fiscal 2021 decreased $7.7 million. The decrease in SG&amp;A expenses for the year were primarily due to the cost-savings initiatives and reductions in payroll and payroll-related costs. These costs were partially offset by an increase in incentive-based accruals and an increase in 401(k) expense.</w:t>
      </w:r>
    </w:p>
    <w:p>
      <w:pPr>
        <w:spacing w:after="0" w:line="78" w:lineRule="exact"/>
        <w:rPr>
          <w:sz w:val="20"/>
          <w:szCs w:val="20"/>
          <w:color w:val="auto"/>
        </w:rPr>
      </w:pPr>
    </w:p>
    <w:p>
      <w:pPr>
        <w:ind w:right="20"/>
        <w:spacing w:after="0" w:line="298" w:lineRule="auto"/>
        <w:rPr>
          <w:sz w:val="20"/>
          <w:szCs w:val="20"/>
          <w:color w:val="auto"/>
        </w:rPr>
      </w:pPr>
      <w:r>
        <w:rPr>
          <w:rFonts w:ascii="Arial" w:cs="Arial" w:eastAsia="Arial" w:hAnsi="Arial"/>
          <w:sz w:val="18"/>
          <w:szCs w:val="18"/>
          <w:color w:val="auto"/>
        </w:rPr>
        <w:t>Management views SG&amp;A expenses through two primary cost centers: Customer Facing Costs and Corporate Support Costs. Customer Facing Costs, which include store payroll, marketing and other store operating costs, represented 19.1% of sales for fiscal 2021, compared to 20.2% of sales for fiscal 2020 and 22.6% of sales for fiscal 2019. Corporate Support Costs, which include the distribution center and corporate overhead costs, represented 15.1% of sales, compared to 20.3% of sales for fiscal 2020 and 15.5% of sales for fiscal 2019.</w:t>
      </w:r>
    </w:p>
    <w:p>
      <w:pPr>
        <w:spacing w:after="0" w:line="92"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Impairment of Assets</w:t>
      </w:r>
    </w:p>
    <w:p>
      <w:pPr>
        <w:spacing w:after="0" w:line="229" w:lineRule="exact"/>
        <w:rPr>
          <w:sz w:val="20"/>
          <w:szCs w:val="20"/>
          <w:color w:val="auto"/>
        </w:rPr>
      </w:pPr>
    </w:p>
    <w:p>
      <w:pPr>
        <w:ind w:right="80"/>
        <w:spacing w:after="0" w:line="260" w:lineRule="auto"/>
        <w:rPr>
          <w:sz w:val="20"/>
          <w:szCs w:val="20"/>
          <w:color w:val="auto"/>
        </w:rPr>
      </w:pPr>
      <w:r>
        <w:rPr>
          <w:rFonts w:ascii="Arial" w:cs="Arial" w:eastAsia="Arial" w:hAnsi="Arial"/>
          <w:sz w:val="20"/>
          <w:szCs w:val="20"/>
          <w:color w:val="auto"/>
        </w:rPr>
        <w:t>Asset impairment charges primarily represent the write-down of operating lease right-of-use assets, where the carrying value exceeds fair value, and the write-down store fixed assets. In addition, any subsequent gains recognized in connection with a store closure related to a previously recorded operating lease right-of-use asset impairment will be included as an offset to impairment charges, with the remainder of the gain included as a reduction in store occupancy costs.</w:t>
      </w:r>
    </w:p>
    <w:p>
      <w:pPr>
        <w:spacing w:after="0" w:line="191" w:lineRule="exact"/>
        <w:rPr>
          <w:sz w:val="20"/>
          <w:szCs w:val="20"/>
          <w:color w:val="auto"/>
        </w:rPr>
      </w:pPr>
    </w:p>
    <w:p>
      <w:pPr>
        <w:spacing w:after="0" w:line="273" w:lineRule="auto"/>
        <w:rPr>
          <w:sz w:val="20"/>
          <w:szCs w:val="20"/>
          <w:color w:val="auto"/>
        </w:rPr>
      </w:pPr>
      <w:r>
        <w:rPr>
          <w:rFonts w:ascii="Arial" w:cs="Arial" w:eastAsia="Arial" w:hAnsi="Arial"/>
          <w:sz w:val="19"/>
          <w:szCs w:val="19"/>
          <w:color w:val="auto"/>
        </w:rPr>
        <w:t>For the fourth quarter and fiscal year fiscal 2021, the Company recorded non-cash gains of $0.4 million and $2.7 million, respectively, on the reduction of its operating lease liability in connection with its decision to close certain retail stores, which resulted in a revaluation of the lease liability. Of the total non-cash gains, $0.2 million and $2.3 million for the fourth quarter and fiscal year 2021, respectively, related to leases where the right-of-use assets had previously been impaired, and therefore, were recorded as a reduction of the previously recorded impairment. The remaining gain of $0.2 million and $0.4 million for the fourth quarter and fiscal year 2021, respectively, was recorded as a reduction to occupancy costs in each period.</w:t>
      </w:r>
    </w:p>
    <w:p>
      <w:pPr>
        <w:spacing w:after="0" w:line="75"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Net Income (Loss)</w:t>
      </w:r>
    </w:p>
    <w:p>
      <w:pPr>
        <w:spacing w:after="0" w:line="121" w:lineRule="exact"/>
        <w:rPr>
          <w:sz w:val="20"/>
          <w:szCs w:val="20"/>
          <w:color w:val="auto"/>
        </w:rPr>
      </w:pPr>
    </w:p>
    <w:p>
      <w:pPr>
        <w:jc w:val="both"/>
        <w:ind w:right="40"/>
        <w:spacing w:after="0" w:line="254" w:lineRule="auto"/>
        <w:rPr>
          <w:sz w:val="20"/>
          <w:szCs w:val="20"/>
          <w:color w:val="auto"/>
        </w:rPr>
      </w:pPr>
      <w:r>
        <w:rPr>
          <w:rFonts w:ascii="Arial" w:cs="Arial" w:eastAsia="Arial" w:hAnsi="Arial"/>
          <w:sz w:val="20"/>
          <w:szCs w:val="20"/>
          <w:color w:val="auto"/>
        </w:rPr>
        <w:t>Net income for the fourth quarter of fiscal 2021 was $9.9 million, or $0.14 per diluted share, as compared to a net loss for the fourth quarter of fiscal 2020 of $(5.1) million, or $(0.10) per diluted share, and net income of $2.4 million, or $0.05 per diluted share, for the fourth quarter of fiscal 2019.</w:t>
      </w:r>
    </w:p>
    <w:p>
      <w:pPr>
        <w:spacing w:after="0" w:line="1" w:lineRule="exact"/>
        <w:rPr>
          <w:sz w:val="20"/>
          <w:szCs w:val="20"/>
          <w:color w:val="auto"/>
        </w:rPr>
      </w:pPr>
    </w:p>
    <w:p>
      <w:pPr>
        <w:jc w:val="center"/>
        <w:ind w:right="-59"/>
        <w:spacing w:after="0"/>
        <w:rPr>
          <w:sz w:val="20"/>
          <w:szCs w:val="20"/>
          <w:color w:val="auto"/>
        </w:rPr>
      </w:pPr>
      <w:r>
        <w:rPr>
          <w:rFonts w:ascii="Arial" w:cs="Arial" w:eastAsia="Arial" w:hAnsi="Arial"/>
          <w:sz w:val="20"/>
          <w:szCs w:val="20"/>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184785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352" w:right="399" w:bottom="1440" w:gutter="0" w:footer="0" w:header="0"/>
        </w:sectPr>
      </w:pPr>
    </w:p>
    <w:bookmarkStart w:id="7" w:name="page8"/>
    <w:bookmarkEnd w:id="7"/>
    <w:p>
      <w:pPr>
        <w:jc w:val="both"/>
        <w:ind w:right="500"/>
        <w:spacing w:after="0" w:line="284" w:lineRule="auto"/>
        <w:rPr>
          <w:sz w:val="20"/>
          <w:szCs w:val="20"/>
          <w:color w:val="auto"/>
        </w:rPr>
      </w:pPr>
      <w:r>
        <w:rPr>
          <w:rFonts w:ascii="Arial" w:cs="Arial" w:eastAsia="Arial" w:hAnsi="Arial"/>
          <w:sz w:val="19"/>
          <w:szCs w:val="19"/>
          <w:color w:val="auto"/>
        </w:rPr>
        <w:t>Net income for fiscal 2021 was $56.7 million, or $0.83 per diluted share, as compared to a net loss for fiscal 2020 of $(64.5) million, or $(1.26) per diluted share, and a net loss of $(7.8) million, or $(0.16) per diluted share, in fiscal 2019. Our significant net operating loss carryforwards minimized our cash tax payments and made this income substantially tax-free.</w:t>
      </w:r>
    </w:p>
    <w:p>
      <w:pPr>
        <w:spacing w:after="0" w:line="61"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Adjusted EBITDA</w:t>
      </w:r>
    </w:p>
    <w:p>
      <w:pPr>
        <w:spacing w:after="0" w:line="121" w:lineRule="exact"/>
        <w:rPr>
          <w:sz w:val="20"/>
          <w:szCs w:val="20"/>
          <w:color w:val="auto"/>
        </w:rPr>
      </w:pPr>
    </w:p>
    <w:p>
      <w:pPr>
        <w:ind w:right="20"/>
        <w:spacing w:after="0" w:line="278" w:lineRule="auto"/>
        <w:rPr>
          <w:sz w:val="20"/>
          <w:szCs w:val="20"/>
          <w:color w:val="auto"/>
        </w:rPr>
      </w:pPr>
      <w:r>
        <w:rPr>
          <w:rFonts w:ascii="Arial" w:cs="Arial" w:eastAsia="Arial" w:hAnsi="Arial"/>
          <w:sz w:val="19"/>
          <w:szCs w:val="19"/>
          <w:color w:val="auto"/>
        </w:rPr>
        <w:t>Earnings before interest, taxes, depreciation and amortization, adjusted for asset impairments, exit costs associated with London operations and CEO transition costs (adjusted EBITDA), a non-GAAP measure, for the fourth quarter of fiscal 2021 were $14.3 million as compared to $0.7 million for the fourth quarter of fiscal 2020 and $9.9 million for the fourth quarter of fiscal 2019. For fiscal 2021, adjusted EBITDA was $76.9 million, as compared to $(24.2) million for fiscal 2020 and $23.5 million for fiscal 2019.</w:t>
      </w:r>
    </w:p>
    <w:p>
      <w:pPr>
        <w:spacing w:after="0" w:line="108"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Cash Flow</w:t>
      </w:r>
    </w:p>
    <w:p>
      <w:pPr>
        <w:spacing w:after="0" w:line="229" w:lineRule="exact"/>
        <w:rPr>
          <w:sz w:val="20"/>
          <w:szCs w:val="20"/>
          <w:color w:val="auto"/>
        </w:rPr>
      </w:pPr>
    </w:p>
    <w:p>
      <w:pPr>
        <w:ind w:right="80"/>
        <w:spacing w:after="0" w:line="278" w:lineRule="auto"/>
        <w:rPr>
          <w:sz w:val="20"/>
          <w:szCs w:val="20"/>
          <w:color w:val="auto"/>
        </w:rPr>
      </w:pPr>
      <w:r>
        <w:rPr>
          <w:rFonts w:ascii="Arial" w:cs="Arial" w:eastAsia="Arial" w:hAnsi="Arial"/>
          <w:sz w:val="19"/>
          <w:szCs w:val="19"/>
          <w:color w:val="auto"/>
        </w:rPr>
        <w:t>Cash flow from operations for fiscal 2021 was $75.5 million as compared to $(1.2) million for fiscal 2020 and $15.8 million for fiscal 2019. Capital expenditures for fiscal 2021 were $5.3 million, as compared to $4.2 million for fiscal 2020 and $13.4 million for fiscal 2019. Free cash flow, a non-GAAP measure, was $70.3 million as compared to $(5.5) million in fiscal 2020 and $2.4 million in 2019. The improvement in free cash flows was the result of the improvement in earnings, as well as faster inventory turnover.</w:t>
      </w:r>
    </w:p>
    <w:p>
      <w:pPr>
        <w:spacing w:after="0" w:line="66"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6560" w:type="dxa"/>
            <w:vAlign w:val="bottom"/>
            <w:gridSpan w:val="2"/>
          </w:tcPr>
          <w:p>
            <w:pPr>
              <w:spacing w:after="0"/>
              <w:rPr>
                <w:sz w:val="20"/>
                <w:szCs w:val="20"/>
                <w:color w:val="auto"/>
              </w:rPr>
            </w:pPr>
            <w:r>
              <w:rPr>
                <w:rFonts w:ascii="Arial" w:cs="Arial" w:eastAsia="Arial" w:hAnsi="Arial"/>
                <w:sz w:val="14"/>
                <w:szCs w:val="14"/>
                <w:i w:val="1"/>
                <w:iCs w:val="1"/>
                <w:color w:val="auto"/>
              </w:rPr>
              <w:t>(in millions)</w:t>
            </w:r>
          </w:p>
        </w:tc>
        <w:tc>
          <w:tcPr>
            <w:tcW w:w="240" w:type="dxa"/>
            <w:vAlign w:val="bottom"/>
          </w:tcPr>
          <w:p>
            <w:pPr>
              <w:spacing w:after="0"/>
              <w:rPr>
                <w:sz w:val="14"/>
                <w:szCs w:val="14"/>
                <w:color w:val="auto"/>
              </w:rPr>
            </w:pPr>
          </w:p>
        </w:tc>
        <w:tc>
          <w:tcPr>
            <w:tcW w:w="1380" w:type="dxa"/>
            <w:vAlign w:val="bottom"/>
            <w:gridSpan w:val="2"/>
          </w:tcPr>
          <w:p>
            <w:pPr>
              <w:jc w:val="right"/>
              <w:ind w:right="580"/>
              <w:spacing w:after="0"/>
              <w:rPr>
                <w:sz w:val="20"/>
                <w:szCs w:val="20"/>
                <w:color w:val="auto"/>
              </w:rPr>
            </w:pPr>
            <w:r>
              <w:rPr>
                <w:rFonts w:ascii="Arial" w:cs="Arial" w:eastAsia="Arial" w:hAnsi="Arial"/>
                <w:sz w:val="14"/>
                <w:szCs w:val="14"/>
                <w:color w:val="auto"/>
              </w:rPr>
              <w:t>Fiscal 2021</w:t>
            </w:r>
          </w:p>
        </w:tc>
        <w:tc>
          <w:tcPr>
            <w:tcW w:w="220" w:type="dxa"/>
            <w:vAlign w:val="bottom"/>
          </w:tcPr>
          <w:p>
            <w:pPr>
              <w:spacing w:after="0"/>
              <w:rPr>
                <w:sz w:val="14"/>
                <w:szCs w:val="14"/>
                <w:color w:val="auto"/>
              </w:rPr>
            </w:pPr>
          </w:p>
        </w:tc>
        <w:tc>
          <w:tcPr>
            <w:tcW w:w="1360" w:type="dxa"/>
            <w:vAlign w:val="bottom"/>
            <w:gridSpan w:val="2"/>
          </w:tcPr>
          <w:p>
            <w:pPr>
              <w:jc w:val="right"/>
              <w:ind w:right="479"/>
              <w:spacing w:after="0"/>
              <w:rPr>
                <w:sz w:val="20"/>
                <w:szCs w:val="20"/>
                <w:color w:val="auto"/>
              </w:rPr>
            </w:pPr>
            <w:r>
              <w:rPr>
                <w:rFonts w:ascii="Arial" w:cs="Arial" w:eastAsia="Arial" w:hAnsi="Arial"/>
                <w:sz w:val="14"/>
                <w:szCs w:val="14"/>
                <w:color w:val="auto"/>
              </w:rPr>
              <w:t>Fiscal 2020</w:t>
            </w:r>
          </w:p>
        </w:tc>
        <w:tc>
          <w:tcPr>
            <w:tcW w:w="220" w:type="dxa"/>
            <w:vAlign w:val="bottom"/>
          </w:tcPr>
          <w:p>
            <w:pPr>
              <w:spacing w:after="0"/>
              <w:rPr>
                <w:sz w:val="14"/>
                <w:szCs w:val="14"/>
                <w:color w:val="auto"/>
              </w:rPr>
            </w:pPr>
          </w:p>
        </w:tc>
        <w:tc>
          <w:tcPr>
            <w:tcW w:w="1240" w:type="dxa"/>
            <w:vAlign w:val="bottom"/>
            <w:gridSpan w:val="2"/>
          </w:tcPr>
          <w:p>
            <w:pPr>
              <w:jc w:val="right"/>
              <w:ind w:right="440"/>
              <w:spacing w:after="0"/>
              <w:rPr>
                <w:sz w:val="20"/>
                <w:szCs w:val="20"/>
                <w:color w:val="auto"/>
              </w:rPr>
            </w:pPr>
            <w:r>
              <w:rPr>
                <w:rFonts w:ascii="Arial" w:cs="Arial" w:eastAsia="Arial" w:hAnsi="Arial"/>
                <w:sz w:val="14"/>
                <w:szCs w:val="14"/>
                <w:color w:val="auto"/>
              </w:rPr>
              <w:t>Fiscal 2019</w:t>
            </w:r>
          </w:p>
        </w:tc>
      </w:tr>
      <w:tr>
        <w:trPr>
          <w:trHeight w:val="27"/>
        </w:trPr>
        <w:tc>
          <w:tcPr>
            <w:tcW w:w="2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586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189"/>
        </w:trPr>
        <w:tc>
          <w:tcPr>
            <w:tcW w:w="20" w:type="dxa"/>
            <w:vAlign w:val="bottom"/>
            <w:shd w:val="clear" w:color="auto" w:fill="CFF0FC"/>
          </w:tcPr>
          <w:p>
            <w:pPr>
              <w:spacing w:after="0"/>
              <w:rPr>
                <w:sz w:val="16"/>
                <w:szCs w:val="16"/>
                <w:color w:val="auto"/>
              </w:rPr>
            </w:pPr>
          </w:p>
        </w:tc>
        <w:tc>
          <w:tcPr>
            <w:tcW w:w="656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Cash flow from operating activities (GAAP)</w:t>
            </w:r>
          </w:p>
        </w:tc>
        <w:tc>
          <w:tcPr>
            <w:tcW w:w="24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w w:val="89"/>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75.5</w:t>
            </w:r>
          </w:p>
        </w:tc>
        <w:tc>
          <w:tcPr>
            <w:tcW w:w="220" w:type="dxa"/>
            <w:vAlign w:val="bottom"/>
            <w:shd w:val="clear" w:color="auto" w:fill="CFF0FC"/>
          </w:tcPr>
          <w:p>
            <w:pPr>
              <w:spacing w:after="0"/>
              <w:rPr>
                <w:sz w:val="16"/>
                <w:szCs w:val="16"/>
                <w:color w:val="auto"/>
              </w:rPr>
            </w:pPr>
          </w:p>
        </w:tc>
        <w:tc>
          <w:tcPr>
            <w:tcW w:w="22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w w:val="89"/>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w:t>
            </w:r>
          </w:p>
        </w:tc>
        <w:tc>
          <w:tcPr>
            <w:tcW w:w="22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w:t>
            </w:r>
          </w:p>
        </w:tc>
        <w:tc>
          <w:tcPr>
            <w:tcW w:w="22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w w:val="89"/>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15.8</w:t>
            </w:r>
          </w:p>
        </w:tc>
        <w:tc>
          <w:tcPr>
            <w:tcW w:w="100" w:type="dxa"/>
            <w:vAlign w:val="bottom"/>
            <w:shd w:val="clear" w:color="auto" w:fill="CFF0FC"/>
          </w:tcPr>
          <w:p>
            <w:pPr>
              <w:spacing w:after="0"/>
              <w:rPr>
                <w:sz w:val="16"/>
                <w:szCs w:val="16"/>
                <w:color w:val="auto"/>
              </w:rPr>
            </w:pPr>
          </w:p>
        </w:tc>
      </w:tr>
      <w:tr>
        <w:trPr>
          <w:trHeight w:val="189"/>
        </w:trPr>
        <w:tc>
          <w:tcPr>
            <w:tcW w:w="6580" w:type="dxa"/>
            <w:vAlign w:val="bottom"/>
            <w:gridSpan w:val="3"/>
          </w:tcPr>
          <w:p>
            <w:pPr>
              <w:ind w:left="20"/>
              <w:spacing w:after="0"/>
              <w:rPr>
                <w:sz w:val="20"/>
                <w:szCs w:val="20"/>
                <w:color w:val="auto"/>
              </w:rPr>
            </w:pPr>
            <w:r>
              <w:rPr>
                <w:rFonts w:ascii="Arial" w:cs="Arial" w:eastAsia="Arial" w:hAnsi="Arial"/>
                <w:sz w:val="16"/>
                <w:szCs w:val="16"/>
                <w:color w:val="auto"/>
              </w:rPr>
              <w:t>Capital expenditures</w:t>
            </w:r>
          </w:p>
        </w:tc>
        <w:tc>
          <w:tcPr>
            <w:tcW w:w="240" w:type="dxa"/>
            <w:vAlign w:val="bottom"/>
          </w:tcPr>
          <w:p>
            <w:pPr>
              <w:spacing w:after="0"/>
              <w:rPr>
                <w:sz w:val="16"/>
                <w:szCs w:val="16"/>
                <w:color w:val="auto"/>
              </w:rPr>
            </w:pPr>
          </w:p>
        </w:tc>
        <w:tc>
          <w:tcPr>
            <w:tcW w:w="1380" w:type="dxa"/>
            <w:vAlign w:val="bottom"/>
            <w:gridSpan w:val="2"/>
          </w:tcPr>
          <w:p>
            <w:pPr>
              <w:jc w:val="right"/>
              <w:ind w:right="160"/>
              <w:spacing w:after="0"/>
              <w:rPr>
                <w:sz w:val="20"/>
                <w:szCs w:val="20"/>
                <w:color w:val="auto"/>
              </w:rPr>
            </w:pPr>
            <w:r>
              <w:rPr>
                <w:rFonts w:ascii="Arial" w:cs="Arial" w:eastAsia="Arial" w:hAnsi="Arial"/>
                <w:sz w:val="16"/>
                <w:szCs w:val="16"/>
                <w:color w:val="auto"/>
              </w:rPr>
              <w:t>(5.3 )</w:t>
            </w:r>
          </w:p>
        </w:tc>
        <w:tc>
          <w:tcPr>
            <w:tcW w:w="220" w:type="dxa"/>
            <w:vAlign w:val="bottom"/>
          </w:tcPr>
          <w:p>
            <w:pPr>
              <w:spacing w:after="0"/>
              <w:rPr>
                <w:sz w:val="16"/>
                <w:szCs w:val="16"/>
                <w:color w:val="auto"/>
              </w:rPr>
            </w:pPr>
          </w:p>
        </w:tc>
        <w:tc>
          <w:tcPr>
            <w:tcW w:w="1360" w:type="dxa"/>
            <w:vAlign w:val="bottom"/>
            <w:gridSpan w:val="2"/>
          </w:tcPr>
          <w:p>
            <w:pPr>
              <w:jc w:val="right"/>
              <w:ind w:right="59"/>
              <w:spacing w:after="0"/>
              <w:rPr>
                <w:sz w:val="20"/>
                <w:szCs w:val="20"/>
                <w:color w:val="auto"/>
              </w:rPr>
            </w:pPr>
            <w:r>
              <w:rPr>
                <w:rFonts w:ascii="Arial" w:cs="Arial" w:eastAsia="Arial" w:hAnsi="Arial"/>
                <w:sz w:val="16"/>
                <w:szCs w:val="16"/>
                <w:color w:val="auto"/>
              </w:rPr>
              <w:t>(4.2 )</w:t>
            </w:r>
          </w:p>
        </w:tc>
        <w:tc>
          <w:tcPr>
            <w:tcW w:w="220" w:type="dxa"/>
            <w:vAlign w:val="bottom"/>
          </w:tcPr>
          <w:p>
            <w:pPr>
              <w:spacing w:after="0"/>
              <w:rPr>
                <w:sz w:val="16"/>
                <w:szCs w:val="16"/>
                <w:color w:val="auto"/>
              </w:rPr>
            </w:pPr>
          </w:p>
        </w:tc>
        <w:tc>
          <w:tcPr>
            <w:tcW w:w="1240" w:type="dxa"/>
            <w:vAlign w:val="bottom"/>
            <w:gridSpan w:val="2"/>
          </w:tcPr>
          <w:p>
            <w:pPr>
              <w:jc w:val="right"/>
              <w:ind w:right="20"/>
              <w:spacing w:after="0"/>
              <w:rPr>
                <w:sz w:val="20"/>
                <w:szCs w:val="20"/>
                <w:color w:val="auto"/>
              </w:rPr>
            </w:pPr>
            <w:r>
              <w:rPr>
                <w:rFonts w:ascii="Arial" w:cs="Arial" w:eastAsia="Arial" w:hAnsi="Arial"/>
                <w:sz w:val="16"/>
                <w:szCs w:val="16"/>
                <w:color w:val="auto"/>
              </w:rPr>
              <w:t>(13.4 )</w:t>
            </w:r>
          </w:p>
        </w:tc>
      </w:tr>
      <w:tr>
        <w:trPr>
          <w:trHeight w:val="223"/>
        </w:trPr>
        <w:tc>
          <w:tcPr>
            <w:tcW w:w="20" w:type="dxa"/>
            <w:vAlign w:val="bottom"/>
            <w:tcBorders>
              <w:bottom w:val="single" w:sz="8" w:color="CFF0FC"/>
            </w:tcBorders>
            <w:shd w:val="clear" w:color="auto" w:fill="CFF0FC"/>
          </w:tcPr>
          <w:p>
            <w:pPr>
              <w:spacing w:after="0"/>
              <w:rPr>
                <w:sz w:val="19"/>
                <w:szCs w:val="19"/>
                <w:color w:val="auto"/>
              </w:rPr>
            </w:pPr>
          </w:p>
        </w:tc>
        <w:tc>
          <w:tcPr>
            <w:tcW w:w="6560" w:type="dxa"/>
            <w:vAlign w:val="bottom"/>
            <w:tcBorders>
              <w:bottom w:val="single" w:sz="8" w:color="CFF0FC"/>
            </w:tcBorders>
            <w:gridSpan w:val="2"/>
            <w:shd w:val="clear" w:color="auto" w:fill="CFF0FC"/>
          </w:tcPr>
          <w:p>
            <w:pPr>
              <w:ind w:left="180"/>
              <w:spacing w:after="0" w:line="169" w:lineRule="exact"/>
              <w:rPr>
                <w:sz w:val="20"/>
                <w:szCs w:val="20"/>
                <w:color w:val="auto"/>
              </w:rPr>
            </w:pPr>
            <w:r>
              <w:rPr>
                <w:rFonts w:ascii="Arial" w:cs="Arial" w:eastAsia="Arial" w:hAnsi="Arial"/>
                <w:sz w:val="16"/>
                <w:szCs w:val="16"/>
                <w:color w:val="auto"/>
              </w:rPr>
              <w:t>Free cash flow (non-GAAP)</w:t>
            </w:r>
          </w:p>
        </w:tc>
        <w:tc>
          <w:tcPr>
            <w:tcW w:w="240" w:type="dxa"/>
            <w:vAlign w:val="bottom"/>
            <w:tcBorders>
              <w:top w:val="single" w:sz="8" w:color="auto"/>
              <w:bottom w:val="single" w:sz="8" w:color="auto"/>
            </w:tcBorders>
            <w:shd w:val="clear" w:color="auto" w:fill="CFF0FC"/>
          </w:tcPr>
          <w:p>
            <w:pPr>
              <w:jc w:val="right"/>
              <w:ind w:right="59"/>
              <w:spacing w:after="0" w:line="169" w:lineRule="exact"/>
              <w:rPr>
                <w:sz w:val="20"/>
                <w:szCs w:val="20"/>
                <w:color w:val="auto"/>
              </w:rPr>
            </w:pPr>
            <w:r>
              <w:rPr>
                <w:rFonts w:ascii="Arial" w:cs="Arial" w:eastAsia="Arial" w:hAnsi="Arial"/>
                <w:sz w:val="16"/>
                <w:szCs w:val="16"/>
                <w:color w:val="auto"/>
                <w:w w:val="89"/>
              </w:rPr>
              <w:t>$</w:t>
            </w:r>
          </w:p>
        </w:tc>
        <w:tc>
          <w:tcPr>
            <w:tcW w:w="1160" w:type="dxa"/>
            <w:vAlign w:val="bottom"/>
            <w:tcBorders>
              <w:top w:val="single" w:sz="8" w:color="auto"/>
              <w:bottom w:val="single" w:sz="8" w:color="auto"/>
            </w:tcBorders>
            <w:shd w:val="clear" w:color="auto" w:fill="CFF0FC"/>
          </w:tcPr>
          <w:p>
            <w:pPr>
              <w:jc w:val="right"/>
              <w:spacing w:after="0" w:line="169" w:lineRule="exact"/>
              <w:rPr>
                <w:sz w:val="20"/>
                <w:szCs w:val="20"/>
                <w:color w:val="auto"/>
              </w:rPr>
            </w:pPr>
            <w:r>
              <w:rPr>
                <w:rFonts w:ascii="Arial" w:cs="Arial" w:eastAsia="Arial" w:hAnsi="Arial"/>
                <w:sz w:val="16"/>
                <w:szCs w:val="16"/>
                <w:color w:val="auto"/>
              </w:rPr>
              <w:t>70.3</w:t>
            </w:r>
          </w:p>
        </w:tc>
        <w:tc>
          <w:tcPr>
            <w:tcW w:w="22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jc w:val="right"/>
              <w:ind w:right="39"/>
              <w:spacing w:after="0" w:line="169" w:lineRule="exact"/>
              <w:rPr>
                <w:sz w:val="20"/>
                <w:szCs w:val="20"/>
                <w:color w:val="auto"/>
              </w:rPr>
            </w:pPr>
            <w:r>
              <w:rPr>
                <w:rFonts w:ascii="Arial" w:cs="Arial" w:eastAsia="Arial" w:hAnsi="Arial"/>
                <w:sz w:val="16"/>
                <w:szCs w:val="16"/>
                <w:color w:val="auto"/>
                <w:w w:val="89"/>
              </w:rPr>
              <w:t>$</w:t>
            </w:r>
          </w:p>
        </w:tc>
        <w:tc>
          <w:tcPr>
            <w:tcW w:w="1140" w:type="dxa"/>
            <w:vAlign w:val="bottom"/>
            <w:tcBorders>
              <w:top w:val="single" w:sz="8" w:color="auto"/>
              <w:bottom w:val="single" w:sz="8" w:color="auto"/>
            </w:tcBorders>
            <w:shd w:val="clear" w:color="auto" w:fill="CFF0FC"/>
          </w:tcPr>
          <w:p>
            <w:pPr>
              <w:jc w:val="right"/>
              <w:spacing w:after="0" w:line="169" w:lineRule="exact"/>
              <w:rPr>
                <w:sz w:val="20"/>
                <w:szCs w:val="20"/>
                <w:color w:val="auto"/>
              </w:rPr>
            </w:pPr>
            <w:r>
              <w:rPr>
                <w:rFonts w:ascii="Arial" w:cs="Arial" w:eastAsia="Arial" w:hAnsi="Arial"/>
                <w:sz w:val="16"/>
                <w:szCs w:val="16"/>
                <w:color w:val="auto"/>
              </w:rPr>
              <w:t>(5.5</w:t>
            </w:r>
          </w:p>
        </w:tc>
        <w:tc>
          <w:tcPr>
            <w:tcW w:w="220" w:type="dxa"/>
            <w:vAlign w:val="bottom"/>
            <w:tcBorders>
              <w:bottom w:val="single" w:sz="8" w:color="CFF0FC"/>
            </w:tcBorders>
            <w:shd w:val="clear" w:color="auto" w:fill="CFF0FC"/>
          </w:tcPr>
          <w:p>
            <w:pPr>
              <w:jc w:val="right"/>
              <w:ind w:right="59"/>
              <w:spacing w:after="0" w:line="169" w:lineRule="exact"/>
              <w:rPr>
                <w:sz w:val="20"/>
                <w:szCs w:val="20"/>
                <w:color w:val="auto"/>
              </w:rPr>
            </w:pPr>
            <w:r>
              <w:rPr>
                <w:rFonts w:ascii="Arial" w:cs="Arial" w:eastAsia="Arial" w:hAnsi="Arial"/>
                <w:sz w:val="16"/>
                <w:szCs w:val="16"/>
                <w:color w:val="auto"/>
              </w:rPr>
              <w:t>)</w:t>
            </w:r>
          </w:p>
        </w:tc>
        <w:tc>
          <w:tcPr>
            <w:tcW w:w="220" w:type="dxa"/>
            <w:vAlign w:val="bottom"/>
            <w:tcBorders>
              <w:top w:val="single" w:sz="8" w:color="auto"/>
              <w:bottom w:val="single" w:sz="8" w:color="auto"/>
            </w:tcBorders>
            <w:shd w:val="clear" w:color="auto" w:fill="CFF0FC"/>
          </w:tcPr>
          <w:p>
            <w:pPr>
              <w:jc w:val="right"/>
              <w:ind w:right="39"/>
              <w:spacing w:after="0" w:line="169" w:lineRule="exact"/>
              <w:rPr>
                <w:sz w:val="20"/>
                <w:szCs w:val="20"/>
                <w:color w:val="auto"/>
              </w:rPr>
            </w:pPr>
            <w:r>
              <w:rPr>
                <w:rFonts w:ascii="Arial" w:cs="Arial" w:eastAsia="Arial" w:hAnsi="Arial"/>
                <w:sz w:val="16"/>
                <w:szCs w:val="16"/>
                <w:color w:val="auto"/>
                <w:w w:val="89"/>
              </w:rPr>
              <w:t>$</w:t>
            </w:r>
          </w:p>
        </w:tc>
        <w:tc>
          <w:tcPr>
            <w:tcW w:w="1140" w:type="dxa"/>
            <w:vAlign w:val="bottom"/>
            <w:tcBorders>
              <w:top w:val="single" w:sz="8" w:color="auto"/>
              <w:bottom w:val="single" w:sz="8" w:color="auto"/>
            </w:tcBorders>
            <w:shd w:val="clear" w:color="auto" w:fill="CFF0FC"/>
          </w:tcPr>
          <w:p>
            <w:pPr>
              <w:jc w:val="right"/>
              <w:spacing w:after="0" w:line="169" w:lineRule="exact"/>
              <w:rPr>
                <w:sz w:val="20"/>
                <w:szCs w:val="20"/>
                <w:color w:val="auto"/>
              </w:rPr>
            </w:pPr>
            <w:r>
              <w:rPr>
                <w:rFonts w:ascii="Arial" w:cs="Arial" w:eastAsia="Arial" w:hAnsi="Arial"/>
                <w:sz w:val="16"/>
                <w:szCs w:val="16"/>
                <w:color w:val="auto"/>
              </w:rPr>
              <w:t>2.4</w:t>
            </w:r>
          </w:p>
        </w:tc>
        <w:tc>
          <w:tcPr>
            <w:tcW w:w="100" w:type="dxa"/>
            <w:vAlign w:val="bottom"/>
            <w:tcBorders>
              <w:bottom w:val="single" w:sz="8" w:color="CFF0FC"/>
            </w:tcBorders>
            <w:shd w:val="clear" w:color="auto" w:fill="CFF0FC"/>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5062855</wp:posOffset>
            </wp:positionH>
            <wp:positionV relativeFrom="paragraph">
              <wp:posOffset>-25400</wp:posOffset>
            </wp:positionV>
            <wp:extent cx="6858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-7620</wp:posOffset>
            </wp:positionV>
            <wp:extent cx="6858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-25400</wp:posOffset>
            </wp:positionV>
            <wp:extent cx="5969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-7620</wp:posOffset>
            </wp:positionV>
            <wp:extent cx="5969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-25400</wp:posOffset>
            </wp:positionV>
            <wp:extent cx="5969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-7620</wp:posOffset>
            </wp:positionV>
            <wp:extent cx="5969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9690" cy="8255"/>
                    </a:xfrm>
                    <a:prstGeom prst="rect">
                      <a:avLst/>
                    </a:prstGeom>
                    <a:noFill/>
                  </pic:spPr>
                </pic:pic>
              </a:graphicData>
            </a:graphic>
          </wp:anchor>
        </w:drawing>
      </w:r>
    </w:p>
    <w:p>
      <w:pPr>
        <w:spacing w:after="0" w:line="85"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Non-GAAP Measures</w:t>
      </w:r>
    </w:p>
    <w:p>
      <w:pPr>
        <w:spacing w:after="0" w:line="135" w:lineRule="exact"/>
        <w:rPr>
          <w:sz w:val="20"/>
          <w:szCs w:val="20"/>
          <w:color w:val="auto"/>
        </w:rPr>
      </w:pPr>
    </w:p>
    <w:p>
      <w:pPr>
        <w:ind w:right="440"/>
        <w:spacing w:after="0" w:line="300" w:lineRule="auto"/>
        <w:rPr>
          <w:sz w:val="20"/>
          <w:szCs w:val="20"/>
          <w:color w:val="auto"/>
        </w:rPr>
      </w:pPr>
      <w:r>
        <w:rPr>
          <w:rFonts w:ascii="Arial" w:cs="Arial" w:eastAsia="Arial" w:hAnsi="Arial"/>
          <w:sz w:val="18"/>
          <w:szCs w:val="18"/>
          <w:color w:val="auto"/>
        </w:rPr>
        <w:t>Adjusted EBITDA, adjusted EBITDA margin and free cash flow are non-GAAP financial measures. Please see “Non-GAAP Measures” below and reconciliations of these non-GAAP measures to the comparable GAAP measures that follow in the tables below.</w:t>
      </w:r>
    </w:p>
    <w:p>
      <w:pPr>
        <w:spacing w:after="0" w:line="77"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Balance Sheet &amp; Liquidity</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color w:val="auto"/>
        </w:rPr>
        <w:t>At January 29, 2022, we had a cash balance of $15.5 million, with no outstanding debt and excess availability under our credit facility of</w:t>
      </w:r>
    </w:p>
    <w:p>
      <w:pPr>
        <w:spacing w:after="0" w:line="43" w:lineRule="exact"/>
        <w:rPr>
          <w:sz w:val="20"/>
          <w:szCs w:val="20"/>
          <w:color w:val="auto"/>
        </w:rPr>
      </w:pPr>
    </w:p>
    <w:p>
      <w:pPr>
        <w:spacing w:after="0"/>
        <w:rPr>
          <w:sz w:val="20"/>
          <w:szCs w:val="20"/>
          <w:color w:val="auto"/>
        </w:rPr>
      </w:pPr>
      <w:r>
        <w:rPr>
          <w:rFonts w:ascii="Arial" w:cs="Arial" w:eastAsia="Arial" w:hAnsi="Arial"/>
          <w:sz w:val="18"/>
          <w:szCs w:val="18"/>
          <w:color w:val="auto"/>
        </w:rPr>
        <w:t>$68.9 million. This compares to total debt outstanding, net of cash, of $55.4 million and remaining availability under the credit facility of</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$11.5 million at January 30, 2021 and total debt outstanding, net of cash, of $49.8 million and remaining availability under the credit facility</w:t>
      </w:r>
    </w:p>
    <w:p>
      <w:pPr>
        <w:spacing w:after="0" w:line="36" w:lineRule="exact"/>
        <w:rPr>
          <w:sz w:val="20"/>
          <w:szCs w:val="20"/>
          <w:color w:val="auto"/>
        </w:rPr>
      </w:pPr>
    </w:p>
    <w:p>
      <w:pPr>
        <w:spacing w:after="0"/>
        <w:rPr>
          <w:sz w:val="20"/>
          <w:szCs w:val="20"/>
          <w:color w:val="auto"/>
        </w:rPr>
      </w:pPr>
      <w:r>
        <w:rPr>
          <w:rFonts w:ascii="Arial" w:cs="Arial" w:eastAsia="Arial" w:hAnsi="Arial"/>
          <w:sz w:val="20"/>
          <w:szCs w:val="20"/>
          <w:color w:val="auto"/>
        </w:rPr>
        <w:t>of $48.5 million at February 1, 2020.</w:t>
      </w:r>
    </w:p>
    <w:p>
      <w:pPr>
        <w:spacing w:after="0" w:line="141" w:lineRule="exact"/>
        <w:rPr>
          <w:sz w:val="20"/>
          <w:szCs w:val="20"/>
          <w:color w:val="auto"/>
        </w:rPr>
      </w:pPr>
    </w:p>
    <w:p>
      <w:pPr>
        <w:ind w:right="140"/>
        <w:spacing w:after="0" w:line="291" w:lineRule="auto"/>
        <w:rPr>
          <w:sz w:val="20"/>
          <w:szCs w:val="20"/>
          <w:color w:val="auto"/>
        </w:rPr>
      </w:pPr>
      <w:r>
        <w:rPr>
          <w:rFonts w:ascii="Arial" w:cs="Arial" w:eastAsia="Arial" w:hAnsi="Arial"/>
          <w:sz w:val="18"/>
          <w:szCs w:val="18"/>
          <w:color w:val="auto"/>
        </w:rPr>
        <w:t>Inventory was $81.8 million at January 29, 2022, as compared to $85.0 million at January 30, 2021 and $102.4 million at February 1, 2020. Maintaining sufficient inventory levels, given the ongoing supply chain disruptions, remains a primary focus. We believe that we have secured sufficient inventory to support our current sales forecast. We are continuing to manage our inventory conservatively, narrowing our assortments and increasing exclusivity with our national brands. As a result, we were able to increase our inventory turnover to over 2.0 times as compared to historical turnover of approximately 1.5 times. At January 29, 2022, our inventory was current, with clearance inventory representing only 6.0%, as compared to 10.4% at January 30, 2021 and 10.0% at February 1, 2020.</w:t>
      </w:r>
    </w:p>
    <w:p>
      <w:pPr>
        <w:spacing w:after="0" w:line="8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194945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60" w:right="339" w:bottom="1440" w:gutter="0" w:footer="0" w:header="0"/>
        </w:sectPr>
      </w:pPr>
    </w:p>
    <w:bookmarkStart w:id="8" w:name="page9"/>
    <w:bookmarkEnd w:id="8"/>
    <w:p>
      <w:pPr>
        <w:spacing w:after="0"/>
        <w:rPr>
          <w:sz w:val="20"/>
          <w:szCs w:val="20"/>
          <w:color w:val="auto"/>
        </w:rPr>
      </w:pPr>
      <w:r>
        <w:rPr>
          <w:rFonts w:ascii="Arial" w:cs="Arial" w:eastAsia="Arial" w:hAnsi="Arial"/>
          <w:sz w:val="20"/>
          <w:szCs w:val="20"/>
          <w:b w:val="1"/>
          <w:bCs w:val="1"/>
          <w:u w:val="single" w:color="auto"/>
          <w:color w:val="auto"/>
        </w:rPr>
        <w:t>Store Information</w:t>
      </w:r>
    </w:p>
    <w:p>
      <w:pPr>
        <w:spacing w:after="0" w:line="168" w:lineRule="exact"/>
        <w:rPr>
          <w:sz w:val="20"/>
          <w:szCs w:val="20"/>
          <w:color w:val="auto"/>
        </w:rPr>
      </w:pPr>
    </w:p>
    <w:p>
      <w:pPr>
        <w:spacing w:after="0"/>
        <w:rPr>
          <w:sz w:val="20"/>
          <w:szCs w:val="20"/>
          <w:color w:val="auto"/>
        </w:rPr>
      </w:pPr>
      <w:r>
        <w:rPr>
          <w:rFonts w:ascii="Arial" w:cs="Arial" w:eastAsia="Arial" w:hAnsi="Arial"/>
          <w:sz w:val="20"/>
          <w:szCs w:val="20"/>
          <w:color w:val="auto"/>
        </w:rPr>
        <w:t>During fiscal 2021, the Company closed 21 stores. There were no new or rebranded stores during fiscal 2021.</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2460" w:type="dxa"/>
            <w:vAlign w:val="bottom"/>
          </w:tcPr>
          <w:p>
            <w:pPr>
              <w:spacing w:after="0"/>
              <w:rPr>
                <w:sz w:val="18"/>
                <w:szCs w:val="18"/>
                <w:color w:val="auto"/>
              </w:rPr>
            </w:pPr>
          </w:p>
        </w:tc>
        <w:tc>
          <w:tcPr>
            <w:tcW w:w="2440" w:type="dxa"/>
            <w:vAlign w:val="bottom"/>
            <w:gridSpan w:val="4"/>
          </w:tcPr>
          <w:p>
            <w:pPr>
              <w:ind w:left="900"/>
              <w:spacing w:after="0"/>
              <w:rPr>
                <w:sz w:val="20"/>
                <w:szCs w:val="20"/>
                <w:color w:val="auto"/>
              </w:rPr>
            </w:pPr>
            <w:r>
              <w:rPr>
                <w:rFonts w:ascii="Arial" w:cs="Arial" w:eastAsia="Arial" w:hAnsi="Arial"/>
                <w:sz w:val="18"/>
                <w:szCs w:val="18"/>
                <w:color w:val="auto"/>
              </w:rPr>
              <w:t>Year End 2019</w:t>
            </w: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80" w:type="dxa"/>
            <w:vAlign w:val="bottom"/>
            <w:gridSpan w:val="3"/>
          </w:tcPr>
          <w:p>
            <w:pPr>
              <w:jc w:val="right"/>
              <w:ind w:right="810"/>
              <w:spacing w:after="0"/>
              <w:rPr>
                <w:sz w:val="20"/>
                <w:szCs w:val="20"/>
                <w:color w:val="auto"/>
              </w:rPr>
            </w:pPr>
            <w:r>
              <w:rPr>
                <w:rFonts w:ascii="Arial" w:cs="Arial" w:eastAsia="Arial" w:hAnsi="Arial"/>
                <w:sz w:val="18"/>
                <w:szCs w:val="18"/>
                <w:color w:val="auto"/>
              </w:rPr>
              <w:t>Year End 2020</w:t>
            </w:r>
          </w:p>
        </w:tc>
        <w:tc>
          <w:tcPr>
            <w:tcW w:w="60" w:type="dxa"/>
            <w:vAlign w:val="bottom"/>
          </w:tcPr>
          <w:p>
            <w:pPr>
              <w:spacing w:after="0"/>
              <w:rPr>
                <w:sz w:val="18"/>
                <w:szCs w:val="18"/>
                <w:color w:val="auto"/>
              </w:rPr>
            </w:pPr>
          </w:p>
        </w:tc>
        <w:tc>
          <w:tcPr>
            <w:tcW w:w="2880" w:type="dxa"/>
            <w:vAlign w:val="bottom"/>
            <w:gridSpan w:val="4"/>
          </w:tcPr>
          <w:p>
            <w:pPr>
              <w:ind w:left="880"/>
              <w:spacing w:after="0"/>
              <w:rPr>
                <w:sz w:val="20"/>
                <w:szCs w:val="20"/>
                <w:color w:val="auto"/>
              </w:rPr>
            </w:pPr>
            <w:r>
              <w:rPr>
                <w:rFonts w:ascii="Arial" w:cs="Arial" w:eastAsia="Arial" w:hAnsi="Arial"/>
                <w:sz w:val="18"/>
                <w:szCs w:val="18"/>
                <w:color w:val="auto"/>
              </w:rPr>
              <w:t>Year End 2021</w:t>
            </w:r>
          </w:p>
        </w:tc>
      </w:tr>
      <w:tr>
        <w:trPr>
          <w:trHeight w:val="162"/>
        </w:trPr>
        <w:tc>
          <w:tcPr>
            <w:tcW w:w="2460" w:type="dxa"/>
            <w:vAlign w:val="bottom"/>
            <w:shd w:val="clear" w:color="auto" w:fill="CFF0FC"/>
          </w:tcPr>
          <w:p>
            <w:pPr>
              <w:spacing w:after="0"/>
              <w:rPr>
                <w:sz w:val="14"/>
                <w:szCs w:val="14"/>
                <w:color w:val="auto"/>
              </w:rPr>
            </w:pPr>
          </w:p>
        </w:tc>
        <w:tc>
          <w:tcPr>
            <w:tcW w:w="1020" w:type="dxa"/>
            <w:vAlign w:val="bottom"/>
            <w:shd w:val="clear" w:color="auto" w:fill="CFF0FC"/>
          </w:tcPr>
          <w:p>
            <w:pPr>
              <w:jc w:val="center"/>
              <w:ind w:left="290"/>
              <w:spacing w:after="0" w:line="162" w:lineRule="exact"/>
              <w:rPr>
                <w:sz w:val="20"/>
                <w:szCs w:val="20"/>
                <w:color w:val="auto"/>
              </w:rPr>
            </w:pPr>
            <w:r>
              <w:rPr>
                <w:rFonts w:ascii="Arial" w:cs="Arial" w:eastAsia="Arial" w:hAnsi="Arial"/>
                <w:sz w:val="18"/>
                <w:szCs w:val="18"/>
                <w:color w:val="auto"/>
                <w:w w:val="93"/>
              </w:rPr>
              <w:t># of</w:t>
            </w:r>
          </w:p>
        </w:tc>
        <w:tc>
          <w:tcPr>
            <w:tcW w:w="3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960" w:type="dxa"/>
            <w:vAlign w:val="bottom"/>
            <w:shd w:val="clear" w:color="auto" w:fill="CFF0FC"/>
          </w:tcPr>
          <w:p>
            <w:pPr>
              <w:ind w:left="460"/>
              <w:spacing w:after="0" w:line="162" w:lineRule="exact"/>
              <w:rPr>
                <w:sz w:val="20"/>
                <w:szCs w:val="20"/>
                <w:color w:val="auto"/>
              </w:rPr>
            </w:pPr>
            <w:r>
              <w:rPr>
                <w:rFonts w:ascii="Arial" w:cs="Arial" w:eastAsia="Arial" w:hAnsi="Arial"/>
                <w:sz w:val="18"/>
                <w:szCs w:val="18"/>
                <w:color w:val="auto"/>
                <w:w w:val="99"/>
              </w:rPr>
              <w:t>Sq Ft.</w:t>
            </w:r>
          </w:p>
        </w:tc>
        <w:tc>
          <w:tcPr>
            <w:tcW w:w="4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400" w:type="dxa"/>
            <w:vAlign w:val="bottom"/>
            <w:shd w:val="clear" w:color="auto" w:fill="CFF0FC"/>
          </w:tcPr>
          <w:p>
            <w:pPr>
              <w:jc w:val="right"/>
              <w:ind w:right="470"/>
              <w:spacing w:after="0" w:line="162" w:lineRule="exact"/>
              <w:rPr>
                <w:sz w:val="20"/>
                <w:szCs w:val="20"/>
                <w:color w:val="auto"/>
              </w:rPr>
            </w:pPr>
            <w:r>
              <w:rPr>
                <w:rFonts w:ascii="Arial" w:cs="Arial" w:eastAsia="Arial" w:hAnsi="Arial"/>
                <w:sz w:val="18"/>
                <w:szCs w:val="18"/>
                <w:color w:val="auto"/>
              </w:rPr>
              <w:t># of</w:t>
            </w:r>
          </w:p>
        </w:tc>
        <w:tc>
          <w:tcPr>
            <w:tcW w:w="80" w:type="dxa"/>
            <w:vAlign w:val="bottom"/>
            <w:shd w:val="clear" w:color="auto" w:fill="CFF0FC"/>
          </w:tcPr>
          <w:p>
            <w:pPr>
              <w:spacing w:after="0"/>
              <w:rPr>
                <w:sz w:val="14"/>
                <w:szCs w:val="14"/>
                <w:color w:val="auto"/>
              </w:rPr>
            </w:pPr>
          </w:p>
        </w:tc>
        <w:tc>
          <w:tcPr>
            <w:tcW w:w="1400" w:type="dxa"/>
            <w:vAlign w:val="bottom"/>
            <w:shd w:val="clear" w:color="auto" w:fill="CFF0FC"/>
          </w:tcPr>
          <w:p>
            <w:pPr>
              <w:jc w:val="right"/>
              <w:ind w:right="430"/>
              <w:spacing w:after="0" w:line="162" w:lineRule="exact"/>
              <w:rPr>
                <w:sz w:val="20"/>
                <w:szCs w:val="20"/>
                <w:color w:val="auto"/>
              </w:rPr>
            </w:pPr>
            <w:r>
              <w:rPr>
                <w:rFonts w:ascii="Arial" w:cs="Arial" w:eastAsia="Arial" w:hAnsi="Arial"/>
                <w:sz w:val="18"/>
                <w:szCs w:val="18"/>
                <w:color w:val="auto"/>
              </w:rPr>
              <w:t>Sq Ft.</w:t>
            </w:r>
          </w:p>
        </w:tc>
        <w:tc>
          <w:tcPr>
            <w:tcW w:w="60" w:type="dxa"/>
            <w:vAlign w:val="bottom"/>
            <w:shd w:val="clear" w:color="auto" w:fill="CFF0FC"/>
          </w:tcPr>
          <w:p>
            <w:pPr>
              <w:spacing w:after="0"/>
              <w:rPr>
                <w:sz w:val="14"/>
                <w:szCs w:val="14"/>
                <w:color w:val="auto"/>
              </w:rPr>
            </w:pPr>
          </w:p>
        </w:tc>
        <w:tc>
          <w:tcPr>
            <w:tcW w:w="1360" w:type="dxa"/>
            <w:vAlign w:val="bottom"/>
            <w:shd w:val="clear" w:color="auto" w:fill="CFF0FC"/>
          </w:tcPr>
          <w:p>
            <w:pPr>
              <w:jc w:val="right"/>
              <w:ind w:right="450"/>
              <w:spacing w:after="0" w:line="162" w:lineRule="exact"/>
              <w:rPr>
                <w:sz w:val="20"/>
                <w:szCs w:val="20"/>
                <w:color w:val="auto"/>
              </w:rPr>
            </w:pPr>
            <w:r>
              <w:rPr>
                <w:rFonts w:ascii="Arial" w:cs="Arial" w:eastAsia="Arial" w:hAnsi="Arial"/>
                <w:sz w:val="18"/>
                <w:szCs w:val="18"/>
                <w:color w:val="auto"/>
              </w:rPr>
              <w:t># of</w:t>
            </w:r>
          </w:p>
        </w:tc>
        <w:tc>
          <w:tcPr>
            <w:tcW w:w="80" w:type="dxa"/>
            <w:vAlign w:val="bottom"/>
            <w:shd w:val="clear" w:color="auto" w:fill="CFF0FC"/>
          </w:tcPr>
          <w:p>
            <w:pPr>
              <w:spacing w:after="0"/>
              <w:rPr>
                <w:sz w:val="14"/>
                <w:szCs w:val="14"/>
                <w:color w:val="auto"/>
              </w:rPr>
            </w:pPr>
          </w:p>
        </w:tc>
        <w:tc>
          <w:tcPr>
            <w:tcW w:w="1440" w:type="dxa"/>
            <w:vAlign w:val="bottom"/>
            <w:gridSpan w:val="2"/>
            <w:shd w:val="clear" w:color="auto" w:fill="CFF0FC"/>
          </w:tcPr>
          <w:p>
            <w:pPr>
              <w:ind w:left="440"/>
              <w:spacing w:after="0" w:line="162" w:lineRule="exact"/>
              <w:rPr>
                <w:sz w:val="20"/>
                <w:szCs w:val="20"/>
                <w:color w:val="auto"/>
              </w:rPr>
            </w:pPr>
            <w:r>
              <w:rPr>
                <w:rFonts w:ascii="Arial" w:cs="Arial" w:eastAsia="Arial" w:hAnsi="Arial"/>
                <w:sz w:val="18"/>
                <w:szCs w:val="18"/>
                <w:color w:val="auto"/>
              </w:rPr>
              <w:t>Sq Ft.</w:t>
            </w:r>
          </w:p>
        </w:tc>
      </w:tr>
      <w:tr>
        <w:trPr>
          <w:trHeight w:val="216"/>
        </w:trPr>
        <w:tc>
          <w:tcPr>
            <w:tcW w:w="2460" w:type="dxa"/>
            <w:vAlign w:val="bottom"/>
            <w:tcBorders>
              <w:bottom w:val="single" w:sz="8" w:color="CFF0FC"/>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center"/>
              <w:ind w:left="330"/>
              <w:spacing w:after="0"/>
              <w:rPr>
                <w:sz w:val="20"/>
                <w:szCs w:val="20"/>
                <w:color w:val="auto"/>
              </w:rPr>
            </w:pPr>
            <w:r>
              <w:rPr>
                <w:rFonts w:ascii="Arial" w:cs="Arial" w:eastAsia="Arial" w:hAnsi="Arial"/>
                <w:sz w:val="18"/>
                <w:szCs w:val="18"/>
                <w:color w:val="auto"/>
                <w:w w:val="84"/>
              </w:rPr>
              <w:t>Stores</w:t>
            </w:r>
          </w:p>
        </w:tc>
        <w:tc>
          <w:tcPr>
            <w:tcW w:w="380" w:type="dxa"/>
            <w:vAlign w:val="bottom"/>
            <w:tcBorders>
              <w:bottom w:val="single" w:sz="8" w:color="auto"/>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ind w:left="440"/>
              <w:spacing w:after="0"/>
              <w:rPr>
                <w:sz w:val="20"/>
                <w:szCs w:val="20"/>
                <w:color w:val="auto"/>
              </w:rPr>
            </w:pPr>
            <w:r>
              <w:rPr>
                <w:rFonts w:ascii="Arial" w:cs="Arial" w:eastAsia="Arial" w:hAnsi="Arial"/>
                <w:sz w:val="18"/>
                <w:szCs w:val="18"/>
                <w:color w:val="auto"/>
                <w:w w:val="90"/>
              </w:rPr>
              <w:t>(000’s)</w:t>
            </w:r>
          </w:p>
        </w:tc>
        <w:tc>
          <w:tcPr>
            <w:tcW w:w="440" w:type="dxa"/>
            <w:vAlign w:val="bottom"/>
            <w:tcBorders>
              <w:bottom w:val="single" w:sz="8" w:color="auto"/>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1400" w:type="dxa"/>
            <w:vAlign w:val="bottom"/>
            <w:tcBorders>
              <w:bottom w:val="single" w:sz="8" w:color="auto"/>
            </w:tcBorders>
            <w:shd w:val="clear" w:color="auto" w:fill="CFF0FC"/>
          </w:tcPr>
          <w:p>
            <w:pPr>
              <w:jc w:val="right"/>
              <w:ind w:right="370"/>
              <w:spacing w:after="0"/>
              <w:rPr>
                <w:sz w:val="20"/>
                <w:szCs w:val="20"/>
                <w:color w:val="auto"/>
              </w:rPr>
            </w:pPr>
            <w:r>
              <w:rPr>
                <w:rFonts w:ascii="Arial" w:cs="Arial" w:eastAsia="Arial" w:hAnsi="Arial"/>
                <w:sz w:val="18"/>
                <w:szCs w:val="18"/>
                <w:color w:val="auto"/>
              </w:rPr>
              <w:t>Stores</w:t>
            </w:r>
          </w:p>
        </w:tc>
        <w:tc>
          <w:tcPr>
            <w:tcW w:w="80" w:type="dxa"/>
            <w:vAlign w:val="bottom"/>
            <w:tcBorders>
              <w:bottom w:val="single" w:sz="8" w:color="CFF0FC"/>
            </w:tcBorders>
            <w:shd w:val="clear" w:color="auto" w:fill="CFF0FC"/>
          </w:tcPr>
          <w:p>
            <w:pPr>
              <w:spacing w:after="0"/>
              <w:rPr>
                <w:sz w:val="18"/>
                <w:szCs w:val="18"/>
                <w:color w:val="auto"/>
              </w:rPr>
            </w:pPr>
          </w:p>
        </w:tc>
        <w:tc>
          <w:tcPr>
            <w:tcW w:w="1400" w:type="dxa"/>
            <w:vAlign w:val="bottom"/>
            <w:tcBorders>
              <w:bottom w:val="single" w:sz="8" w:color="auto"/>
            </w:tcBorders>
            <w:shd w:val="clear" w:color="auto" w:fill="CFF0FC"/>
          </w:tcPr>
          <w:p>
            <w:pPr>
              <w:jc w:val="right"/>
              <w:ind w:right="350"/>
              <w:spacing w:after="0"/>
              <w:rPr>
                <w:sz w:val="20"/>
                <w:szCs w:val="20"/>
                <w:color w:val="auto"/>
              </w:rPr>
            </w:pPr>
            <w:r>
              <w:rPr>
                <w:rFonts w:ascii="Arial" w:cs="Arial" w:eastAsia="Arial" w:hAnsi="Arial"/>
                <w:sz w:val="18"/>
                <w:szCs w:val="18"/>
                <w:color w:val="auto"/>
              </w:rPr>
              <w:t>(000’s)</w:t>
            </w:r>
          </w:p>
        </w:tc>
        <w:tc>
          <w:tcPr>
            <w:tcW w:w="60" w:type="dxa"/>
            <w:vAlign w:val="bottom"/>
            <w:tcBorders>
              <w:bottom w:val="single" w:sz="8" w:color="CFF0FC"/>
            </w:tcBorders>
            <w:shd w:val="clear" w:color="auto" w:fill="CFF0FC"/>
          </w:tcPr>
          <w:p>
            <w:pPr>
              <w:spacing w:after="0"/>
              <w:rPr>
                <w:sz w:val="18"/>
                <w:szCs w:val="18"/>
                <w:color w:val="auto"/>
              </w:rPr>
            </w:pPr>
          </w:p>
        </w:tc>
        <w:tc>
          <w:tcPr>
            <w:tcW w:w="1360" w:type="dxa"/>
            <w:vAlign w:val="bottom"/>
            <w:tcBorders>
              <w:bottom w:val="single" w:sz="8" w:color="auto"/>
            </w:tcBorders>
            <w:shd w:val="clear" w:color="auto" w:fill="CFF0FC"/>
          </w:tcPr>
          <w:p>
            <w:pPr>
              <w:jc w:val="right"/>
              <w:ind w:right="330"/>
              <w:spacing w:after="0"/>
              <w:rPr>
                <w:sz w:val="20"/>
                <w:szCs w:val="20"/>
                <w:color w:val="auto"/>
              </w:rPr>
            </w:pPr>
            <w:r>
              <w:rPr>
                <w:rFonts w:ascii="Arial" w:cs="Arial" w:eastAsia="Arial" w:hAnsi="Arial"/>
                <w:sz w:val="18"/>
                <w:szCs w:val="18"/>
                <w:color w:val="auto"/>
              </w:rPr>
              <w:t>Stores</w:t>
            </w:r>
          </w:p>
        </w:tc>
        <w:tc>
          <w:tcPr>
            <w:tcW w:w="80" w:type="dxa"/>
            <w:vAlign w:val="bottom"/>
            <w:tcBorders>
              <w:bottom w:val="single" w:sz="8" w:color="CFF0FC"/>
            </w:tcBorders>
            <w:shd w:val="clear" w:color="auto" w:fill="CFF0FC"/>
          </w:tcPr>
          <w:p>
            <w:pPr>
              <w:spacing w:after="0"/>
              <w:rPr>
                <w:sz w:val="18"/>
                <w:szCs w:val="18"/>
                <w:color w:val="auto"/>
              </w:rPr>
            </w:pPr>
          </w:p>
        </w:tc>
        <w:tc>
          <w:tcPr>
            <w:tcW w:w="1380" w:type="dxa"/>
            <w:vAlign w:val="bottom"/>
            <w:tcBorders>
              <w:bottom w:val="single" w:sz="8" w:color="auto"/>
            </w:tcBorders>
            <w:shd w:val="clear" w:color="auto" w:fill="CFF0FC"/>
          </w:tcPr>
          <w:p>
            <w:pPr>
              <w:jc w:val="right"/>
              <w:ind w:right="350"/>
              <w:spacing w:after="0"/>
              <w:rPr>
                <w:sz w:val="20"/>
                <w:szCs w:val="20"/>
                <w:color w:val="auto"/>
              </w:rPr>
            </w:pPr>
            <w:r>
              <w:rPr>
                <w:rFonts w:ascii="Arial" w:cs="Arial" w:eastAsia="Arial" w:hAnsi="Arial"/>
                <w:sz w:val="18"/>
                <w:szCs w:val="18"/>
                <w:color w:val="auto"/>
              </w:rPr>
              <w:t>(000’s)</w:t>
            </w:r>
          </w:p>
        </w:tc>
        <w:tc>
          <w:tcPr>
            <w:tcW w:w="60" w:type="dxa"/>
            <w:vAlign w:val="bottom"/>
            <w:tcBorders>
              <w:bottom w:val="single" w:sz="8" w:color="CFF0FC"/>
            </w:tcBorders>
            <w:shd w:val="clear" w:color="auto" w:fill="CFF0FC"/>
          </w:tcPr>
          <w:p>
            <w:pPr>
              <w:spacing w:after="0"/>
              <w:rPr>
                <w:sz w:val="18"/>
                <w:szCs w:val="18"/>
                <w:color w:val="auto"/>
              </w:rPr>
            </w:pPr>
          </w:p>
        </w:tc>
      </w:tr>
      <w:tr>
        <w:trPr>
          <w:trHeight w:val="196"/>
        </w:trPr>
        <w:tc>
          <w:tcPr>
            <w:tcW w:w="3480" w:type="dxa"/>
            <w:vAlign w:val="bottom"/>
            <w:gridSpan w:val="2"/>
          </w:tcPr>
          <w:p>
            <w:pPr>
              <w:ind w:left="20"/>
              <w:spacing w:after="0" w:line="196" w:lineRule="exact"/>
              <w:rPr>
                <w:sz w:val="20"/>
                <w:szCs w:val="20"/>
                <w:color w:val="auto"/>
              </w:rPr>
            </w:pPr>
            <w:r>
              <w:rPr>
                <w:rFonts w:ascii="Arial" w:cs="Arial" w:eastAsia="Arial" w:hAnsi="Arial"/>
                <w:sz w:val="18"/>
                <w:szCs w:val="18"/>
                <w:color w:val="auto"/>
              </w:rPr>
              <w:t>DXL retail</w:t>
            </w:r>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rPr>
              <w:t>228</w:t>
            </w:r>
          </w:p>
        </w:tc>
        <w:tc>
          <w:tcPr>
            <w:tcW w:w="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440" w:type="dxa"/>
            <w:vAlign w:val="bottom"/>
          </w:tcPr>
          <w:p>
            <w:pPr>
              <w:jc w:val="right"/>
              <w:spacing w:after="0" w:line="196" w:lineRule="exact"/>
              <w:rPr>
                <w:sz w:val="20"/>
                <w:szCs w:val="20"/>
                <w:color w:val="auto"/>
              </w:rPr>
            </w:pPr>
            <w:r>
              <w:rPr>
                <w:rFonts w:ascii="Arial" w:cs="Arial" w:eastAsia="Arial" w:hAnsi="Arial"/>
                <w:sz w:val="18"/>
                <w:szCs w:val="18"/>
                <w:color w:val="auto"/>
                <w:w w:val="88"/>
              </w:rPr>
              <w:t>1,729</w:t>
            </w:r>
          </w:p>
        </w:tc>
        <w:tc>
          <w:tcPr>
            <w:tcW w:w="148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226</w:t>
            </w:r>
          </w:p>
        </w:tc>
        <w:tc>
          <w:tcPr>
            <w:tcW w:w="148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1,718</w:t>
            </w:r>
          </w:p>
        </w:tc>
        <w:tc>
          <w:tcPr>
            <w:tcW w:w="142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220</w:t>
            </w:r>
          </w:p>
        </w:tc>
        <w:tc>
          <w:tcPr>
            <w:tcW w:w="146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1,678</w:t>
            </w:r>
          </w:p>
        </w:tc>
        <w:tc>
          <w:tcPr>
            <w:tcW w:w="60" w:type="dxa"/>
            <w:vAlign w:val="bottom"/>
          </w:tcPr>
          <w:p>
            <w:pPr>
              <w:spacing w:after="0"/>
              <w:rPr>
                <w:sz w:val="17"/>
                <w:szCs w:val="17"/>
                <w:color w:val="auto"/>
              </w:rPr>
            </w:pPr>
          </w:p>
        </w:tc>
      </w:tr>
      <w:tr>
        <w:trPr>
          <w:trHeight w:val="203"/>
        </w:trPr>
        <w:tc>
          <w:tcPr>
            <w:tcW w:w="3480" w:type="dxa"/>
            <w:vAlign w:val="bottom"/>
            <w:gridSpan w:val="2"/>
            <w:shd w:val="clear" w:color="auto" w:fill="CFF0FC"/>
          </w:tcPr>
          <w:p>
            <w:pPr>
              <w:ind w:left="20"/>
              <w:spacing w:after="0" w:line="202" w:lineRule="exact"/>
              <w:rPr>
                <w:sz w:val="20"/>
                <w:szCs w:val="20"/>
                <w:color w:val="auto"/>
              </w:rPr>
            </w:pPr>
            <w:r>
              <w:rPr>
                <w:rFonts w:ascii="Arial" w:cs="Arial" w:eastAsia="Arial" w:hAnsi="Arial"/>
                <w:sz w:val="18"/>
                <w:szCs w:val="18"/>
                <w:color w:val="auto"/>
              </w:rPr>
              <w:t>DXL outlets</w:t>
            </w:r>
          </w:p>
        </w:tc>
        <w:tc>
          <w:tcPr>
            <w:tcW w:w="3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17</w:t>
            </w:r>
          </w:p>
        </w:tc>
        <w:tc>
          <w:tcPr>
            <w:tcW w:w="8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4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82</w:t>
            </w:r>
          </w:p>
        </w:tc>
        <w:tc>
          <w:tcPr>
            <w:tcW w:w="148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17</w:t>
            </w:r>
          </w:p>
        </w:tc>
        <w:tc>
          <w:tcPr>
            <w:tcW w:w="148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82</w:t>
            </w:r>
          </w:p>
        </w:tc>
        <w:tc>
          <w:tcPr>
            <w:tcW w:w="142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16</w:t>
            </w:r>
          </w:p>
        </w:tc>
        <w:tc>
          <w:tcPr>
            <w:tcW w:w="146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80</w:t>
            </w:r>
          </w:p>
        </w:tc>
        <w:tc>
          <w:tcPr>
            <w:tcW w:w="60" w:type="dxa"/>
            <w:vAlign w:val="bottom"/>
            <w:shd w:val="clear" w:color="auto" w:fill="CFF0FC"/>
          </w:tcPr>
          <w:p>
            <w:pPr>
              <w:spacing w:after="0"/>
              <w:rPr>
                <w:sz w:val="17"/>
                <w:szCs w:val="17"/>
                <w:color w:val="auto"/>
              </w:rPr>
            </w:pPr>
          </w:p>
        </w:tc>
      </w:tr>
      <w:tr>
        <w:trPr>
          <w:trHeight w:val="203"/>
        </w:trPr>
        <w:tc>
          <w:tcPr>
            <w:tcW w:w="3480" w:type="dxa"/>
            <w:vAlign w:val="bottom"/>
            <w:gridSpan w:val="2"/>
          </w:tcPr>
          <w:p>
            <w:pPr>
              <w:ind w:left="20"/>
              <w:spacing w:after="0" w:line="202" w:lineRule="exact"/>
              <w:rPr>
                <w:sz w:val="20"/>
                <w:szCs w:val="20"/>
                <w:color w:val="auto"/>
              </w:rPr>
            </w:pPr>
            <w:r>
              <w:rPr>
                <w:rFonts w:ascii="Arial" w:cs="Arial" w:eastAsia="Arial" w:hAnsi="Arial"/>
                <w:sz w:val="18"/>
                <w:szCs w:val="18"/>
                <w:color w:val="auto"/>
              </w:rPr>
              <w:t>CMXL retail</w:t>
            </w:r>
          </w:p>
        </w:tc>
        <w:tc>
          <w:tcPr>
            <w:tcW w:w="380" w:type="dxa"/>
            <w:vAlign w:val="bottom"/>
          </w:tcPr>
          <w:p>
            <w:pPr>
              <w:jc w:val="right"/>
              <w:spacing w:after="0" w:line="202" w:lineRule="exact"/>
              <w:rPr>
                <w:sz w:val="20"/>
                <w:szCs w:val="20"/>
                <w:color w:val="auto"/>
              </w:rPr>
            </w:pPr>
            <w:r>
              <w:rPr>
                <w:rFonts w:ascii="Arial" w:cs="Arial" w:eastAsia="Arial" w:hAnsi="Arial"/>
                <w:sz w:val="18"/>
                <w:szCs w:val="18"/>
                <w:color w:val="auto"/>
              </w:rPr>
              <w:t>50</w:t>
            </w:r>
          </w:p>
        </w:tc>
        <w:tc>
          <w:tcPr>
            <w:tcW w:w="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440" w:type="dxa"/>
            <w:vAlign w:val="bottom"/>
          </w:tcPr>
          <w:p>
            <w:pPr>
              <w:jc w:val="right"/>
              <w:spacing w:after="0" w:line="202" w:lineRule="exact"/>
              <w:rPr>
                <w:sz w:val="20"/>
                <w:szCs w:val="20"/>
                <w:color w:val="auto"/>
              </w:rPr>
            </w:pPr>
            <w:r>
              <w:rPr>
                <w:rFonts w:ascii="Arial" w:cs="Arial" w:eastAsia="Arial" w:hAnsi="Arial"/>
                <w:sz w:val="18"/>
                <w:szCs w:val="18"/>
                <w:color w:val="auto"/>
              </w:rPr>
              <w:t>164</w:t>
            </w:r>
          </w:p>
        </w:tc>
        <w:tc>
          <w:tcPr>
            <w:tcW w:w="14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46</w:t>
            </w:r>
          </w:p>
        </w:tc>
        <w:tc>
          <w:tcPr>
            <w:tcW w:w="14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152</w:t>
            </w:r>
          </w:p>
        </w:tc>
        <w:tc>
          <w:tcPr>
            <w:tcW w:w="14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35</w:t>
            </w:r>
          </w:p>
        </w:tc>
        <w:tc>
          <w:tcPr>
            <w:tcW w:w="14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115</w:t>
            </w:r>
          </w:p>
        </w:tc>
        <w:tc>
          <w:tcPr>
            <w:tcW w:w="60" w:type="dxa"/>
            <w:vAlign w:val="bottom"/>
          </w:tcPr>
          <w:p>
            <w:pPr>
              <w:spacing w:after="0"/>
              <w:rPr>
                <w:sz w:val="17"/>
                <w:szCs w:val="17"/>
                <w:color w:val="auto"/>
              </w:rPr>
            </w:pPr>
          </w:p>
        </w:tc>
      </w:tr>
      <w:tr>
        <w:trPr>
          <w:trHeight w:val="203"/>
        </w:trPr>
        <w:tc>
          <w:tcPr>
            <w:tcW w:w="2460" w:type="dxa"/>
            <w:vAlign w:val="bottom"/>
            <w:tcBorders>
              <w:bottom w:val="single" w:sz="8" w:color="CFF0FC"/>
            </w:tcBorders>
            <w:shd w:val="clear" w:color="auto" w:fill="CFF0FC"/>
          </w:tcPr>
          <w:p>
            <w:pPr>
              <w:ind w:left="20"/>
              <w:spacing w:after="0" w:line="202" w:lineRule="exact"/>
              <w:rPr>
                <w:sz w:val="20"/>
                <w:szCs w:val="20"/>
                <w:color w:val="auto"/>
              </w:rPr>
            </w:pPr>
            <w:r>
              <w:rPr>
                <w:rFonts w:ascii="Arial" w:cs="Arial" w:eastAsia="Arial" w:hAnsi="Arial"/>
                <w:sz w:val="18"/>
                <w:szCs w:val="18"/>
                <w:color w:val="auto"/>
              </w:rPr>
              <w:t>CMXL outlets</w:t>
            </w:r>
          </w:p>
        </w:tc>
        <w:tc>
          <w:tcPr>
            <w:tcW w:w="1020" w:type="dxa"/>
            <w:vAlign w:val="bottom"/>
            <w:tcBorders>
              <w:bottom w:val="single" w:sz="8" w:color="auto"/>
            </w:tcBorders>
            <w:shd w:val="clear" w:color="auto" w:fill="CFF0FC"/>
          </w:tcPr>
          <w:p>
            <w:pPr>
              <w:spacing w:after="0"/>
              <w:rPr>
                <w:sz w:val="17"/>
                <w:szCs w:val="17"/>
                <w:color w:val="auto"/>
              </w:rPr>
            </w:pPr>
          </w:p>
        </w:tc>
        <w:tc>
          <w:tcPr>
            <w:tcW w:w="38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28</w:t>
            </w:r>
          </w:p>
        </w:tc>
        <w:tc>
          <w:tcPr>
            <w:tcW w:w="80" w:type="dxa"/>
            <w:vAlign w:val="bottom"/>
            <w:tcBorders>
              <w:bottom w:val="single" w:sz="8" w:color="CFF0FC"/>
            </w:tcBorders>
            <w:shd w:val="clear" w:color="auto" w:fill="CFF0FC"/>
          </w:tcPr>
          <w:p>
            <w:pPr>
              <w:spacing w:after="0"/>
              <w:rPr>
                <w:sz w:val="17"/>
                <w:szCs w:val="17"/>
                <w:color w:val="auto"/>
              </w:rPr>
            </w:pPr>
          </w:p>
        </w:tc>
        <w:tc>
          <w:tcPr>
            <w:tcW w:w="960" w:type="dxa"/>
            <w:vAlign w:val="bottom"/>
            <w:tcBorders>
              <w:bottom w:val="single" w:sz="8" w:color="auto"/>
            </w:tcBorders>
            <w:shd w:val="clear" w:color="auto" w:fill="CFF0FC"/>
          </w:tcPr>
          <w:p>
            <w:pPr>
              <w:spacing w:after="0"/>
              <w:rPr>
                <w:sz w:val="17"/>
                <w:szCs w:val="17"/>
                <w:color w:val="auto"/>
              </w:rPr>
            </w:pPr>
          </w:p>
        </w:tc>
        <w:tc>
          <w:tcPr>
            <w:tcW w:w="44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85</w:t>
            </w:r>
          </w:p>
        </w:tc>
        <w:tc>
          <w:tcPr>
            <w:tcW w:w="80" w:type="dxa"/>
            <w:vAlign w:val="bottom"/>
            <w:tcBorders>
              <w:bottom w:val="single" w:sz="8" w:color="CFF0FC"/>
            </w:tcBorders>
            <w:shd w:val="clear" w:color="auto" w:fill="CFF0FC"/>
          </w:tcPr>
          <w:p>
            <w:pPr>
              <w:spacing w:after="0"/>
              <w:rPr>
                <w:sz w:val="17"/>
                <w:szCs w:val="17"/>
                <w:color w:val="auto"/>
              </w:rPr>
            </w:pPr>
          </w:p>
        </w:tc>
        <w:tc>
          <w:tcPr>
            <w:tcW w:w="140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22</w:t>
            </w:r>
          </w:p>
        </w:tc>
        <w:tc>
          <w:tcPr>
            <w:tcW w:w="80" w:type="dxa"/>
            <w:vAlign w:val="bottom"/>
            <w:tcBorders>
              <w:bottom w:val="single" w:sz="8" w:color="CFF0FC"/>
            </w:tcBorders>
            <w:shd w:val="clear" w:color="auto" w:fill="CFF0FC"/>
          </w:tcPr>
          <w:p>
            <w:pPr>
              <w:spacing w:after="0"/>
              <w:rPr>
                <w:sz w:val="17"/>
                <w:szCs w:val="17"/>
                <w:color w:val="auto"/>
              </w:rPr>
            </w:pPr>
          </w:p>
        </w:tc>
        <w:tc>
          <w:tcPr>
            <w:tcW w:w="140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66</w:t>
            </w:r>
          </w:p>
        </w:tc>
        <w:tc>
          <w:tcPr>
            <w:tcW w:w="60" w:type="dxa"/>
            <w:vAlign w:val="bottom"/>
            <w:tcBorders>
              <w:bottom w:val="single" w:sz="8" w:color="CFF0FC"/>
            </w:tcBorders>
            <w:shd w:val="clear" w:color="auto" w:fill="CFF0FC"/>
          </w:tcPr>
          <w:p>
            <w:pPr>
              <w:spacing w:after="0"/>
              <w:rPr>
                <w:sz w:val="17"/>
                <w:szCs w:val="17"/>
                <w:color w:val="auto"/>
              </w:rPr>
            </w:pPr>
          </w:p>
        </w:tc>
        <w:tc>
          <w:tcPr>
            <w:tcW w:w="136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19</w:t>
            </w:r>
          </w:p>
        </w:tc>
        <w:tc>
          <w:tcPr>
            <w:tcW w:w="80" w:type="dxa"/>
            <w:vAlign w:val="bottom"/>
            <w:tcBorders>
              <w:bottom w:val="single" w:sz="8" w:color="CFF0FC"/>
            </w:tcBorders>
            <w:shd w:val="clear" w:color="auto" w:fill="CFF0FC"/>
          </w:tcPr>
          <w:p>
            <w:pPr>
              <w:spacing w:after="0"/>
              <w:rPr>
                <w:sz w:val="17"/>
                <w:szCs w:val="17"/>
                <w:color w:val="auto"/>
              </w:rPr>
            </w:pPr>
          </w:p>
        </w:tc>
        <w:tc>
          <w:tcPr>
            <w:tcW w:w="138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57</w:t>
            </w:r>
          </w:p>
        </w:tc>
        <w:tc>
          <w:tcPr>
            <w:tcW w:w="60" w:type="dxa"/>
            <w:vAlign w:val="bottom"/>
            <w:tcBorders>
              <w:bottom w:val="single" w:sz="8" w:color="CFF0FC"/>
            </w:tcBorders>
            <w:shd w:val="clear" w:color="auto" w:fill="CFF0FC"/>
          </w:tcPr>
          <w:p>
            <w:pPr>
              <w:spacing w:after="0"/>
              <w:rPr>
                <w:sz w:val="17"/>
                <w:szCs w:val="17"/>
                <w:color w:val="auto"/>
              </w:rPr>
            </w:pPr>
          </w:p>
        </w:tc>
      </w:tr>
      <w:tr>
        <w:trPr>
          <w:trHeight w:val="196"/>
        </w:trPr>
        <w:tc>
          <w:tcPr>
            <w:tcW w:w="3480" w:type="dxa"/>
            <w:vAlign w:val="bottom"/>
            <w:gridSpan w:val="2"/>
          </w:tcPr>
          <w:p>
            <w:pPr>
              <w:spacing w:after="0"/>
              <w:rPr>
                <w:sz w:val="17"/>
                <w:szCs w:val="17"/>
                <w:color w:val="auto"/>
              </w:rPr>
            </w:pPr>
          </w:p>
        </w:tc>
        <w:tc>
          <w:tcPr>
            <w:tcW w:w="3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80" w:type="dxa"/>
            <w:vAlign w:val="bottom"/>
            <w:gridSpan w:val="2"/>
          </w:tcPr>
          <w:p>
            <w:pPr>
              <w:spacing w:after="0"/>
              <w:rPr>
                <w:sz w:val="17"/>
                <w:szCs w:val="17"/>
                <w:color w:val="auto"/>
              </w:rPr>
            </w:pPr>
          </w:p>
        </w:tc>
        <w:tc>
          <w:tcPr>
            <w:tcW w:w="1480" w:type="dxa"/>
            <w:vAlign w:val="bottom"/>
            <w:gridSpan w:val="2"/>
          </w:tcPr>
          <w:p>
            <w:pPr>
              <w:spacing w:after="0"/>
              <w:rPr>
                <w:sz w:val="17"/>
                <w:szCs w:val="17"/>
                <w:color w:val="auto"/>
              </w:rPr>
            </w:pPr>
          </w:p>
        </w:tc>
        <w:tc>
          <w:tcPr>
            <w:tcW w:w="1420" w:type="dxa"/>
            <w:vAlign w:val="bottom"/>
            <w:gridSpan w:val="2"/>
          </w:tcPr>
          <w:p>
            <w:pPr>
              <w:spacing w:after="0"/>
              <w:rPr>
                <w:sz w:val="17"/>
                <w:szCs w:val="17"/>
                <w:color w:val="auto"/>
              </w:rPr>
            </w:pPr>
          </w:p>
        </w:tc>
        <w:tc>
          <w:tcPr>
            <w:tcW w:w="1460" w:type="dxa"/>
            <w:vAlign w:val="bottom"/>
            <w:gridSpan w:val="2"/>
          </w:tcPr>
          <w:p>
            <w:pPr>
              <w:spacing w:after="0"/>
              <w:rPr>
                <w:sz w:val="17"/>
                <w:szCs w:val="17"/>
                <w:color w:val="auto"/>
              </w:rPr>
            </w:pPr>
          </w:p>
        </w:tc>
        <w:tc>
          <w:tcPr>
            <w:tcW w:w="60" w:type="dxa"/>
            <w:vAlign w:val="bottom"/>
          </w:tcPr>
          <w:p>
            <w:pPr>
              <w:spacing w:after="0"/>
              <w:rPr>
                <w:sz w:val="17"/>
                <w:szCs w:val="17"/>
                <w:color w:val="auto"/>
              </w:rPr>
            </w:pPr>
          </w:p>
        </w:tc>
      </w:tr>
      <w:tr>
        <w:trPr>
          <w:trHeight w:val="203"/>
        </w:trPr>
        <w:tc>
          <w:tcPr>
            <w:tcW w:w="3480" w:type="dxa"/>
            <w:vAlign w:val="bottom"/>
            <w:gridSpan w:val="2"/>
            <w:shd w:val="clear" w:color="auto" w:fill="CFF0FC"/>
          </w:tcPr>
          <w:p>
            <w:pPr>
              <w:ind w:left="20"/>
              <w:spacing w:after="0" w:line="202" w:lineRule="exact"/>
              <w:rPr>
                <w:sz w:val="20"/>
                <w:szCs w:val="20"/>
                <w:color w:val="auto"/>
              </w:rPr>
            </w:pPr>
            <w:r>
              <w:rPr>
                <w:rFonts w:ascii="Arial" w:cs="Arial" w:eastAsia="Arial" w:hAnsi="Arial"/>
                <w:sz w:val="18"/>
                <w:szCs w:val="18"/>
                <w:color w:val="auto"/>
              </w:rPr>
              <w:t>Total</w:t>
            </w:r>
          </w:p>
        </w:tc>
        <w:tc>
          <w:tcPr>
            <w:tcW w:w="3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323</w:t>
            </w:r>
          </w:p>
        </w:tc>
        <w:tc>
          <w:tcPr>
            <w:tcW w:w="8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4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w w:val="88"/>
              </w:rPr>
              <w:t>2,060</w:t>
            </w:r>
          </w:p>
        </w:tc>
        <w:tc>
          <w:tcPr>
            <w:tcW w:w="148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311</w:t>
            </w:r>
          </w:p>
        </w:tc>
        <w:tc>
          <w:tcPr>
            <w:tcW w:w="148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2,018</w:t>
            </w:r>
          </w:p>
        </w:tc>
        <w:tc>
          <w:tcPr>
            <w:tcW w:w="142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290</w:t>
            </w:r>
          </w:p>
        </w:tc>
        <w:tc>
          <w:tcPr>
            <w:tcW w:w="146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1,930</w:t>
            </w:r>
          </w:p>
        </w:tc>
        <w:tc>
          <w:tcPr>
            <w:tcW w:w="60" w:type="dxa"/>
            <w:vAlign w:val="bottom"/>
            <w:shd w:val="clear" w:color="auto" w:fill="CFF0FC"/>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2447925</wp:posOffset>
            </wp:positionH>
            <wp:positionV relativeFrom="paragraph">
              <wp:posOffset>-784860</wp:posOffset>
            </wp:positionV>
            <wp:extent cx="51435" cy="571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3390900</wp:posOffset>
            </wp:positionH>
            <wp:positionV relativeFrom="paragraph">
              <wp:posOffset>-784860</wp:posOffset>
            </wp:positionV>
            <wp:extent cx="51435" cy="571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4325620</wp:posOffset>
            </wp:positionH>
            <wp:positionV relativeFrom="paragraph">
              <wp:posOffset>-784860</wp:posOffset>
            </wp:positionV>
            <wp:extent cx="51435" cy="571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5268595</wp:posOffset>
            </wp:positionH>
            <wp:positionV relativeFrom="paragraph">
              <wp:posOffset>-784860</wp:posOffset>
            </wp:positionV>
            <wp:extent cx="43180" cy="571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43180" cy="5715"/>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-784860</wp:posOffset>
            </wp:positionV>
            <wp:extent cx="43180" cy="571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43180" cy="5715"/>
                    </a:xfrm>
                    <a:prstGeom prst="rect">
                      <a:avLst/>
                    </a:prstGeom>
                    <a:noFill/>
                  </pic:spPr>
                </pic:pic>
              </a:graphicData>
            </a:graphic>
          </wp:anchor>
        </w:drawing>
        <w:drawing>
          <wp:anchor simplePos="0" relativeHeight="251657728" behindDoc="1" locked="0" layoutInCell="0" allowOverlap="1">
            <wp:simplePos x="0" y="0"/>
            <wp:positionH relativeFrom="column">
              <wp:posOffset>7094220</wp:posOffset>
            </wp:positionH>
            <wp:positionV relativeFrom="paragraph">
              <wp:posOffset>-784860</wp:posOffset>
            </wp:positionV>
            <wp:extent cx="43180" cy="571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43180" cy="5715"/>
                    </a:xfrm>
                    <a:prstGeom prst="rect">
                      <a:avLst/>
                    </a:prstGeom>
                    <a:noFill/>
                  </pic:spPr>
                </pic:pic>
              </a:graphicData>
            </a:graphic>
          </wp:anchor>
        </w:drawing>
        <w:drawing>
          <wp:anchor simplePos="0" relativeHeight="251657728" behindDoc="1" locked="0" layoutInCell="0" allowOverlap="1">
            <wp:simplePos x="0" y="0"/>
            <wp:positionH relativeFrom="column">
              <wp:posOffset>2447925</wp:posOffset>
            </wp:positionH>
            <wp:positionV relativeFrom="paragraph">
              <wp:posOffset>-262255</wp:posOffset>
            </wp:positionV>
            <wp:extent cx="51435" cy="571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3390900</wp:posOffset>
            </wp:positionH>
            <wp:positionV relativeFrom="paragraph">
              <wp:posOffset>-262255</wp:posOffset>
            </wp:positionV>
            <wp:extent cx="51435" cy="571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4325620</wp:posOffset>
            </wp:positionH>
            <wp:positionV relativeFrom="paragraph">
              <wp:posOffset>-262255</wp:posOffset>
            </wp:positionV>
            <wp:extent cx="51435" cy="571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5268595</wp:posOffset>
            </wp:positionH>
            <wp:positionV relativeFrom="paragraph">
              <wp:posOffset>-262255</wp:posOffset>
            </wp:positionV>
            <wp:extent cx="43180" cy="571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43180" cy="5715"/>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-262255</wp:posOffset>
            </wp:positionV>
            <wp:extent cx="43180" cy="571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43180" cy="5715"/>
                    </a:xfrm>
                    <a:prstGeom prst="rect">
                      <a:avLst/>
                    </a:prstGeom>
                    <a:noFill/>
                  </pic:spPr>
                </pic:pic>
              </a:graphicData>
            </a:graphic>
          </wp:anchor>
        </w:drawing>
        <w:drawing>
          <wp:anchor simplePos="0" relativeHeight="251657728" behindDoc="1" locked="0" layoutInCell="0" allowOverlap="1">
            <wp:simplePos x="0" y="0"/>
            <wp:positionH relativeFrom="column">
              <wp:posOffset>7094220</wp:posOffset>
            </wp:positionH>
            <wp:positionV relativeFrom="paragraph">
              <wp:posOffset>-262255</wp:posOffset>
            </wp:positionV>
            <wp:extent cx="43180" cy="571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43180" cy="5715"/>
                    </a:xfrm>
                    <a:prstGeom prst="rect">
                      <a:avLst/>
                    </a:prstGeom>
                    <a:noFill/>
                  </pic:spPr>
                </pic:pic>
              </a:graphicData>
            </a:graphic>
          </wp:anchor>
        </w:drawing>
      </w:r>
    </w:p>
    <w:p>
      <w:pPr>
        <w:spacing w:after="0" w:line="179" w:lineRule="exact"/>
        <w:rPr>
          <w:sz w:val="20"/>
          <w:szCs w:val="20"/>
          <w:color w:val="auto"/>
        </w:rPr>
      </w:pPr>
    </w:p>
    <w:p>
      <w:pPr>
        <w:ind w:right="140"/>
        <w:spacing w:after="0" w:line="275" w:lineRule="auto"/>
        <w:rPr>
          <w:sz w:val="20"/>
          <w:szCs w:val="20"/>
          <w:color w:val="auto"/>
        </w:rPr>
      </w:pPr>
      <w:r>
        <w:rPr>
          <w:rFonts w:ascii="Arial" w:cs="Arial" w:eastAsia="Arial" w:hAnsi="Arial"/>
          <w:sz w:val="18"/>
          <w:szCs w:val="18"/>
          <w:color w:val="auto"/>
        </w:rPr>
        <w:t>We believe that our store portfolio is a vital asset to our omni-channel business strategy. We are actively reviewing opportunities to relocate or convert Casual Male XL stores to DXL, and we are reviewing white space opportunities in markets where our store footprint is underpenetrated. We expect to continue to invest in stores over the next several years as we further strengthen the store portfolio.</w:t>
      </w:r>
    </w:p>
    <w:p>
      <w:pPr>
        <w:spacing w:after="0" w:line="160"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E-Commerce Information</w:t>
      </w:r>
    </w:p>
    <w:p>
      <w:pPr>
        <w:spacing w:after="0" w:line="154" w:lineRule="exact"/>
        <w:rPr>
          <w:sz w:val="20"/>
          <w:szCs w:val="20"/>
          <w:color w:val="auto"/>
        </w:rPr>
      </w:pPr>
    </w:p>
    <w:p>
      <w:pPr>
        <w:ind w:right="140"/>
        <w:spacing w:after="0" w:line="258" w:lineRule="auto"/>
        <w:rPr>
          <w:sz w:val="20"/>
          <w:szCs w:val="20"/>
          <w:color w:val="auto"/>
        </w:rPr>
      </w:pPr>
      <w:r>
        <w:rPr>
          <w:rFonts w:ascii="Arial" w:cs="Arial" w:eastAsia="Arial" w:hAnsi="Arial"/>
          <w:sz w:val="18"/>
          <w:szCs w:val="18"/>
          <w:color w:val="auto"/>
        </w:rPr>
        <w:t>The Company distributes its licensed branded and private label products directly to consumers through its stores, website and third-party marketplaces. E-commerce sales, which we also refer to as direct sales, are defined as sales that originate online, whether through our website, at the store level or through a third-party marketplace. Our direct business is a critical component of our business and an area of signification growth opportunity, as we continue to see our customers migrate to online shopping. Through fiscal 2021, we continued to see quarter-to-quarter growth in our direct business, even as customers returned to our stores. For the fourth quarter of fiscal 2021, our direct sales increased by $12.2 million to 35.2% of retail segment sales as compared to 27.4% for the fourth quarter of fiscal 2019. For the year, our direct sales increased $48.3 million to 31.0% of retail segment sales as compared to 23.1% for fiscal 2019.</w:t>
      </w:r>
    </w:p>
    <w:p>
      <w:pPr>
        <w:spacing w:after="0" w:line="178"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Stock Repurchase Program</w:t>
      </w:r>
    </w:p>
    <w:p>
      <w:pPr>
        <w:spacing w:after="0" w:line="154" w:lineRule="exact"/>
        <w:rPr>
          <w:sz w:val="20"/>
          <w:szCs w:val="20"/>
          <w:color w:val="auto"/>
        </w:rPr>
      </w:pPr>
    </w:p>
    <w:p>
      <w:pPr>
        <w:ind w:right="100"/>
        <w:spacing w:after="0" w:line="246" w:lineRule="auto"/>
        <w:rPr>
          <w:sz w:val="20"/>
          <w:szCs w:val="20"/>
          <w:color w:val="auto"/>
        </w:rPr>
      </w:pPr>
      <w:r>
        <w:rPr>
          <w:rFonts w:ascii="Arial" w:cs="Arial" w:eastAsia="Arial" w:hAnsi="Arial"/>
          <w:sz w:val="20"/>
          <w:szCs w:val="20"/>
          <w:color w:val="auto"/>
        </w:rPr>
        <w:t>The Company’s Board of Directors has authorized the Company to repurchase up to $15.0 million of its common stock through open market and privately negotiated transactions.</w:t>
      </w:r>
    </w:p>
    <w:p>
      <w:pPr>
        <w:spacing w:after="0" w:line="96" w:lineRule="exact"/>
        <w:rPr>
          <w:sz w:val="20"/>
          <w:szCs w:val="20"/>
          <w:color w:val="auto"/>
        </w:rPr>
      </w:pPr>
    </w:p>
    <w:p>
      <w:pPr>
        <w:ind w:right="60"/>
        <w:spacing w:after="0" w:line="232" w:lineRule="auto"/>
        <w:rPr>
          <w:sz w:val="20"/>
          <w:szCs w:val="20"/>
          <w:color w:val="auto"/>
        </w:rPr>
      </w:pPr>
      <w:r>
        <w:rPr>
          <w:rFonts w:ascii="Arial" w:cs="Arial" w:eastAsia="Arial" w:hAnsi="Arial"/>
          <w:sz w:val="20"/>
          <w:szCs w:val="20"/>
          <w:color w:val="auto"/>
        </w:rPr>
        <w:t>The timing and the amount of any repurchases of common stock will be determined based on the Company’s evaluation of market conditions and other factors. The stock repurchase program is expected to commence in the first quarter of fiscal 2022 and will expire on March 15, 2023. The stock repurchase program may be suspended, terminated or modified at any time for any reason. The Company expects to finance the repurchases from operating funds and/or periodic borrowings on its credit facility. Any repurchased common stock will be held as treasury stock.</w:t>
      </w:r>
    </w:p>
    <w:p>
      <w:pPr>
        <w:spacing w:after="0" w:line="192"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Financial Outlook</w:t>
      </w:r>
    </w:p>
    <w:p>
      <w:pPr>
        <w:spacing w:after="0" w:line="154" w:lineRule="exact"/>
        <w:rPr>
          <w:sz w:val="20"/>
          <w:szCs w:val="20"/>
          <w:color w:val="auto"/>
        </w:rPr>
      </w:pPr>
    </w:p>
    <w:p>
      <w:pPr>
        <w:ind w:right="380"/>
        <w:spacing w:after="0"/>
        <w:rPr>
          <w:sz w:val="20"/>
          <w:szCs w:val="20"/>
          <w:color w:val="auto"/>
        </w:rPr>
      </w:pPr>
      <w:r>
        <w:rPr>
          <w:rFonts w:ascii="Arial" w:cs="Arial" w:eastAsia="Arial" w:hAnsi="Arial"/>
          <w:sz w:val="19"/>
          <w:szCs w:val="19"/>
          <w:color w:val="auto"/>
        </w:rPr>
        <w:t>We experienced a remarkable recovery and growth in sales for fiscal 2021. We expect to grow our top line in fiscal 2022, but we also recognize that our business benefited from some level of pent-up demand and fiscal stimulus policy last year. In addition, the continuing uncertainty with respect to global supply chain disruptions, inflation, labor shortages, COVID-19 and geopolitical instability from the Russian invasion of Ukraine may impact our business in fiscal 2022. In light of this uncertainty and given the record-setting year we just finished and non-comparable year-over-year elements, we are taking a</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184785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6" w:right="339" w:bottom="1440" w:gutter="0" w:footer="0" w:header="0"/>
        </w:sectPr>
      </w:pPr>
    </w:p>
    <w:bookmarkStart w:id="9" w:name="page10"/>
    <w:bookmarkEnd w:id="9"/>
    <w:p>
      <w:pPr>
        <w:ind w:right="220"/>
        <w:spacing w:after="0" w:line="246" w:lineRule="auto"/>
        <w:rPr>
          <w:sz w:val="20"/>
          <w:szCs w:val="20"/>
          <w:color w:val="auto"/>
        </w:rPr>
      </w:pPr>
      <w:r>
        <w:rPr>
          <w:rFonts w:ascii="Arial" w:cs="Arial" w:eastAsia="Arial" w:hAnsi="Arial"/>
          <w:sz w:val="20"/>
          <w:szCs w:val="20"/>
          <w:color w:val="auto"/>
        </w:rPr>
        <w:t>thoughtful and pragmatic approach to our financial projections and are guiding to sales from $510 million to $530 million and an EBITDA margin greater than 10.0%.</w:t>
      </w:r>
    </w:p>
    <w:p>
      <w:pPr>
        <w:spacing w:after="0" w:line="171" w:lineRule="exact"/>
        <w:rPr>
          <w:sz w:val="20"/>
          <w:szCs w:val="20"/>
          <w:color w:val="auto"/>
        </w:rPr>
      </w:pPr>
    </w:p>
    <w:p>
      <w:pPr>
        <w:ind w:left="40"/>
        <w:spacing w:after="0"/>
        <w:rPr>
          <w:sz w:val="20"/>
          <w:szCs w:val="20"/>
          <w:color w:val="auto"/>
        </w:rPr>
      </w:pPr>
      <w:r>
        <w:rPr>
          <w:rFonts w:ascii="Arial" w:cs="Arial" w:eastAsia="Arial" w:hAnsi="Arial"/>
          <w:sz w:val="20"/>
          <w:szCs w:val="20"/>
          <w:b w:val="1"/>
          <w:bCs w:val="1"/>
          <w:u w:val="single" w:color="auto"/>
          <w:color w:val="auto"/>
        </w:rPr>
        <w:t>Conference Call</w:t>
      </w:r>
    </w:p>
    <w:p>
      <w:pPr>
        <w:spacing w:after="0" w:line="100" w:lineRule="exact"/>
        <w:rPr>
          <w:sz w:val="20"/>
          <w:szCs w:val="20"/>
          <w:color w:val="auto"/>
        </w:rPr>
      </w:pPr>
    </w:p>
    <w:p>
      <w:pPr>
        <w:ind w:right="60"/>
        <w:spacing w:after="0" w:line="234" w:lineRule="auto"/>
        <w:rPr>
          <w:sz w:val="20"/>
          <w:szCs w:val="20"/>
          <w:color w:val="auto"/>
        </w:rPr>
      </w:pPr>
      <w:r>
        <w:rPr>
          <w:rFonts w:ascii="Arial" w:cs="Arial" w:eastAsia="Arial" w:hAnsi="Arial"/>
          <w:sz w:val="20"/>
          <w:szCs w:val="20"/>
          <w:color w:val="auto"/>
        </w:rPr>
        <w:t xml:space="preserve">The Company will hold a conference call to review its financial results today, Thursday, March 17, 2022 at 9:00 a.m. ET. To listen to the live webcast, visit the "Investor Relations" section of the Company's website. The live call also can be accessed by dialing: (866) 680-2311. Please reference conference ID: </w:t>
      </w:r>
      <w:r>
        <w:rPr>
          <w:rFonts w:ascii="Arial" w:cs="Arial" w:eastAsia="Arial" w:hAnsi="Arial"/>
          <w:sz w:val="20"/>
          <w:szCs w:val="20"/>
          <w:b w:val="1"/>
          <w:bCs w:val="1"/>
          <w:color w:val="auto"/>
        </w:rPr>
        <w:t>8988169</w:t>
      </w:r>
      <w:r>
        <w:rPr>
          <w:rFonts w:ascii="Arial" w:cs="Arial" w:eastAsia="Arial" w:hAnsi="Arial"/>
          <w:sz w:val="20"/>
          <w:szCs w:val="20"/>
          <w:color w:val="auto"/>
        </w:rPr>
        <w:t>. An archived version of the webcast may be accessed by visiting the "Events" section of the Company's website for up to one year.</w:t>
      </w:r>
    </w:p>
    <w:p>
      <w:pPr>
        <w:spacing w:after="0" w:line="183" w:lineRule="exact"/>
        <w:rPr>
          <w:sz w:val="20"/>
          <w:szCs w:val="20"/>
          <w:color w:val="auto"/>
        </w:rPr>
      </w:pPr>
    </w:p>
    <w:p>
      <w:pPr>
        <w:ind w:right="40"/>
        <w:spacing w:after="0" w:line="237" w:lineRule="auto"/>
        <w:rPr>
          <w:sz w:val="20"/>
          <w:szCs w:val="20"/>
          <w:color w:val="auto"/>
        </w:rPr>
      </w:pPr>
      <w:r>
        <w:rPr>
          <w:rFonts w:ascii="Arial" w:cs="Arial" w:eastAsia="Arial" w:hAnsi="Arial"/>
          <w:sz w:val="20"/>
          <w:szCs w:val="20"/>
          <w:color w:val="auto"/>
        </w:rPr>
        <w:t>During the conference call, the Company may discuss and answer questions concerning business and financial developments and trends. The Company’s responses to questions, as well as other matters discussed during the conference call, may contain or constitute information that has not been disclosed previously.</w:t>
      </w:r>
    </w:p>
    <w:p>
      <w:pPr>
        <w:spacing w:after="0" w:line="190"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Non-GAAP Measures</w:t>
      </w:r>
    </w:p>
    <w:p>
      <w:pPr>
        <w:spacing w:after="0" w:line="235" w:lineRule="exact"/>
        <w:rPr>
          <w:sz w:val="20"/>
          <w:szCs w:val="20"/>
          <w:color w:val="auto"/>
        </w:rPr>
      </w:pPr>
    </w:p>
    <w:p>
      <w:pPr>
        <w:ind w:right="40"/>
        <w:spacing w:after="0" w:line="269" w:lineRule="auto"/>
        <w:rPr>
          <w:sz w:val="20"/>
          <w:szCs w:val="20"/>
          <w:color w:val="auto"/>
        </w:rPr>
      </w:pPr>
      <w:r>
        <w:rPr>
          <w:rFonts w:ascii="Arial" w:cs="Arial" w:eastAsia="Arial" w:hAnsi="Arial"/>
          <w:sz w:val="19"/>
          <w:szCs w:val="19"/>
          <w:color w:val="auto"/>
        </w:rPr>
        <w:t>In addition to financial measures prepared in accordance with U.S. generally accepted accounting principles (“GAAP”), this press release contains non-GAAP financial measures, including adjusted EBITDA, adjusted EBITDA margin and free cash flow and makes projections about EBITDA margin. The presentation of these non-GAAP measures is not in accordance with GAAP, and should not be considered superior to or as a substitute for net income (loss), net income (loss) per diluted share or cash flows from operating activities or any other measure of performance derived in accordance with GAAP. In addition, not all companies calculate non-GAAP financial measures in the same manner and, accordingly, the non-GAAP measures presented in this release may not be comparable to similar measures used by other companies. The Company believes the inclusion of these non-GAAP measures help investors gain a better understanding of the Company’s performance, especially when comparing such results to previous periods, and that they are useful as an additional means for investors to evaluate the Company's operating results, when reviewed in conjunction with the Company's GAAP financial statements. Reconciliations of these non-GAAP measures to their comparable GAAP measures are provided in the tables below. The Company has not reconciled forward-looking adjusted EBITDA margin contained in this press release to its most directly comparable GAAP measure, as such reconciliation would require unreasonable efforts at this time to estimate and quantify with a reasonable degree of certainty various necessary GAAP components, including for example those related to impairment and tax items, that may arise during the year. These components and other factors could materially impact the amount of the future directly comparable GAAP measure, which may differ significantly from non-GAAP adjusted EBITDA margin.</w:t>
      </w:r>
    </w:p>
    <w:p>
      <w:pPr>
        <w:spacing w:after="0" w:line="120" w:lineRule="exact"/>
        <w:rPr>
          <w:sz w:val="20"/>
          <w:szCs w:val="20"/>
          <w:color w:val="auto"/>
        </w:rPr>
      </w:pPr>
    </w:p>
    <w:p>
      <w:pPr>
        <w:spacing w:after="0" w:line="278" w:lineRule="auto"/>
        <w:rPr>
          <w:sz w:val="20"/>
          <w:szCs w:val="20"/>
          <w:color w:val="auto"/>
        </w:rPr>
      </w:pPr>
      <w:r>
        <w:rPr>
          <w:rFonts w:ascii="Arial" w:cs="Arial" w:eastAsia="Arial" w:hAnsi="Arial"/>
          <w:sz w:val="19"/>
          <w:szCs w:val="19"/>
          <w:color w:val="auto"/>
        </w:rPr>
        <w:t>Adjusted EBITDA is calculated as earnings before interest, taxes, depreciation and amortization and excluding exit costs related to our London operations, CEO transition costs and any asset impairment charges. Adjusted EBITDA margin is calculated as adjusted EBITDA divided by sales. The Company believes that providing adjusted EBITDA and adjusted EBITDA margin is useful to investors to evaluate the Company's performance and are key metrics to measure profitability and economic productivity.</w:t>
      </w:r>
    </w:p>
    <w:p>
      <w:pPr>
        <w:spacing w:after="0" w:line="95" w:lineRule="exact"/>
        <w:rPr>
          <w:sz w:val="20"/>
          <w:szCs w:val="20"/>
          <w:color w:val="auto"/>
        </w:rPr>
      </w:pPr>
    </w:p>
    <w:p>
      <w:pPr>
        <w:ind w:right="140"/>
        <w:spacing w:after="0" w:line="360" w:lineRule="auto"/>
        <w:rPr>
          <w:sz w:val="20"/>
          <w:szCs w:val="20"/>
          <w:color w:val="auto"/>
        </w:rPr>
      </w:pPr>
      <w:r>
        <w:rPr>
          <w:rFonts w:ascii="Arial" w:cs="Arial" w:eastAsia="Arial" w:hAnsi="Arial"/>
          <w:sz w:val="16"/>
          <w:szCs w:val="16"/>
          <w:color w:val="auto"/>
        </w:rPr>
        <w:t>Free cash flow is a metric that management uses to monitor liquidity. Management believes this metric is important to investors because it demonstrates the Company’s ability to maintain liquidity while supporting its capital projects and new store growth. Free cash flow is calculated as cash flow from operating activities, less capital expenditures and excludes the mandatory and discretionary repayment of debt.</w:t>
      </w:r>
    </w:p>
    <w:p>
      <w:pPr>
        <w:spacing w:after="0" w:line="36" w:lineRule="exact"/>
        <w:rPr>
          <w:sz w:val="20"/>
          <w:szCs w:val="20"/>
          <w:color w:val="auto"/>
        </w:rPr>
      </w:pPr>
    </w:p>
    <w:p>
      <w:pPr>
        <w:jc w:val="center"/>
        <w:ind w:right="-39"/>
        <w:spacing w:after="0"/>
        <w:rPr>
          <w:sz w:val="20"/>
          <w:szCs w:val="20"/>
          <w:color w:val="auto"/>
        </w:rPr>
      </w:pPr>
      <w:r>
        <w:rPr>
          <w:rFonts w:ascii="Arial" w:cs="Arial" w:eastAsia="Arial" w:hAnsi="Arial"/>
          <w:sz w:val="20"/>
          <w:szCs w:val="20"/>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194945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39" w:right="359" w:bottom="1440" w:gutter="0" w:footer="0" w:header="0"/>
        </w:sectPr>
      </w:pPr>
    </w:p>
    <w:bookmarkStart w:id="10" w:name="page11"/>
    <w:bookmarkEnd w:id="10"/>
    <w:p>
      <w:pPr>
        <w:spacing w:after="0"/>
        <w:rPr>
          <w:sz w:val="20"/>
          <w:szCs w:val="20"/>
          <w:color w:val="auto"/>
        </w:rPr>
      </w:pPr>
      <w:r>
        <w:rPr>
          <w:rFonts w:ascii="Arial" w:cs="Arial" w:eastAsia="Arial" w:hAnsi="Arial"/>
          <w:sz w:val="20"/>
          <w:szCs w:val="20"/>
          <w:b w:val="1"/>
          <w:bCs w:val="1"/>
          <w:u w:val="single" w:color="auto"/>
          <w:color w:val="auto"/>
        </w:rPr>
        <w:t>About Destination XL Group, Inc.</w:t>
      </w:r>
    </w:p>
    <w:p>
      <w:pPr>
        <w:spacing w:after="0" w:line="168" w:lineRule="exact"/>
        <w:rPr>
          <w:sz w:val="20"/>
          <w:szCs w:val="20"/>
          <w:color w:val="auto"/>
        </w:rPr>
      </w:pPr>
    </w:p>
    <w:p>
      <w:pPr>
        <w:ind w:right="160"/>
        <w:spacing w:after="0" w:line="291" w:lineRule="auto"/>
        <w:rPr>
          <w:sz w:val="20"/>
          <w:szCs w:val="20"/>
          <w:color w:val="auto"/>
        </w:rPr>
      </w:pPr>
      <w:r>
        <w:rPr>
          <w:rFonts w:ascii="Arial" w:cs="Arial" w:eastAsia="Arial" w:hAnsi="Arial"/>
          <w:sz w:val="18"/>
          <w:szCs w:val="18"/>
          <w:color w:val="auto"/>
        </w:rPr>
        <w:t>Destination XL Group, Inc. is the leading retailer of Men’s Big + Tall apparel that delivers a Big + Tall shopping experience that fits -- fits his body, fits his style, fits his life. Subsidiaries of Destination XL Group, Inc. operate DXL Big + Tall retail and outlet stores and Casual Male XL retail and outlet stores throughout the United States, and an e-commerce website, DXL.com, and mobile app which offer a multi-channel solution similar to the DXL store experience with the most extensive selection of online products available anywhere for Big + Tall men. The Company is headquartered in Canton, Massachusetts, and its common stock is listed on the Nasdaq Global Market under the symbol "DXLG." For more information, please visit the Company's investor relations website: https://investor.dxl.com.</w:t>
      </w:r>
    </w:p>
    <w:p>
      <w:pPr>
        <w:spacing w:after="0" w:line="54"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Forward-Looking Statements</w:t>
      </w:r>
    </w:p>
    <w:p>
      <w:pPr>
        <w:spacing w:after="0" w:line="154" w:lineRule="exact"/>
        <w:rPr>
          <w:sz w:val="20"/>
          <w:szCs w:val="20"/>
          <w:color w:val="auto"/>
        </w:rPr>
      </w:pPr>
    </w:p>
    <w:p>
      <w:pPr>
        <w:spacing w:after="0" w:line="269" w:lineRule="auto"/>
        <w:rPr>
          <w:sz w:val="20"/>
          <w:szCs w:val="20"/>
          <w:color w:val="auto"/>
        </w:rPr>
      </w:pPr>
      <w:r>
        <w:rPr>
          <w:rFonts w:ascii="Arial" w:cs="Arial" w:eastAsia="Arial" w:hAnsi="Arial"/>
          <w:sz w:val="19"/>
          <w:szCs w:val="19"/>
          <w:i w:val="1"/>
          <w:iCs w:val="1"/>
          <w:color w:val="auto"/>
        </w:rPr>
        <w:t>Certain statements and information contained in this press release constitute forward-looking statements under the federal securities laws, including statements regarding our outlook for fiscal 2022, including expected sales and adjusted EBITDA margin, an expected increase in markdowns, our strategic initiatives for fiscal 2022 and related costs, the potential impact of Russia's invasion of Ukraine, the potential impact of ongoing global supply chain disruptions, including increased costs and expected increased costs for certain raw materials, and the continuing impact of COVID-19 and its variants on our business. The discussion of forward-looking information requires management of the Company to make certain estimates and assumptions regarding the Company's strategic direction and the effect of such plans on the Company's financial results. The Company's actual results and the implementation of its plans and operations may differ materially from forward-looking statements made by the Company. The Company encourages readers of forward-looking information concerning the Company to refer to its filings with the Securities and Exchange Commission, including without limitation, its Annual Report on Form 10-K filed on March 19, 2021, its Quarterly Reports on Form 10-Q and other filings with the Securities and Exchange Commission that set forth certain risks and uncertainties that may have an impact on future results and direction of the Company, including risks relating to the COVID-19 pandemic and its impact on the Company’s results of operations, the Company’s execution of its digital and store strategy and ability to grow its market share, predict customer tastes and fashion trends, forecast sales growth trends and compete successfully in the United States men’s big and tall apparel market.</w:t>
      </w:r>
    </w:p>
    <w:p>
      <w:pPr>
        <w:spacing w:after="0" w:line="122" w:lineRule="exact"/>
        <w:rPr>
          <w:sz w:val="20"/>
          <w:szCs w:val="20"/>
          <w:color w:val="auto"/>
        </w:rPr>
      </w:pPr>
    </w:p>
    <w:p>
      <w:pPr>
        <w:jc w:val="both"/>
        <w:ind w:right="460"/>
        <w:spacing w:after="0" w:line="264" w:lineRule="auto"/>
        <w:rPr>
          <w:sz w:val="20"/>
          <w:szCs w:val="20"/>
          <w:color w:val="auto"/>
        </w:rPr>
      </w:pPr>
      <w:r>
        <w:rPr>
          <w:rFonts w:ascii="Arial" w:cs="Arial" w:eastAsia="Arial" w:hAnsi="Arial"/>
          <w:sz w:val="20"/>
          <w:szCs w:val="20"/>
          <w:i w:val="1"/>
          <w:iCs w:val="1"/>
          <w:color w:val="auto"/>
        </w:rPr>
        <w:t>Forward-looking statements contained in this press release speak only as of the date of this release. Subsequent events or circumstances occurring after such date may render these statements incomplete or out of date. The Company undertakes no obligation and expressly disclaims any duty to update such statements.</w:t>
      </w:r>
    </w:p>
    <w:p>
      <w:pPr>
        <w:spacing w:after="0" w:line="308"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194945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6" w:right="339" w:bottom="1440" w:gutter="0" w:footer="0" w:header="0"/>
        </w:sectPr>
      </w:pPr>
    </w:p>
    <w:bookmarkStart w:id="11" w:name="page12"/>
    <w:bookmarkEnd w:id="11"/>
    <w:p>
      <w:pPr>
        <w:jc w:val="center"/>
        <w:ind w:right="80"/>
        <w:spacing w:after="0"/>
        <w:rPr>
          <w:sz w:val="20"/>
          <w:szCs w:val="20"/>
          <w:color w:val="auto"/>
        </w:rPr>
      </w:pPr>
      <w:r>
        <w:rPr>
          <w:rFonts w:ascii="Arial" w:cs="Arial" w:eastAsia="Arial" w:hAnsi="Arial"/>
          <w:sz w:val="16"/>
          <w:szCs w:val="16"/>
          <w:color w:val="auto"/>
        </w:rPr>
        <w:t>DESTINATION XL GROUP, INC.</w:t>
      </w:r>
    </w:p>
    <w:p>
      <w:pPr>
        <w:spacing w:after="0" w:line="19" w:lineRule="exact"/>
        <w:rPr>
          <w:sz w:val="20"/>
          <w:szCs w:val="20"/>
          <w:color w:val="auto"/>
        </w:rPr>
      </w:pPr>
    </w:p>
    <w:p>
      <w:pPr>
        <w:jc w:val="center"/>
        <w:ind w:right="80"/>
        <w:spacing w:after="0"/>
        <w:rPr>
          <w:sz w:val="20"/>
          <w:szCs w:val="20"/>
          <w:color w:val="auto"/>
        </w:rPr>
      </w:pPr>
      <w:r>
        <w:rPr>
          <w:rFonts w:ascii="Arial" w:cs="Arial" w:eastAsia="Arial" w:hAnsi="Arial"/>
          <w:sz w:val="16"/>
          <w:szCs w:val="16"/>
          <w:color w:val="auto"/>
        </w:rPr>
        <w:t>CONSOLIDATED STATEMENTS OF OPERATIONS</w:t>
      </w:r>
    </w:p>
    <w:p>
      <w:pPr>
        <w:spacing w:after="0" w:line="5" w:lineRule="exact"/>
        <w:rPr>
          <w:sz w:val="20"/>
          <w:szCs w:val="20"/>
          <w:color w:val="auto"/>
        </w:rPr>
      </w:pPr>
    </w:p>
    <w:p>
      <w:pPr>
        <w:jc w:val="center"/>
        <w:ind w:right="80"/>
        <w:spacing w:after="0"/>
        <w:rPr>
          <w:sz w:val="20"/>
          <w:szCs w:val="20"/>
          <w:color w:val="auto"/>
        </w:rPr>
      </w:pPr>
      <w:r>
        <w:rPr>
          <w:rFonts w:ascii="Arial" w:cs="Arial" w:eastAsia="Arial" w:hAnsi="Arial"/>
          <w:sz w:val="16"/>
          <w:szCs w:val="16"/>
          <w:color w:val="auto"/>
        </w:rPr>
        <w:t>(In thousands, except per share data)</w:t>
      </w:r>
    </w:p>
    <w:p>
      <w:pPr>
        <w:spacing w:after="0" w:line="5" w:lineRule="exact"/>
        <w:rPr>
          <w:sz w:val="20"/>
          <w:szCs w:val="20"/>
          <w:color w:val="auto"/>
        </w:rPr>
      </w:pPr>
    </w:p>
    <w:p>
      <w:pPr>
        <w:jc w:val="center"/>
        <w:ind w:right="80"/>
        <w:spacing w:after="0"/>
        <w:rPr>
          <w:sz w:val="20"/>
          <w:szCs w:val="20"/>
          <w:color w:val="auto"/>
        </w:rPr>
      </w:pPr>
      <w:r>
        <w:rPr>
          <w:rFonts w:ascii="Arial" w:cs="Arial" w:eastAsia="Arial" w:hAnsi="Arial"/>
          <w:sz w:val="16"/>
          <w:szCs w:val="16"/>
          <w:color w:val="auto"/>
        </w:rPr>
        <w:t>Unaudited</w:t>
      </w:r>
    </w:p>
    <w:p>
      <w:pPr>
        <w:spacing w:after="0" w:line="369"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33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700" w:type="dxa"/>
            <w:vAlign w:val="bottom"/>
            <w:gridSpan w:val="6"/>
          </w:tcPr>
          <w:p>
            <w:pPr>
              <w:jc w:val="center"/>
              <w:ind w:left="799"/>
              <w:spacing w:after="0"/>
              <w:rPr>
                <w:sz w:val="20"/>
                <w:szCs w:val="20"/>
                <w:color w:val="auto"/>
              </w:rPr>
            </w:pPr>
            <w:r>
              <w:rPr>
                <w:rFonts w:ascii="Arial" w:cs="Arial" w:eastAsia="Arial" w:hAnsi="Arial"/>
                <w:sz w:val="16"/>
                <w:szCs w:val="16"/>
                <w:color w:val="auto"/>
                <w:w w:val="90"/>
              </w:rPr>
              <w:t>For the three months ended</w:t>
            </w:r>
          </w:p>
        </w:tc>
        <w:tc>
          <w:tcPr>
            <w:tcW w:w="10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600" w:type="dxa"/>
            <w:vAlign w:val="bottom"/>
            <w:gridSpan w:val="6"/>
          </w:tcPr>
          <w:p>
            <w:pPr>
              <w:jc w:val="center"/>
              <w:ind w:left="759"/>
              <w:spacing w:after="0"/>
              <w:rPr>
                <w:sz w:val="20"/>
                <w:szCs w:val="20"/>
                <w:color w:val="auto"/>
              </w:rPr>
            </w:pPr>
            <w:r>
              <w:rPr>
                <w:rFonts w:ascii="Arial" w:cs="Arial" w:eastAsia="Arial" w:hAnsi="Arial"/>
                <w:sz w:val="16"/>
                <w:szCs w:val="16"/>
                <w:color w:val="auto"/>
                <w:w w:val="90"/>
              </w:rPr>
              <w:t>For the fiscal year ended</w:t>
            </w:r>
          </w:p>
        </w:tc>
        <w:tc>
          <w:tcPr>
            <w:tcW w:w="100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162"/>
        </w:trPr>
        <w:tc>
          <w:tcPr>
            <w:tcW w:w="3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0" w:type="dxa"/>
            <w:vAlign w:val="bottom"/>
            <w:gridSpan w:val="2"/>
          </w:tcPr>
          <w:p>
            <w:pPr>
              <w:jc w:val="right"/>
              <w:ind w:right="400"/>
              <w:spacing w:after="0" w:line="162" w:lineRule="exact"/>
              <w:rPr>
                <w:sz w:val="20"/>
                <w:szCs w:val="20"/>
                <w:color w:val="auto"/>
              </w:rPr>
            </w:pPr>
            <w:r>
              <w:rPr>
                <w:rFonts w:ascii="Arial" w:cs="Arial" w:eastAsia="Arial" w:hAnsi="Arial"/>
                <w:sz w:val="16"/>
                <w:szCs w:val="16"/>
                <w:color w:val="auto"/>
                <w:w w:val="93"/>
              </w:rPr>
              <w:t>January 29,</w:t>
            </w:r>
          </w:p>
        </w:tc>
        <w:tc>
          <w:tcPr>
            <w:tcW w:w="140" w:type="dxa"/>
            <w:vAlign w:val="bottom"/>
          </w:tcPr>
          <w:p>
            <w:pPr>
              <w:spacing w:after="0"/>
              <w:rPr>
                <w:sz w:val="14"/>
                <w:szCs w:val="14"/>
                <w:color w:val="auto"/>
              </w:rPr>
            </w:pPr>
          </w:p>
        </w:tc>
        <w:tc>
          <w:tcPr>
            <w:tcW w:w="1200" w:type="dxa"/>
            <w:vAlign w:val="bottom"/>
            <w:gridSpan w:val="2"/>
          </w:tcPr>
          <w:p>
            <w:pPr>
              <w:jc w:val="center"/>
              <w:ind w:right="340"/>
              <w:spacing w:after="0" w:line="162" w:lineRule="exact"/>
              <w:rPr>
                <w:sz w:val="20"/>
                <w:szCs w:val="20"/>
                <w:color w:val="auto"/>
              </w:rPr>
            </w:pPr>
            <w:r>
              <w:rPr>
                <w:rFonts w:ascii="Arial" w:cs="Arial" w:eastAsia="Arial" w:hAnsi="Arial"/>
                <w:sz w:val="16"/>
                <w:szCs w:val="16"/>
                <w:color w:val="auto"/>
                <w:w w:val="88"/>
              </w:rPr>
              <w:t>January 30,</w:t>
            </w:r>
          </w:p>
        </w:tc>
        <w:tc>
          <w:tcPr>
            <w:tcW w:w="160" w:type="dxa"/>
            <w:vAlign w:val="bottom"/>
          </w:tcPr>
          <w:p>
            <w:pPr>
              <w:spacing w:after="0"/>
              <w:rPr>
                <w:sz w:val="14"/>
                <w:szCs w:val="14"/>
                <w:color w:val="auto"/>
              </w:rPr>
            </w:pPr>
          </w:p>
        </w:tc>
        <w:tc>
          <w:tcPr>
            <w:tcW w:w="1180" w:type="dxa"/>
            <w:vAlign w:val="bottom"/>
            <w:gridSpan w:val="2"/>
          </w:tcPr>
          <w:p>
            <w:pPr>
              <w:jc w:val="right"/>
              <w:ind w:right="400"/>
              <w:spacing w:after="0" w:line="162" w:lineRule="exact"/>
              <w:rPr>
                <w:sz w:val="20"/>
                <w:szCs w:val="20"/>
                <w:color w:val="auto"/>
              </w:rPr>
            </w:pPr>
            <w:r>
              <w:rPr>
                <w:rFonts w:ascii="Arial" w:cs="Arial" w:eastAsia="Arial" w:hAnsi="Arial"/>
                <w:sz w:val="16"/>
                <w:szCs w:val="16"/>
                <w:color w:val="auto"/>
                <w:w w:val="92"/>
              </w:rPr>
              <w:t>February 1,</w:t>
            </w:r>
          </w:p>
        </w:tc>
        <w:tc>
          <w:tcPr>
            <w:tcW w:w="140" w:type="dxa"/>
            <w:vAlign w:val="bottom"/>
          </w:tcPr>
          <w:p>
            <w:pPr>
              <w:spacing w:after="0"/>
              <w:rPr>
                <w:sz w:val="14"/>
                <w:szCs w:val="14"/>
                <w:color w:val="auto"/>
              </w:rPr>
            </w:pPr>
          </w:p>
        </w:tc>
        <w:tc>
          <w:tcPr>
            <w:tcW w:w="1180" w:type="dxa"/>
            <w:vAlign w:val="bottom"/>
            <w:gridSpan w:val="2"/>
          </w:tcPr>
          <w:p>
            <w:pPr>
              <w:jc w:val="right"/>
              <w:ind w:right="380"/>
              <w:spacing w:after="0" w:line="162" w:lineRule="exact"/>
              <w:rPr>
                <w:sz w:val="20"/>
                <w:szCs w:val="20"/>
                <w:color w:val="auto"/>
              </w:rPr>
            </w:pPr>
            <w:r>
              <w:rPr>
                <w:rFonts w:ascii="Arial" w:cs="Arial" w:eastAsia="Arial" w:hAnsi="Arial"/>
                <w:sz w:val="16"/>
                <w:szCs w:val="16"/>
                <w:color w:val="auto"/>
                <w:w w:val="93"/>
              </w:rPr>
              <w:t>January 29,</w:t>
            </w:r>
          </w:p>
        </w:tc>
        <w:tc>
          <w:tcPr>
            <w:tcW w:w="140" w:type="dxa"/>
            <w:vAlign w:val="bottom"/>
          </w:tcPr>
          <w:p>
            <w:pPr>
              <w:spacing w:after="0"/>
              <w:rPr>
                <w:sz w:val="14"/>
                <w:szCs w:val="14"/>
                <w:color w:val="auto"/>
              </w:rPr>
            </w:pPr>
          </w:p>
        </w:tc>
        <w:tc>
          <w:tcPr>
            <w:tcW w:w="1140" w:type="dxa"/>
            <w:vAlign w:val="bottom"/>
            <w:gridSpan w:val="2"/>
          </w:tcPr>
          <w:p>
            <w:pPr>
              <w:jc w:val="center"/>
              <w:ind w:right="320"/>
              <w:spacing w:after="0" w:line="162" w:lineRule="exact"/>
              <w:rPr>
                <w:sz w:val="20"/>
                <w:szCs w:val="20"/>
                <w:color w:val="auto"/>
              </w:rPr>
            </w:pPr>
            <w:r>
              <w:rPr>
                <w:rFonts w:ascii="Arial" w:cs="Arial" w:eastAsia="Arial" w:hAnsi="Arial"/>
                <w:sz w:val="16"/>
                <w:szCs w:val="16"/>
                <w:color w:val="auto"/>
                <w:w w:val="88"/>
              </w:rPr>
              <w:t>January 30,</w:t>
            </w:r>
          </w:p>
        </w:tc>
        <w:tc>
          <w:tcPr>
            <w:tcW w:w="140" w:type="dxa"/>
            <w:vAlign w:val="bottom"/>
          </w:tcPr>
          <w:p>
            <w:pPr>
              <w:spacing w:after="0"/>
              <w:rPr>
                <w:sz w:val="14"/>
                <w:szCs w:val="14"/>
                <w:color w:val="auto"/>
              </w:rPr>
            </w:pPr>
          </w:p>
        </w:tc>
        <w:tc>
          <w:tcPr>
            <w:tcW w:w="1080" w:type="dxa"/>
            <w:vAlign w:val="bottom"/>
            <w:gridSpan w:val="2"/>
          </w:tcPr>
          <w:p>
            <w:pPr>
              <w:jc w:val="right"/>
              <w:ind w:right="300"/>
              <w:spacing w:after="0" w:line="162" w:lineRule="exact"/>
              <w:rPr>
                <w:sz w:val="20"/>
                <w:szCs w:val="20"/>
                <w:color w:val="auto"/>
              </w:rPr>
            </w:pPr>
            <w:r>
              <w:rPr>
                <w:rFonts w:ascii="Arial" w:cs="Arial" w:eastAsia="Arial" w:hAnsi="Arial"/>
                <w:sz w:val="16"/>
                <w:szCs w:val="16"/>
                <w:color w:val="auto"/>
                <w:w w:val="92"/>
              </w:rPr>
              <w:t>February 1,</w:t>
            </w:r>
          </w:p>
        </w:tc>
      </w:tr>
      <w:tr>
        <w:trPr>
          <w:trHeight w:val="199"/>
        </w:trPr>
        <w:tc>
          <w:tcPr>
            <w:tcW w:w="332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color w:val="auto"/>
              </w:rPr>
              <w:t>2022</w:t>
            </w:r>
          </w:p>
        </w:tc>
        <w:tc>
          <w:tcPr>
            <w:tcW w:w="18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center"/>
              <w:ind w:right="59"/>
              <w:spacing w:after="0"/>
              <w:rPr>
                <w:sz w:val="20"/>
                <w:szCs w:val="20"/>
                <w:color w:val="auto"/>
              </w:rPr>
            </w:pPr>
            <w:r>
              <w:rPr>
                <w:rFonts w:ascii="Arial" w:cs="Arial" w:eastAsia="Arial" w:hAnsi="Arial"/>
                <w:sz w:val="16"/>
                <w:szCs w:val="16"/>
                <w:color w:val="auto"/>
                <w:w w:val="89"/>
              </w:rPr>
              <w:t>2021</w:t>
            </w:r>
          </w:p>
        </w:tc>
        <w:tc>
          <w:tcPr>
            <w:tcW w:w="18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color w:val="auto"/>
              </w:rPr>
              <w:t>2020</w:t>
            </w:r>
          </w:p>
        </w:tc>
        <w:tc>
          <w:tcPr>
            <w:tcW w:w="18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color w:val="auto"/>
              </w:rPr>
              <w:t>2022</w:t>
            </w:r>
          </w:p>
        </w:tc>
        <w:tc>
          <w:tcPr>
            <w:tcW w:w="16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center"/>
              <w:ind w:right="59"/>
              <w:spacing w:after="0"/>
              <w:rPr>
                <w:sz w:val="20"/>
                <w:szCs w:val="20"/>
                <w:color w:val="auto"/>
              </w:rPr>
            </w:pPr>
            <w:r>
              <w:rPr>
                <w:rFonts w:ascii="Arial" w:cs="Arial" w:eastAsia="Arial" w:hAnsi="Arial"/>
                <w:sz w:val="16"/>
                <w:szCs w:val="16"/>
                <w:color w:val="auto"/>
                <w:w w:val="95"/>
              </w:rPr>
              <w:t>2021</w:t>
            </w:r>
          </w:p>
        </w:tc>
        <w:tc>
          <w:tcPr>
            <w:tcW w:w="14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color w:val="auto"/>
              </w:rPr>
              <w:t>2020</w:t>
            </w:r>
          </w:p>
        </w:tc>
        <w:tc>
          <w:tcPr>
            <w:tcW w:w="80" w:type="dxa"/>
            <w:vAlign w:val="bottom"/>
          </w:tcPr>
          <w:p>
            <w:pPr>
              <w:spacing w:after="0"/>
              <w:rPr>
                <w:sz w:val="17"/>
                <w:szCs w:val="17"/>
                <w:color w:val="auto"/>
              </w:rPr>
            </w:pPr>
          </w:p>
        </w:tc>
      </w:tr>
      <w:tr>
        <w:trPr>
          <w:trHeight w:val="183"/>
        </w:trPr>
        <w:tc>
          <w:tcPr>
            <w:tcW w:w="3320" w:type="dxa"/>
            <w:vAlign w:val="bottom"/>
            <w:shd w:val="clear" w:color="auto" w:fill="CFF0FC"/>
          </w:tcPr>
          <w:p>
            <w:pPr>
              <w:ind w:left="20"/>
              <w:spacing w:after="0" w:line="183" w:lineRule="exact"/>
              <w:rPr>
                <w:sz w:val="20"/>
                <w:szCs w:val="20"/>
                <w:color w:val="auto"/>
              </w:rPr>
            </w:pPr>
            <w:r>
              <w:rPr>
                <w:rFonts w:ascii="Arial" w:cs="Arial" w:eastAsia="Arial" w:hAnsi="Arial"/>
                <w:sz w:val="16"/>
                <w:szCs w:val="16"/>
                <w:color w:val="auto"/>
              </w:rPr>
              <w:t>Sales</w:t>
            </w:r>
          </w:p>
        </w:tc>
        <w:tc>
          <w:tcPr>
            <w:tcW w:w="14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w w:val="89"/>
              </w:rPr>
              <w:t>$</w:t>
            </w:r>
          </w:p>
        </w:tc>
        <w:tc>
          <w:tcPr>
            <w:tcW w:w="102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133,451</w:t>
            </w:r>
          </w:p>
        </w:tc>
        <w:tc>
          <w:tcPr>
            <w:tcW w:w="180" w:type="dxa"/>
            <w:vAlign w:val="bottom"/>
            <w:shd w:val="clear" w:color="auto" w:fill="CFF0FC"/>
          </w:tcPr>
          <w:p>
            <w:pPr>
              <w:spacing w:after="0"/>
              <w:rPr>
                <w:sz w:val="15"/>
                <w:szCs w:val="15"/>
                <w:color w:val="auto"/>
              </w:rPr>
            </w:pPr>
          </w:p>
        </w:tc>
        <w:tc>
          <w:tcPr>
            <w:tcW w:w="14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w w:val="89"/>
              </w:rPr>
              <w:t>$</w:t>
            </w:r>
          </w:p>
        </w:tc>
        <w:tc>
          <w:tcPr>
            <w:tcW w:w="102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100,106</w:t>
            </w:r>
          </w:p>
        </w:tc>
        <w:tc>
          <w:tcPr>
            <w:tcW w:w="180" w:type="dxa"/>
            <w:vAlign w:val="bottom"/>
            <w:shd w:val="clear" w:color="auto" w:fill="CFF0FC"/>
          </w:tcPr>
          <w:p>
            <w:pPr>
              <w:spacing w:after="0"/>
              <w:rPr>
                <w:sz w:val="15"/>
                <w:szCs w:val="15"/>
                <w:color w:val="auto"/>
              </w:rPr>
            </w:pPr>
          </w:p>
        </w:tc>
        <w:tc>
          <w:tcPr>
            <w:tcW w:w="16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w w:val="89"/>
              </w:rPr>
              <w:t>$</w:t>
            </w:r>
          </w:p>
        </w:tc>
        <w:tc>
          <w:tcPr>
            <w:tcW w:w="100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131,239</w:t>
            </w:r>
          </w:p>
        </w:tc>
        <w:tc>
          <w:tcPr>
            <w:tcW w:w="180" w:type="dxa"/>
            <w:vAlign w:val="bottom"/>
            <w:shd w:val="clear" w:color="auto" w:fill="CFF0FC"/>
          </w:tcPr>
          <w:p>
            <w:pPr>
              <w:spacing w:after="0"/>
              <w:rPr>
                <w:sz w:val="15"/>
                <w:szCs w:val="15"/>
                <w:color w:val="auto"/>
              </w:rPr>
            </w:pPr>
          </w:p>
        </w:tc>
        <w:tc>
          <w:tcPr>
            <w:tcW w:w="14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w w:val="89"/>
              </w:rPr>
              <w:t>$</w:t>
            </w:r>
          </w:p>
        </w:tc>
        <w:tc>
          <w:tcPr>
            <w:tcW w:w="102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505,021</w:t>
            </w:r>
          </w:p>
        </w:tc>
        <w:tc>
          <w:tcPr>
            <w:tcW w:w="160" w:type="dxa"/>
            <w:vAlign w:val="bottom"/>
            <w:shd w:val="clear" w:color="auto" w:fill="CFF0FC"/>
          </w:tcPr>
          <w:p>
            <w:pPr>
              <w:spacing w:after="0"/>
              <w:rPr>
                <w:sz w:val="15"/>
                <w:szCs w:val="15"/>
                <w:color w:val="auto"/>
              </w:rPr>
            </w:pPr>
          </w:p>
        </w:tc>
        <w:tc>
          <w:tcPr>
            <w:tcW w:w="14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w w:val="89"/>
              </w:rPr>
              <w:t>$</w:t>
            </w:r>
          </w:p>
        </w:tc>
        <w:tc>
          <w:tcPr>
            <w:tcW w:w="100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318,946</w:t>
            </w:r>
          </w:p>
        </w:tc>
        <w:tc>
          <w:tcPr>
            <w:tcW w:w="140" w:type="dxa"/>
            <w:vAlign w:val="bottom"/>
            <w:shd w:val="clear" w:color="auto" w:fill="CFF0FC"/>
          </w:tcPr>
          <w:p>
            <w:pPr>
              <w:spacing w:after="0"/>
              <w:rPr>
                <w:sz w:val="15"/>
                <w:szCs w:val="15"/>
                <w:color w:val="auto"/>
              </w:rPr>
            </w:pPr>
          </w:p>
        </w:tc>
        <w:tc>
          <w:tcPr>
            <w:tcW w:w="14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w w:val="89"/>
              </w:rPr>
              <w:t>$</w:t>
            </w:r>
          </w:p>
        </w:tc>
        <w:tc>
          <w:tcPr>
            <w:tcW w:w="100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474,038</w:t>
            </w:r>
          </w:p>
        </w:tc>
        <w:tc>
          <w:tcPr>
            <w:tcW w:w="80" w:type="dxa"/>
            <w:vAlign w:val="bottom"/>
            <w:shd w:val="clear" w:color="auto" w:fill="CFF0FC"/>
          </w:tcPr>
          <w:p>
            <w:pPr>
              <w:spacing w:after="0"/>
              <w:rPr>
                <w:sz w:val="15"/>
                <w:szCs w:val="15"/>
                <w:color w:val="auto"/>
              </w:rPr>
            </w:pPr>
          </w:p>
        </w:tc>
      </w:tr>
      <w:tr>
        <w:trPr>
          <w:trHeight w:val="189"/>
        </w:trPr>
        <w:tc>
          <w:tcPr>
            <w:tcW w:w="3320" w:type="dxa"/>
            <w:vAlign w:val="bottom"/>
          </w:tcPr>
          <w:p>
            <w:pPr>
              <w:ind w:left="20"/>
              <w:spacing w:after="0"/>
              <w:rPr>
                <w:sz w:val="20"/>
                <w:szCs w:val="20"/>
                <w:color w:val="auto"/>
              </w:rPr>
            </w:pPr>
            <w:r>
              <w:rPr>
                <w:rFonts w:ascii="Arial" w:cs="Arial" w:eastAsia="Arial" w:hAnsi="Arial"/>
                <w:sz w:val="16"/>
                <w:szCs w:val="16"/>
                <w:color w:val="auto"/>
              </w:rPr>
              <w:t>Cost of goods sold including occupancy</w:t>
            </w:r>
          </w:p>
        </w:tc>
        <w:tc>
          <w:tcPr>
            <w:tcW w:w="1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67,019</w:t>
            </w:r>
          </w:p>
        </w:tc>
        <w:tc>
          <w:tcPr>
            <w:tcW w:w="18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61,024</w:t>
            </w:r>
          </w:p>
        </w:tc>
        <w:tc>
          <w:tcPr>
            <w:tcW w:w="1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74,825</w:t>
            </w:r>
          </w:p>
        </w:tc>
        <w:tc>
          <w:tcPr>
            <w:tcW w:w="18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255,197</w:t>
            </w:r>
          </w:p>
        </w:tc>
        <w:tc>
          <w:tcPr>
            <w:tcW w:w="16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214,081</w:t>
            </w:r>
          </w:p>
        </w:tc>
        <w:tc>
          <w:tcPr>
            <w:tcW w:w="14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269,837</w:t>
            </w:r>
          </w:p>
        </w:tc>
        <w:tc>
          <w:tcPr>
            <w:tcW w:w="80" w:type="dxa"/>
            <w:vAlign w:val="bottom"/>
          </w:tcPr>
          <w:p>
            <w:pPr>
              <w:spacing w:after="0"/>
              <w:rPr>
                <w:sz w:val="16"/>
                <w:szCs w:val="16"/>
                <w:color w:val="auto"/>
              </w:rPr>
            </w:pPr>
          </w:p>
        </w:tc>
      </w:tr>
      <w:tr>
        <w:trPr>
          <w:trHeight w:val="183"/>
        </w:trPr>
        <w:tc>
          <w:tcPr>
            <w:tcW w:w="3320" w:type="dxa"/>
            <w:vAlign w:val="bottom"/>
            <w:shd w:val="clear" w:color="auto" w:fill="CFF0FC"/>
          </w:tcPr>
          <w:p>
            <w:pPr>
              <w:ind w:left="20"/>
              <w:spacing w:after="0" w:line="183" w:lineRule="exact"/>
              <w:rPr>
                <w:sz w:val="20"/>
                <w:szCs w:val="20"/>
                <w:color w:val="auto"/>
              </w:rPr>
            </w:pPr>
            <w:r>
              <w:rPr>
                <w:rFonts w:ascii="Arial" w:cs="Arial" w:eastAsia="Arial" w:hAnsi="Arial"/>
                <w:sz w:val="16"/>
                <w:szCs w:val="16"/>
                <w:color w:val="auto"/>
              </w:rPr>
              <w:t>Gross profit</w:t>
            </w:r>
          </w:p>
        </w:tc>
        <w:tc>
          <w:tcPr>
            <w:tcW w:w="140" w:type="dxa"/>
            <w:vAlign w:val="bottom"/>
            <w:shd w:val="clear" w:color="auto" w:fill="CFF0FC"/>
          </w:tcPr>
          <w:p>
            <w:pPr>
              <w:spacing w:after="0"/>
              <w:rPr>
                <w:sz w:val="15"/>
                <w:szCs w:val="15"/>
                <w:color w:val="auto"/>
              </w:rPr>
            </w:pPr>
          </w:p>
        </w:tc>
        <w:tc>
          <w:tcPr>
            <w:tcW w:w="102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66,432</w:t>
            </w:r>
          </w:p>
        </w:tc>
        <w:tc>
          <w:tcPr>
            <w:tcW w:w="18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02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39,082</w:t>
            </w:r>
          </w:p>
        </w:tc>
        <w:tc>
          <w:tcPr>
            <w:tcW w:w="18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00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56,414</w:t>
            </w:r>
          </w:p>
        </w:tc>
        <w:tc>
          <w:tcPr>
            <w:tcW w:w="18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02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249,824</w:t>
            </w:r>
          </w:p>
        </w:tc>
        <w:tc>
          <w:tcPr>
            <w:tcW w:w="16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00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104,865</w:t>
            </w:r>
          </w:p>
        </w:tc>
        <w:tc>
          <w:tcPr>
            <w:tcW w:w="14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00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204,201</w:t>
            </w:r>
          </w:p>
        </w:tc>
        <w:tc>
          <w:tcPr>
            <w:tcW w:w="80" w:type="dxa"/>
            <w:vAlign w:val="bottom"/>
            <w:shd w:val="clear" w:color="auto" w:fill="CFF0FC"/>
          </w:tcPr>
          <w:p>
            <w:pPr>
              <w:spacing w:after="0"/>
              <w:rPr>
                <w:sz w:val="15"/>
                <w:szCs w:val="15"/>
                <w:color w:val="auto"/>
              </w:rPr>
            </w:pPr>
          </w:p>
        </w:tc>
      </w:tr>
      <w:tr>
        <w:trPr>
          <w:trHeight w:val="189"/>
        </w:trPr>
        <w:tc>
          <w:tcPr>
            <w:tcW w:w="33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189"/>
        </w:trPr>
        <w:tc>
          <w:tcPr>
            <w:tcW w:w="3320" w:type="dxa"/>
            <w:vAlign w:val="bottom"/>
            <w:shd w:val="clear" w:color="auto" w:fill="CFF0FC"/>
          </w:tcPr>
          <w:p>
            <w:pPr>
              <w:ind w:left="20"/>
              <w:spacing w:after="0"/>
              <w:rPr>
                <w:sz w:val="20"/>
                <w:szCs w:val="20"/>
                <w:color w:val="auto"/>
              </w:rPr>
            </w:pPr>
            <w:r>
              <w:rPr>
                <w:rFonts w:ascii="Arial" w:cs="Arial" w:eastAsia="Arial" w:hAnsi="Arial"/>
                <w:sz w:val="16"/>
                <w:szCs w:val="16"/>
                <w:color w:val="auto"/>
              </w:rPr>
              <w:t>Expenses:</w:t>
            </w:r>
          </w:p>
        </w:tc>
        <w:tc>
          <w:tcPr>
            <w:tcW w:w="140" w:type="dxa"/>
            <w:vAlign w:val="bottom"/>
            <w:shd w:val="clear" w:color="auto" w:fill="CFF0FC"/>
          </w:tcPr>
          <w:p>
            <w:pPr>
              <w:spacing w:after="0"/>
              <w:rPr>
                <w:sz w:val="16"/>
                <w:szCs w:val="16"/>
                <w:color w:val="auto"/>
              </w:rPr>
            </w:pPr>
          </w:p>
        </w:tc>
        <w:tc>
          <w:tcPr>
            <w:tcW w:w="102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02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00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02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00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00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r>
      <w:tr>
        <w:trPr>
          <w:trHeight w:val="189"/>
        </w:trPr>
        <w:tc>
          <w:tcPr>
            <w:tcW w:w="3320" w:type="dxa"/>
            <w:vAlign w:val="bottom"/>
          </w:tcPr>
          <w:p>
            <w:pPr>
              <w:ind w:left="120"/>
              <w:spacing w:after="0"/>
              <w:rPr>
                <w:sz w:val="20"/>
                <w:szCs w:val="20"/>
                <w:color w:val="auto"/>
              </w:rPr>
            </w:pPr>
            <w:r>
              <w:rPr>
                <w:rFonts w:ascii="Arial" w:cs="Arial" w:eastAsia="Arial" w:hAnsi="Arial"/>
                <w:sz w:val="16"/>
                <w:szCs w:val="16"/>
                <w:color w:val="auto"/>
              </w:rPr>
              <w:t>Selling, general and administrative</w:t>
            </w:r>
          </w:p>
        </w:tc>
        <w:tc>
          <w:tcPr>
            <w:tcW w:w="14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52,106</w:t>
            </w: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38,335</w:t>
            </w: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46,466</w:t>
            </w: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172,962</w:t>
            </w: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129,062</w:t>
            </w: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180,663</w:t>
            </w:r>
          </w:p>
        </w:tc>
        <w:tc>
          <w:tcPr>
            <w:tcW w:w="80" w:type="dxa"/>
            <w:vAlign w:val="bottom"/>
          </w:tcPr>
          <w:p>
            <w:pPr>
              <w:spacing w:after="0"/>
              <w:rPr>
                <w:sz w:val="16"/>
                <w:szCs w:val="16"/>
                <w:color w:val="auto"/>
              </w:rPr>
            </w:pPr>
          </w:p>
        </w:tc>
      </w:tr>
      <w:tr>
        <w:trPr>
          <w:trHeight w:val="189"/>
        </w:trPr>
        <w:tc>
          <w:tcPr>
            <w:tcW w:w="3320" w:type="dxa"/>
            <w:vAlign w:val="bottom"/>
            <w:shd w:val="clear" w:color="auto" w:fill="CFF0FC"/>
          </w:tcPr>
          <w:p>
            <w:pPr>
              <w:ind w:left="120"/>
              <w:spacing w:after="0"/>
              <w:rPr>
                <w:sz w:val="20"/>
                <w:szCs w:val="20"/>
                <w:color w:val="auto"/>
              </w:rPr>
            </w:pPr>
            <w:r>
              <w:rPr>
                <w:rFonts w:ascii="Arial" w:cs="Arial" w:eastAsia="Arial" w:hAnsi="Arial"/>
                <w:sz w:val="16"/>
                <w:szCs w:val="16"/>
                <w:color w:val="auto"/>
                <w:w w:val="99"/>
              </w:rPr>
              <w:t>Exit costs associated with London operations</w:t>
            </w:r>
          </w:p>
        </w:tc>
        <w:tc>
          <w:tcPr>
            <w:tcW w:w="140" w:type="dxa"/>
            <w:vAlign w:val="bottom"/>
            <w:shd w:val="clear" w:color="auto" w:fill="CFF0FC"/>
          </w:tcPr>
          <w:p>
            <w:pPr>
              <w:spacing w:after="0"/>
              <w:rPr>
                <w:sz w:val="16"/>
                <w:szCs w:val="16"/>
                <w:color w:val="auto"/>
              </w:rPr>
            </w:pPr>
          </w:p>
        </w:tc>
        <w:tc>
          <w:tcPr>
            <w:tcW w:w="120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FF0FC"/>
          </w:tcPr>
          <w:p>
            <w:pPr>
              <w:spacing w:after="0"/>
              <w:rPr>
                <w:sz w:val="16"/>
                <w:szCs w:val="16"/>
                <w:color w:val="auto"/>
              </w:rPr>
            </w:pPr>
          </w:p>
        </w:tc>
        <w:tc>
          <w:tcPr>
            <w:tcW w:w="120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FF0FC"/>
          </w:tcPr>
          <w:p>
            <w:pPr>
              <w:spacing w:after="0"/>
              <w:rPr>
                <w:sz w:val="16"/>
                <w:szCs w:val="16"/>
                <w:color w:val="auto"/>
              </w:rPr>
            </w:pPr>
          </w:p>
        </w:tc>
        <w:tc>
          <w:tcPr>
            <w:tcW w:w="118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shd w:val="clear" w:color="auto" w:fill="CFF0FC"/>
          </w:tcPr>
          <w:p>
            <w:pPr>
              <w:spacing w:after="0"/>
              <w:rPr>
                <w:sz w:val="16"/>
                <w:szCs w:val="16"/>
                <w:color w:val="auto"/>
              </w:rPr>
            </w:pPr>
          </w:p>
        </w:tc>
        <w:tc>
          <w:tcPr>
            <w:tcW w:w="118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FF0FC"/>
          </w:tcPr>
          <w:p>
            <w:pPr>
              <w:spacing w:after="0"/>
              <w:rPr>
                <w:sz w:val="16"/>
                <w:szCs w:val="16"/>
                <w:color w:val="auto"/>
              </w:rPr>
            </w:pPr>
          </w:p>
        </w:tc>
        <w:tc>
          <w:tcPr>
            <w:tcW w:w="114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FF0FC"/>
          </w:tcPr>
          <w:p>
            <w:pPr>
              <w:spacing w:after="0"/>
              <w:rPr>
                <w:sz w:val="16"/>
                <w:szCs w:val="16"/>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1,737</w:t>
            </w:r>
          </w:p>
        </w:tc>
        <w:tc>
          <w:tcPr>
            <w:tcW w:w="80" w:type="dxa"/>
            <w:vAlign w:val="bottom"/>
            <w:shd w:val="clear" w:color="auto" w:fill="CFF0FC"/>
          </w:tcPr>
          <w:p>
            <w:pPr>
              <w:spacing w:after="0"/>
              <w:rPr>
                <w:sz w:val="16"/>
                <w:szCs w:val="16"/>
                <w:color w:val="auto"/>
              </w:rPr>
            </w:pPr>
          </w:p>
        </w:tc>
      </w:tr>
      <w:tr>
        <w:trPr>
          <w:trHeight w:val="189"/>
        </w:trPr>
        <w:tc>
          <w:tcPr>
            <w:tcW w:w="3320" w:type="dxa"/>
            <w:vAlign w:val="bottom"/>
          </w:tcPr>
          <w:p>
            <w:pPr>
              <w:ind w:left="120"/>
              <w:spacing w:after="0"/>
              <w:rPr>
                <w:sz w:val="20"/>
                <w:szCs w:val="20"/>
                <w:color w:val="auto"/>
              </w:rPr>
            </w:pPr>
            <w:r>
              <w:rPr>
                <w:rFonts w:ascii="Arial" w:cs="Arial" w:eastAsia="Arial" w:hAnsi="Arial"/>
                <w:sz w:val="16"/>
                <w:szCs w:val="16"/>
                <w:color w:val="auto"/>
              </w:rPr>
              <w:t>CEO transition costs</w:t>
            </w:r>
          </w:p>
        </w:tc>
        <w:tc>
          <w:tcPr>
            <w:tcW w:w="140" w:type="dxa"/>
            <w:vAlign w:val="bottom"/>
          </w:tcPr>
          <w:p>
            <w:pPr>
              <w:spacing w:after="0"/>
              <w:rPr>
                <w:sz w:val="16"/>
                <w:szCs w:val="16"/>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6"/>
                <w:szCs w:val="16"/>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41</w:t>
            </w: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6"/>
                <w:szCs w:val="16"/>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743</w:t>
            </w:r>
          </w:p>
        </w:tc>
        <w:tc>
          <w:tcPr>
            <w:tcW w:w="80" w:type="dxa"/>
            <w:vAlign w:val="bottom"/>
          </w:tcPr>
          <w:p>
            <w:pPr>
              <w:spacing w:after="0"/>
              <w:rPr>
                <w:sz w:val="16"/>
                <w:szCs w:val="16"/>
                <w:color w:val="auto"/>
              </w:rPr>
            </w:pPr>
          </w:p>
        </w:tc>
      </w:tr>
      <w:tr>
        <w:trPr>
          <w:trHeight w:val="189"/>
        </w:trPr>
        <w:tc>
          <w:tcPr>
            <w:tcW w:w="3320" w:type="dxa"/>
            <w:vAlign w:val="bottom"/>
            <w:shd w:val="clear" w:color="auto" w:fill="CFF0FC"/>
          </w:tcPr>
          <w:p>
            <w:pPr>
              <w:ind w:left="120"/>
              <w:spacing w:after="0"/>
              <w:rPr>
                <w:sz w:val="20"/>
                <w:szCs w:val="20"/>
                <w:color w:val="auto"/>
              </w:rPr>
            </w:pPr>
            <w:r>
              <w:rPr>
                <w:rFonts w:ascii="Arial" w:cs="Arial" w:eastAsia="Arial" w:hAnsi="Arial"/>
                <w:sz w:val="16"/>
                <w:szCs w:val="16"/>
                <w:color w:val="auto"/>
              </w:rPr>
              <w:t>Impairment of assets</w:t>
            </w:r>
          </w:p>
        </w:tc>
        <w:tc>
          <w:tcPr>
            <w:tcW w:w="140" w:type="dxa"/>
            <w:vAlign w:val="bottom"/>
            <w:shd w:val="clear" w:color="auto" w:fill="CFF0FC"/>
          </w:tcPr>
          <w:p>
            <w:pPr>
              <w:spacing w:after="0"/>
              <w:rPr>
                <w:sz w:val="16"/>
                <w:szCs w:val="16"/>
                <w:color w:val="auto"/>
              </w:rPr>
            </w:pPr>
          </w:p>
        </w:tc>
        <w:tc>
          <w:tcPr>
            <w:tcW w:w="120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(241 )</w:t>
            </w:r>
          </w:p>
        </w:tc>
        <w:tc>
          <w:tcPr>
            <w:tcW w:w="140" w:type="dxa"/>
            <w:vAlign w:val="bottom"/>
            <w:shd w:val="clear" w:color="auto" w:fill="CFF0FC"/>
          </w:tcPr>
          <w:p>
            <w:pPr>
              <w:spacing w:after="0"/>
              <w:rPr>
                <w:sz w:val="16"/>
                <w:szCs w:val="16"/>
                <w:color w:val="auto"/>
              </w:rPr>
            </w:pPr>
          </w:p>
        </w:tc>
        <w:tc>
          <w:tcPr>
            <w:tcW w:w="120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(359 )</w:t>
            </w:r>
          </w:p>
        </w:tc>
        <w:tc>
          <w:tcPr>
            <w:tcW w:w="160" w:type="dxa"/>
            <w:vAlign w:val="bottom"/>
            <w:shd w:val="clear" w:color="auto" w:fill="CFF0FC"/>
          </w:tcPr>
          <w:p>
            <w:pPr>
              <w:spacing w:after="0"/>
              <w:rPr>
                <w:sz w:val="16"/>
                <w:szCs w:val="16"/>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889</w:t>
            </w:r>
          </w:p>
        </w:tc>
        <w:tc>
          <w:tcPr>
            <w:tcW w:w="18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18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(2,344 )</w:t>
            </w:r>
          </w:p>
        </w:tc>
        <w:tc>
          <w:tcPr>
            <w:tcW w:w="140" w:type="dxa"/>
            <w:vAlign w:val="bottom"/>
            <w:shd w:val="clear" w:color="auto" w:fill="CFF0FC"/>
          </w:tcPr>
          <w:p>
            <w:pPr>
              <w:spacing w:after="0"/>
              <w:rPr>
                <w:sz w:val="16"/>
                <w:szCs w:val="16"/>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14,841</w:t>
            </w:r>
          </w:p>
        </w:tc>
        <w:tc>
          <w:tcPr>
            <w:tcW w:w="14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889</w:t>
            </w:r>
          </w:p>
        </w:tc>
        <w:tc>
          <w:tcPr>
            <w:tcW w:w="80" w:type="dxa"/>
            <w:vAlign w:val="bottom"/>
            <w:shd w:val="clear" w:color="auto" w:fill="CFF0FC"/>
          </w:tcPr>
          <w:p>
            <w:pPr>
              <w:spacing w:after="0"/>
              <w:rPr>
                <w:sz w:val="16"/>
                <w:szCs w:val="16"/>
                <w:color w:val="auto"/>
              </w:rPr>
            </w:pPr>
          </w:p>
        </w:tc>
      </w:tr>
      <w:tr>
        <w:trPr>
          <w:trHeight w:val="189"/>
        </w:trPr>
        <w:tc>
          <w:tcPr>
            <w:tcW w:w="3320" w:type="dxa"/>
            <w:vAlign w:val="bottom"/>
          </w:tcPr>
          <w:p>
            <w:pPr>
              <w:ind w:left="120"/>
              <w:spacing w:after="0"/>
              <w:rPr>
                <w:sz w:val="20"/>
                <w:szCs w:val="20"/>
                <w:color w:val="auto"/>
              </w:rPr>
            </w:pPr>
            <w:r>
              <w:rPr>
                <w:rFonts w:ascii="Arial" w:cs="Arial" w:eastAsia="Arial" w:hAnsi="Arial"/>
                <w:sz w:val="16"/>
                <w:szCs w:val="16"/>
                <w:color w:val="auto"/>
              </w:rPr>
              <w:t>Depreciation and amortization</w:t>
            </w:r>
          </w:p>
        </w:tc>
        <w:tc>
          <w:tcPr>
            <w:tcW w:w="1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4,195</w:t>
            </w:r>
          </w:p>
        </w:tc>
        <w:tc>
          <w:tcPr>
            <w:tcW w:w="18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5,103</w:t>
            </w:r>
          </w:p>
        </w:tc>
        <w:tc>
          <w:tcPr>
            <w:tcW w:w="1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5,686</w:t>
            </w:r>
          </w:p>
        </w:tc>
        <w:tc>
          <w:tcPr>
            <w:tcW w:w="18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17,226</w:t>
            </w:r>
          </w:p>
        </w:tc>
        <w:tc>
          <w:tcPr>
            <w:tcW w:w="16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21,477</w:t>
            </w:r>
          </w:p>
        </w:tc>
        <w:tc>
          <w:tcPr>
            <w:tcW w:w="14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24,563</w:t>
            </w:r>
          </w:p>
        </w:tc>
        <w:tc>
          <w:tcPr>
            <w:tcW w:w="80" w:type="dxa"/>
            <w:vAlign w:val="bottom"/>
          </w:tcPr>
          <w:p>
            <w:pPr>
              <w:spacing w:after="0"/>
              <w:rPr>
                <w:sz w:val="16"/>
                <w:szCs w:val="16"/>
                <w:color w:val="auto"/>
              </w:rPr>
            </w:pPr>
          </w:p>
        </w:tc>
      </w:tr>
      <w:tr>
        <w:trPr>
          <w:trHeight w:val="183"/>
        </w:trPr>
        <w:tc>
          <w:tcPr>
            <w:tcW w:w="3320" w:type="dxa"/>
            <w:vAlign w:val="bottom"/>
            <w:tcBorders>
              <w:bottom w:val="single" w:sz="8" w:color="CFF0FC"/>
            </w:tcBorders>
            <w:shd w:val="clear" w:color="auto" w:fill="CFF0FC"/>
          </w:tcPr>
          <w:p>
            <w:pPr>
              <w:ind w:left="20"/>
              <w:spacing w:after="0" w:line="183" w:lineRule="exact"/>
              <w:rPr>
                <w:sz w:val="20"/>
                <w:szCs w:val="20"/>
                <w:color w:val="auto"/>
              </w:rPr>
            </w:pPr>
            <w:r>
              <w:rPr>
                <w:rFonts w:ascii="Arial" w:cs="Arial" w:eastAsia="Arial" w:hAnsi="Arial"/>
                <w:sz w:val="16"/>
                <w:szCs w:val="16"/>
                <w:color w:val="auto"/>
              </w:rPr>
              <w:t>Total expenses</w:t>
            </w:r>
          </w:p>
        </w:tc>
        <w:tc>
          <w:tcPr>
            <w:tcW w:w="140" w:type="dxa"/>
            <w:vAlign w:val="bottom"/>
            <w:tcBorders>
              <w:bottom w:val="single" w:sz="8" w:color="auto"/>
            </w:tcBorders>
            <w:shd w:val="clear" w:color="auto" w:fill="CFF0FC"/>
          </w:tcPr>
          <w:p>
            <w:pPr>
              <w:spacing w:after="0"/>
              <w:rPr>
                <w:sz w:val="15"/>
                <w:szCs w:val="15"/>
                <w:color w:val="auto"/>
              </w:rPr>
            </w:pPr>
          </w:p>
        </w:tc>
        <w:tc>
          <w:tcPr>
            <w:tcW w:w="1020" w:type="dxa"/>
            <w:vAlign w:val="bottom"/>
            <w:tcBorders>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rPr>
              <w:t>56,060</w:t>
            </w:r>
          </w:p>
        </w:tc>
        <w:tc>
          <w:tcPr>
            <w:tcW w:w="180" w:type="dxa"/>
            <w:vAlign w:val="bottom"/>
            <w:tcBorders>
              <w:bottom w:val="single" w:sz="8" w:color="CFF0FC"/>
            </w:tcBorders>
            <w:shd w:val="clear" w:color="auto" w:fill="CFF0FC"/>
          </w:tcPr>
          <w:p>
            <w:pPr>
              <w:spacing w:after="0"/>
              <w:rPr>
                <w:sz w:val="15"/>
                <w:szCs w:val="15"/>
                <w:color w:val="auto"/>
              </w:rPr>
            </w:pPr>
          </w:p>
        </w:tc>
        <w:tc>
          <w:tcPr>
            <w:tcW w:w="140" w:type="dxa"/>
            <w:vAlign w:val="bottom"/>
            <w:tcBorders>
              <w:bottom w:val="single" w:sz="8" w:color="auto"/>
            </w:tcBorders>
            <w:shd w:val="clear" w:color="auto" w:fill="CFF0FC"/>
          </w:tcPr>
          <w:p>
            <w:pPr>
              <w:spacing w:after="0"/>
              <w:rPr>
                <w:sz w:val="15"/>
                <w:szCs w:val="15"/>
                <w:color w:val="auto"/>
              </w:rPr>
            </w:pPr>
          </w:p>
        </w:tc>
        <w:tc>
          <w:tcPr>
            <w:tcW w:w="1020" w:type="dxa"/>
            <w:vAlign w:val="bottom"/>
            <w:tcBorders>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rPr>
              <w:t>43,079</w:t>
            </w:r>
          </w:p>
        </w:tc>
        <w:tc>
          <w:tcPr>
            <w:tcW w:w="180" w:type="dxa"/>
            <w:vAlign w:val="bottom"/>
            <w:tcBorders>
              <w:bottom w:val="single" w:sz="8" w:color="CFF0FC"/>
            </w:tcBorders>
            <w:shd w:val="clear" w:color="auto" w:fill="CFF0FC"/>
          </w:tcPr>
          <w:p>
            <w:pPr>
              <w:spacing w:after="0"/>
              <w:rPr>
                <w:sz w:val="15"/>
                <w:szCs w:val="15"/>
                <w:color w:val="auto"/>
              </w:rPr>
            </w:pPr>
          </w:p>
        </w:tc>
        <w:tc>
          <w:tcPr>
            <w:tcW w:w="160" w:type="dxa"/>
            <w:vAlign w:val="bottom"/>
            <w:tcBorders>
              <w:bottom w:val="single" w:sz="8" w:color="auto"/>
            </w:tcBorders>
            <w:shd w:val="clear" w:color="auto" w:fill="CFF0FC"/>
          </w:tcPr>
          <w:p>
            <w:pPr>
              <w:spacing w:after="0"/>
              <w:rPr>
                <w:sz w:val="15"/>
                <w:szCs w:val="15"/>
                <w:color w:val="auto"/>
              </w:rPr>
            </w:pPr>
          </w:p>
        </w:tc>
        <w:tc>
          <w:tcPr>
            <w:tcW w:w="1000" w:type="dxa"/>
            <w:vAlign w:val="bottom"/>
            <w:tcBorders>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rPr>
              <w:t>53,082</w:t>
            </w:r>
          </w:p>
        </w:tc>
        <w:tc>
          <w:tcPr>
            <w:tcW w:w="180" w:type="dxa"/>
            <w:vAlign w:val="bottom"/>
            <w:tcBorders>
              <w:bottom w:val="single" w:sz="8" w:color="CFF0FC"/>
            </w:tcBorders>
            <w:shd w:val="clear" w:color="auto" w:fill="CFF0FC"/>
          </w:tcPr>
          <w:p>
            <w:pPr>
              <w:spacing w:after="0"/>
              <w:rPr>
                <w:sz w:val="15"/>
                <w:szCs w:val="15"/>
                <w:color w:val="auto"/>
              </w:rPr>
            </w:pPr>
          </w:p>
        </w:tc>
        <w:tc>
          <w:tcPr>
            <w:tcW w:w="140" w:type="dxa"/>
            <w:vAlign w:val="bottom"/>
            <w:tcBorders>
              <w:bottom w:val="single" w:sz="8" w:color="auto"/>
            </w:tcBorders>
            <w:shd w:val="clear" w:color="auto" w:fill="CFF0FC"/>
          </w:tcPr>
          <w:p>
            <w:pPr>
              <w:spacing w:after="0"/>
              <w:rPr>
                <w:sz w:val="15"/>
                <w:szCs w:val="15"/>
                <w:color w:val="auto"/>
              </w:rPr>
            </w:pPr>
          </w:p>
        </w:tc>
        <w:tc>
          <w:tcPr>
            <w:tcW w:w="1020" w:type="dxa"/>
            <w:vAlign w:val="bottom"/>
            <w:tcBorders>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rPr>
              <w:t>187,844</w:t>
            </w:r>
          </w:p>
        </w:tc>
        <w:tc>
          <w:tcPr>
            <w:tcW w:w="160" w:type="dxa"/>
            <w:vAlign w:val="bottom"/>
            <w:tcBorders>
              <w:bottom w:val="single" w:sz="8" w:color="CFF0FC"/>
            </w:tcBorders>
            <w:shd w:val="clear" w:color="auto" w:fill="CFF0FC"/>
          </w:tcPr>
          <w:p>
            <w:pPr>
              <w:spacing w:after="0"/>
              <w:rPr>
                <w:sz w:val="15"/>
                <w:szCs w:val="15"/>
                <w:color w:val="auto"/>
              </w:rPr>
            </w:pPr>
          </w:p>
        </w:tc>
        <w:tc>
          <w:tcPr>
            <w:tcW w:w="140" w:type="dxa"/>
            <w:vAlign w:val="bottom"/>
            <w:tcBorders>
              <w:bottom w:val="single" w:sz="8" w:color="auto"/>
            </w:tcBorders>
            <w:shd w:val="clear" w:color="auto" w:fill="CFF0FC"/>
          </w:tcPr>
          <w:p>
            <w:pPr>
              <w:spacing w:after="0"/>
              <w:rPr>
                <w:sz w:val="15"/>
                <w:szCs w:val="15"/>
                <w:color w:val="auto"/>
              </w:rPr>
            </w:pPr>
          </w:p>
        </w:tc>
        <w:tc>
          <w:tcPr>
            <w:tcW w:w="1000" w:type="dxa"/>
            <w:vAlign w:val="bottom"/>
            <w:tcBorders>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rPr>
              <w:t>165,380</w:t>
            </w:r>
          </w:p>
        </w:tc>
        <w:tc>
          <w:tcPr>
            <w:tcW w:w="140" w:type="dxa"/>
            <w:vAlign w:val="bottom"/>
            <w:tcBorders>
              <w:bottom w:val="single" w:sz="8" w:color="CFF0FC"/>
            </w:tcBorders>
            <w:shd w:val="clear" w:color="auto" w:fill="CFF0FC"/>
          </w:tcPr>
          <w:p>
            <w:pPr>
              <w:spacing w:after="0"/>
              <w:rPr>
                <w:sz w:val="15"/>
                <w:szCs w:val="15"/>
                <w:color w:val="auto"/>
              </w:rPr>
            </w:pPr>
          </w:p>
        </w:tc>
        <w:tc>
          <w:tcPr>
            <w:tcW w:w="140" w:type="dxa"/>
            <w:vAlign w:val="bottom"/>
            <w:tcBorders>
              <w:bottom w:val="single" w:sz="8" w:color="auto"/>
            </w:tcBorders>
            <w:shd w:val="clear" w:color="auto" w:fill="CFF0FC"/>
          </w:tcPr>
          <w:p>
            <w:pPr>
              <w:spacing w:after="0"/>
              <w:rPr>
                <w:sz w:val="15"/>
                <w:szCs w:val="15"/>
                <w:color w:val="auto"/>
              </w:rPr>
            </w:pPr>
          </w:p>
        </w:tc>
        <w:tc>
          <w:tcPr>
            <w:tcW w:w="1000" w:type="dxa"/>
            <w:vAlign w:val="bottom"/>
            <w:tcBorders>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rPr>
              <w:t>208,595</w:t>
            </w:r>
          </w:p>
        </w:tc>
        <w:tc>
          <w:tcPr>
            <w:tcW w:w="80" w:type="dxa"/>
            <w:vAlign w:val="bottom"/>
            <w:tcBorders>
              <w:bottom w:val="single" w:sz="8" w:color="CFF0FC"/>
            </w:tcBorders>
            <w:shd w:val="clear" w:color="auto" w:fill="CFF0FC"/>
          </w:tcPr>
          <w:p>
            <w:pPr>
              <w:spacing w:after="0"/>
              <w:rPr>
                <w:sz w:val="15"/>
                <w:szCs w:val="15"/>
                <w:color w:val="auto"/>
              </w:rPr>
            </w:pPr>
          </w:p>
        </w:tc>
      </w:tr>
      <w:tr>
        <w:trPr>
          <w:trHeight w:val="183"/>
        </w:trPr>
        <w:tc>
          <w:tcPr>
            <w:tcW w:w="33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0" w:type="dxa"/>
            <w:vAlign w:val="bottom"/>
            <w:gridSpan w:val="2"/>
          </w:tcPr>
          <w:p>
            <w:pPr>
              <w:spacing w:after="0"/>
              <w:rPr>
                <w:sz w:val="15"/>
                <w:szCs w:val="15"/>
                <w:color w:val="auto"/>
              </w:rPr>
            </w:pPr>
          </w:p>
        </w:tc>
        <w:tc>
          <w:tcPr>
            <w:tcW w:w="1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40" w:type="dxa"/>
            <w:vAlign w:val="bottom"/>
            <w:gridSpan w:val="2"/>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gridSpan w:val="2"/>
          </w:tcPr>
          <w:p>
            <w:pPr>
              <w:spacing w:after="0"/>
              <w:rPr>
                <w:sz w:val="15"/>
                <w:szCs w:val="15"/>
                <w:color w:val="auto"/>
              </w:rPr>
            </w:pPr>
          </w:p>
        </w:tc>
      </w:tr>
      <w:tr>
        <w:trPr>
          <w:trHeight w:val="189"/>
        </w:trPr>
        <w:tc>
          <w:tcPr>
            <w:tcW w:w="3320" w:type="dxa"/>
            <w:vAlign w:val="bottom"/>
            <w:shd w:val="clear" w:color="auto" w:fill="CFF0FC"/>
          </w:tcPr>
          <w:p>
            <w:pPr>
              <w:ind w:left="20"/>
              <w:spacing w:after="0"/>
              <w:rPr>
                <w:sz w:val="20"/>
                <w:szCs w:val="20"/>
                <w:color w:val="auto"/>
              </w:rPr>
            </w:pPr>
            <w:r>
              <w:rPr>
                <w:rFonts w:ascii="Arial" w:cs="Arial" w:eastAsia="Arial" w:hAnsi="Arial"/>
                <w:sz w:val="16"/>
                <w:szCs w:val="16"/>
                <w:color w:val="auto"/>
              </w:rPr>
              <w:t>Operating income (loss)</w:t>
            </w:r>
          </w:p>
        </w:tc>
        <w:tc>
          <w:tcPr>
            <w:tcW w:w="140" w:type="dxa"/>
            <w:vAlign w:val="bottom"/>
            <w:shd w:val="clear" w:color="auto" w:fill="CFF0FC"/>
          </w:tcPr>
          <w:p>
            <w:pPr>
              <w:spacing w:after="0"/>
              <w:rPr>
                <w:sz w:val="16"/>
                <w:szCs w:val="16"/>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10,372</w:t>
            </w:r>
          </w:p>
        </w:tc>
        <w:tc>
          <w:tcPr>
            <w:tcW w:w="18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20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(3,997 )</w:t>
            </w:r>
          </w:p>
        </w:tc>
        <w:tc>
          <w:tcPr>
            <w:tcW w:w="160" w:type="dxa"/>
            <w:vAlign w:val="bottom"/>
            <w:shd w:val="clear" w:color="auto" w:fill="CFF0FC"/>
          </w:tcPr>
          <w:p>
            <w:pPr>
              <w:spacing w:after="0"/>
              <w:rPr>
                <w:sz w:val="16"/>
                <w:szCs w:val="16"/>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3,332</w:t>
            </w:r>
          </w:p>
        </w:tc>
        <w:tc>
          <w:tcPr>
            <w:tcW w:w="18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61,980</w:t>
            </w:r>
          </w:p>
        </w:tc>
        <w:tc>
          <w:tcPr>
            <w:tcW w:w="16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14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(60,515 )</w:t>
            </w:r>
          </w:p>
        </w:tc>
        <w:tc>
          <w:tcPr>
            <w:tcW w:w="140" w:type="dxa"/>
            <w:vAlign w:val="bottom"/>
            <w:shd w:val="clear" w:color="auto" w:fill="CFF0FC"/>
          </w:tcPr>
          <w:p>
            <w:pPr>
              <w:spacing w:after="0"/>
              <w:rPr>
                <w:sz w:val="16"/>
                <w:szCs w:val="16"/>
                <w:color w:val="auto"/>
              </w:rPr>
            </w:pPr>
          </w:p>
        </w:tc>
        <w:tc>
          <w:tcPr>
            <w:tcW w:w="108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(4,394 )</w:t>
            </w:r>
          </w:p>
        </w:tc>
      </w:tr>
      <w:tr>
        <w:trPr>
          <w:trHeight w:val="189"/>
        </w:trPr>
        <w:tc>
          <w:tcPr>
            <w:tcW w:w="33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0" w:type="dxa"/>
            <w:vAlign w:val="bottom"/>
            <w:gridSpan w:val="2"/>
          </w:tcPr>
          <w:p>
            <w:pPr>
              <w:spacing w:after="0"/>
              <w:rPr>
                <w:sz w:val="16"/>
                <w:szCs w:val="16"/>
                <w:color w:val="auto"/>
              </w:rPr>
            </w:pPr>
          </w:p>
        </w:tc>
        <w:tc>
          <w:tcPr>
            <w:tcW w:w="140" w:type="dxa"/>
            <w:vAlign w:val="bottom"/>
          </w:tcPr>
          <w:p>
            <w:pPr>
              <w:spacing w:after="0"/>
              <w:rPr>
                <w:sz w:val="16"/>
                <w:szCs w:val="16"/>
                <w:color w:val="auto"/>
              </w:rPr>
            </w:pPr>
          </w:p>
        </w:tc>
        <w:tc>
          <w:tcPr>
            <w:tcW w:w="1200" w:type="dxa"/>
            <w:vAlign w:val="bottom"/>
            <w:gridSpan w:val="2"/>
          </w:tcPr>
          <w:p>
            <w:pPr>
              <w:spacing w:after="0"/>
              <w:rPr>
                <w:sz w:val="16"/>
                <w:szCs w:val="16"/>
                <w:color w:val="auto"/>
              </w:rPr>
            </w:pPr>
          </w:p>
        </w:tc>
        <w:tc>
          <w:tcPr>
            <w:tcW w:w="160" w:type="dxa"/>
            <w:vAlign w:val="bottom"/>
          </w:tcPr>
          <w:p>
            <w:pPr>
              <w:spacing w:after="0"/>
              <w:rPr>
                <w:sz w:val="16"/>
                <w:szCs w:val="16"/>
                <w:color w:val="auto"/>
              </w:rPr>
            </w:pPr>
          </w:p>
        </w:tc>
        <w:tc>
          <w:tcPr>
            <w:tcW w:w="1180" w:type="dxa"/>
            <w:vAlign w:val="bottom"/>
            <w:gridSpan w:val="2"/>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gridSpan w:val="2"/>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gridSpan w:val="2"/>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gridSpan w:val="2"/>
          </w:tcPr>
          <w:p>
            <w:pPr>
              <w:spacing w:after="0"/>
              <w:rPr>
                <w:sz w:val="16"/>
                <w:szCs w:val="16"/>
                <w:color w:val="auto"/>
              </w:rPr>
            </w:pPr>
          </w:p>
        </w:tc>
      </w:tr>
      <w:tr>
        <w:trPr>
          <w:trHeight w:val="189"/>
        </w:trPr>
        <w:tc>
          <w:tcPr>
            <w:tcW w:w="3320" w:type="dxa"/>
            <w:vAlign w:val="bottom"/>
            <w:shd w:val="clear" w:color="auto" w:fill="CFF0FC"/>
          </w:tcPr>
          <w:p>
            <w:pPr>
              <w:ind w:left="20"/>
              <w:spacing w:after="0"/>
              <w:rPr>
                <w:sz w:val="20"/>
                <w:szCs w:val="20"/>
                <w:color w:val="auto"/>
              </w:rPr>
            </w:pPr>
            <w:r>
              <w:rPr>
                <w:rFonts w:ascii="Arial" w:cs="Arial" w:eastAsia="Arial" w:hAnsi="Arial"/>
                <w:sz w:val="16"/>
                <w:szCs w:val="16"/>
                <w:color w:val="auto"/>
              </w:rPr>
              <w:t>Interest expense, net</w:t>
            </w:r>
          </w:p>
        </w:tc>
        <w:tc>
          <w:tcPr>
            <w:tcW w:w="140" w:type="dxa"/>
            <w:vAlign w:val="bottom"/>
            <w:shd w:val="clear" w:color="auto" w:fill="CFF0FC"/>
          </w:tcPr>
          <w:p>
            <w:pPr>
              <w:spacing w:after="0"/>
              <w:rPr>
                <w:sz w:val="16"/>
                <w:szCs w:val="16"/>
                <w:color w:val="auto"/>
              </w:rPr>
            </w:pPr>
          </w:p>
        </w:tc>
        <w:tc>
          <w:tcPr>
            <w:tcW w:w="120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(94 )</w:t>
            </w:r>
          </w:p>
        </w:tc>
        <w:tc>
          <w:tcPr>
            <w:tcW w:w="140" w:type="dxa"/>
            <w:vAlign w:val="bottom"/>
            <w:shd w:val="clear" w:color="auto" w:fill="CFF0FC"/>
          </w:tcPr>
          <w:p>
            <w:pPr>
              <w:spacing w:after="0"/>
              <w:rPr>
                <w:sz w:val="16"/>
                <w:szCs w:val="16"/>
                <w:color w:val="auto"/>
              </w:rPr>
            </w:pPr>
          </w:p>
        </w:tc>
        <w:tc>
          <w:tcPr>
            <w:tcW w:w="120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(1,044 )</w:t>
            </w:r>
          </w:p>
        </w:tc>
        <w:tc>
          <w:tcPr>
            <w:tcW w:w="160" w:type="dxa"/>
            <w:vAlign w:val="bottom"/>
            <w:shd w:val="clear" w:color="auto" w:fill="CFF0FC"/>
          </w:tcPr>
          <w:p>
            <w:pPr>
              <w:spacing w:after="0"/>
              <w:rPr>
                <w:sz w:val="16"/>
                <w:szCs w:val="16"/>
                <w:color w:val="auto"/>
              </w:rPr>
            </w:pPr>
          </w:p>
        </w:tc>
        <w:tc>
          <w:tcPr>
            <w:tcW w:w="118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(712 )</w:t>
            </w:r>
          </w:p>
        </w:tc>
        <w:tc>
          <w:tcPr>
            <w:tcW w:w="140" w:type="dxa"/>
            <w:vAlign w:val="bottom"/>
            <w:shd w:val="clear" w:color="auto" w:fill="CFF0FC"/>
          </w:tcPr>
          <w:p>
            <w:pPr>
              <w:spacing w:after="0"/>
              <w:rPr>
                <w:sz w:val="16"/>
                <w:szCs w:val="16"/>
                <w:color w:val="auto"/>
              </w:rPr>
            </w:pPr>
          </w:p>
        </w:tc>
        <w:tc>
          <w:tcPr>
            <w:tcW w:w="118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(4,350 )</w:t>
            </w:r>
          </w:p>
        </w:tc>
        <w:tc>
          <w:tcPr>
            <w:tcW w:w="140" w:type="dxa"/>
            <w:vAlign w:val="bottom"/>
            <w:shd w:val="clear" w:color="auto" w:fill="CFF0FC"/>
          </w:tcPr>
          <w:p>
            <w:pPr>
              <w:spacing w:after="0"/>
              <w:rPr>
                <w:sz w:val="16"/>
                <w:szCs w:val="16"/>
                <w:color w:val="auto"/>
              </w:rPr>
            </w:pPr>
          </w:p>
        </w:tc>
        <w:tc>
          <w:tcPr>
            <w:tcW w:w="114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(3,917 )</w:t>
            </w:r>
          </w:p>
        </w:tc>
        <w:tc>
          <w:tcPr>
            <w:tcW w:w="140" w:type="dxa"/>
            <w:vAlign w:val="bottom"/>
            <w:shd w:val="clear" w:color="auto" w:fill="CFF0FC"/>
          </w:tcPr>
          <w:p>
            <w:pPr>
              <w:spacing w:after="0"/>
              <w:rPr>
                <w:sz w:val="16"/>
                <w:szCs w:val="16"/>
                <w:color w:val="auto"/>
              </w:rPr>
            </w:pPr>
          </w:p>
        </w:tc>
        <w:tc>
          <w:tcPr>
            <w:tcW w:w="108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(3,297 )</w:t>
            </w:r>
          </w:p>
        </w:tc>
      </w:tr>
      <w:tr>
        <w:trPr>
          <w:trHeight w:val="183"/>
        </w:trPr>
        <w:tc>
          <w:tcPr>
            <w:tcW w:w="3320" w:type="dxa"/>
            <w:vAlign w:val="bottom"/>
            <w:tcBorders>
              <w:top w:val="single" w:sz="8" w:color="CFF0FC"/>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020" w:type="dxa"/>
            <w:vAlign w:val="bottom"/>
            <w:tcBorders>
              <w:top w:val="single" w:sz="8" w:color="auto"/>
            </w:tcBorders>
          </w:tcPr>
          <w:p>
            <w:pPr>
              <w:spacing w:after="0"/>
              <w:rPr>
                <w:sz w:val="15"/>
                <w:szCs w:val="15"/>
                <w:color w:val="auto"/>
              </w:rPr>
            </w:pPr>
          </w:p>
        </w:tc>
        <w:tc>
          <w:tcPr>
            <w:tcW w:w="180" w:type="dxa"/>
            <w:vAlign w:val="bottom"/>
            <w:tcBorders>
              <w:top w:val="single" w:sz="8" w:color="CFF0FC"/>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020" w:type="dxa"/>
            <w:vAlign w:val="bottom"/>
            <w:tcBorders>
              <w:top w:val="single" w:sz="8" w:color="auto"/>
            </w:tcBorders>
          </w:tcPr>
          <w:p>
            <w:pPr>
              <w:spacing w:after="0"/>
              <w:rPr>
                <w:sz w:val="15"/>
                <w:szCs w:val="15"/>
                <w:color w:val="auto"/>
              </w:rPr>
            </w:pPr>
          </w:p>
        </w:tc>
        <w:tc>
          <w:tcPr>
            <w:tcW w:w="180" w:type="dxa"/>
            <w:vAlign w:val="bottom"/>
            <w:tcBorders>
              <w:top w:val="single" w:sz="8" w:color="CFF0FC"/>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1000" w:type="dxa"/>
            <w:vAlign w:val="bottom"/>
            <w:tcBorders>
              <w:top w:val="single" w:sz="8" w:color="auto"/>
            </w:tcBorders>
          </w:tcPr>
          <w:p>
            <w:pPr>
              <w:spacing w:after="0"/>
              <w:rPr>
                <w:sz w:val="15"/>
                <w:szCs w:val="15"/>
                <w:color w:val="auto"/>
              </w:rPr>
            </w:pPr>
          </w:p>
        </w:tc>
        <w:tc>
          <w:tcPr>
            <w:tcW w:w="180" w:type="dxa"/>
            <w:vAlign w:val="bottom"/>
            <w:tcBorders>
              <w:top w:val="single" w:sz="8" w:color="CFF0FC"/>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020" w:type="dxa"/>
            <w:vAlign w:val="bottom"/>
            <w:tcBorders>
              <w:top w:val="single" w:sz="8" w:color="auto"/>
            </w:tcBorders>
          </w:tcPr>
          <w:p>
            <w:pPr>
              <w:spacing w:after="0"/>
              <w:rPr>
                <w:sz w:val="15"/>
                <w:szCs w:val="15"/>
                <w:color w:val="auto"/>
              </w:rPr>
            </w:pPr>
          </w:p>
        </w:tc>
        <w:tc>
          <w:tcPr>
            <w:tcW w:w="160" w:type="dxa"/>
            <w:vAlign w:val="bottom"/>
            <w:tcBorders>
              <w:top w:val="single" w:sz="8" w:color="CFF0FC"/>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000" w:type="dxa"/>
            <w:vAlign w:val="bottom"/>
            <w:tcBorders>
              <w:top w:val="single" w:sz="8" w:color="auto"/>
            </w:tcBorders>
          </w:tcPr>
          <w:p>
            <w:pPr>
              <w:spacing w:after="0"/>
              <w:rPr>
                <w:sz w:val="15"/>
                <w:szCs w:val="15"/>
                <w:color w:val="auto"/>
              </w:rPr>
            </w:pPr>
          </w:p>
        </w:tc>
        <w:tc>
          <w:tcPr>
            <w:tcW w:w="140" w:type="dxa"/>
            <w:vAlign w:val="bottom"/>
            <w:tcBorders>
              <w:top w:val="single" w:sz="8" w:color="CFF0FC"/>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000" w:type="dxa"/>
            <w:vAlign w:val="bottom"/>
            <w:tcBorders>
              <w:top w:val="single" w:sz="8" w:color="auto"/>
            </w:tcBorders>
          </w:tcPr>
          <w:p>
            <w:pPr>
              <w:spacing w:after="0"/>
              <w:rPr>
                <w:sz w:val="15"/>
                <w:szCs w:val="15"/>
                <w:color w:val="auto"/>
              </w:rPr>
            </w:pPr>
          </w:p>
        </w:tc>
        <w:tc>
          <w:tcPr>
            <w:tcW w:w="80" w:type="dxa"/>
            <w:vAlign w:val="bottom"/>
            <w:tcBorders>
              <w:top w:val="single" w:sz="8" w:color="CFF0FC"/>
            </w:tcBorders>
          </w:tcPr>
          <w:p>
            <w:pPr>
              <w:spacing w:after="0"/>
              <w:rPr>
                <w:sz w:val="15"/>
                <w:szCs w:val="15"/>
                <w:color w:val="auto"/>
              </w:rPr>
            </w:pPr>
          </w:p>
        </w:tc>
      </w:tr>
      <w:tr>
        <w:trPr>
          <w:trHeight w:val="189"/>
        </w:trPr>
        <w:tc>
          <w:tcPr>
            <w:tcW w:w="3320" w:type="dxa"/>
            <w:vAlign w:val="bottom"/>
            <w:shd w:val="clear" w:color="auto" w:fill="CFF0FC"/>
          </w:tcPr>
          <w:p>
            <w:pPr>
              <w:ind w:left="20"/>
              <w:spacing w:after="0"/>
              <w:rPr>
                <w:sz w:val="20"/>
                <w:szCs w:val="20"/>
                <w:color w:val="auto"/>
              </w:rPr>
            </w:pPr>
            <w:r>
              <w:rPr>
                <w:rFonts w:ascii="Arial" w:cs="Arial" w:eastAsia="Arial" w:hAnsi="Arial"/>
                <w:sz w:val="16"/>
                <w:szCs w:val="16"/>
                <w:color w:val="auto"/>
                <w:w w:val="97"/>
              </w:rPr>
              <w:t>Income (loss) before provision for income taxes</w:t>
            </w:r>
          </w:p>
        </w:tc>
        <w:tc>
          <w:tcPr>
            <w:tcW w:w="140" w:type="dxa"/>
            <w:vAlign w:val="bottom"/>
            <w:shd w:val="clear" w:color="auto" w:fill="CFF0FC"/>
          </w:tcPr>
          <w:p>
            <w:pPr>
              <w:spacing w:after="0"/>
              <w:rPr>
                <w:sz w:val="16"/>
                <w:szCs w:val="16"/>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10,278</w:t>
            </w:r>
          </w:p>
        </w:tc>
        <w:tc>
          <w:tcPr>
            <w:tcW w:w="18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20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(5,041 )</w:t>
            </w:r>
          </w:p>
        </w:tc>
        <w:tc>
          <w:tcPr>
            <w:tcW w:w="160" w:type="dxa"/>
            <w:vAlign w:val="bottom"/>
            <w:shd w:val="clear" w:color="auto" w:fill="CFF0FC"/>
          </w:tcPr>
          <w:p>
            <w:pPr>
              <w:spacing w:after="0"/>
              <w:rPr>
                <w:sz w:val="16"/>
                <w:szCs w:val="16"/>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2,620</w:t>
            </w:r>
          </w:p>
        </w:tc>
        <w:tc>
          <w:tcPr>
            <w:tcW w:w="18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57,630</w:t>
            </w:r>
          </w:p>
        </w:tc>
        <w:tc>
          <w:tcPr>
            <w:tcW w:w="16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14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(64,432 )</w:t>
            </w:r>
          </w:p>
        </w:tc>
        <w:tc>
          <w:tcPr>
            <w:tcW w:w="140" w:type="dxa"/>
            <w:vAlign w:val="bottom"/>
            <w:shd w:val="clear" w:color="auto" w:fill="CFF0FC"/>
          </w:tcPr>
          <w:p>
            <w:pPr>
              <w:spacing w:after="0"/>
              <w:rPr>
                <w:sz w:val="16"/>
                <w:szCs w:val="16"/>
                <w:color w:val="auto"/>
              </w:rPr>
            </w:pPr>
          </w:p>
        </w:tc>
        <w:tc>
          <w:tcPr>
            <w:tcW w:w="108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(7,691 )</w:t>
            </w:r>
          </w:p>
        </w:tc>
      </w:tr>
      <w:tr>
        <w:trPr>
          <w:trHeight w:val="189"/>
        </w:trPr>
        <w:tc>
          <w:tcPr>
            <w:tcW w:w="33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189"/>
        </w:trPr>
        <w:tc>
          <w:tcPr>
            <w:tcW w:w="33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6"/>
                <w:szCs w:val="16"/>
                <w:color w:val="auto"/>
              </w:rPr>
              <w:t>Provision for income taxes</w:t>
            </w:r>
          </w:p>
        </w:tc>
        <w:tc>
          <w:tcPr>
            <w:tcW w:w="140" w:type="dxa"/>
            <w:vAlign w:val="bottom"/>
            <w:tcBorders>
              <w:bottom w:val="single" w:sz="8" w:color="auto"/>
            </w:tcBorders>
            <w:shd w:val="clear" w:color="auto" w:fill="CFF0FC"/>
          </w:tcPr>
          <w:p>
            <w:pPr>
              <w:spacing w:after="0"/>
              <w:rPr>
                <w:sz w:val="16"/>
                <w:szCs w:val="16"/>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369</w:t>
            </w:r>
          </w:p>
        </w:tc>
        <w:tc>
          <w:tcPr>
            <w:tcW w:w="180" w:type="dxa"/>
            <w:vAlign w:val="bottom"/>
            <w:tcBorders>
              <w:bottom w:val="single" w:sz="8" w:color="CFF0FC"/>
            </w:tcBorders>
            <w:shd w:val="clear" w:color="auto" w:fill="CFF0FC"/>
          </w:tcPr>
          <w:p>
            <w:pPr>
              <w:spacing w:after="0"/>
              <w:rPr>
                <w:sz w:val="16"/>
                <w:szCs w:val="16"/>
                <w:color w:val="auto"/>
              </w:rPr>
            </w:pPr>
          </w:p>
        </w:tc>
        <w:tc>
          <w:tcPr>
            <w:tcW w:w="140" w:type="dxa"/>
            <w:vAlign w:val="bottom"/>
            <w:tcBorders>
              <w:bottom w:val="single" w:sz="8" w:color="auto"/>
            </w:tcBorders>
            <w:shd w:val="clear" w:color="auto" w:fill="CFF0FC"/>
          </w:tcPr>
          <w:p>
            <w:pPr>
              <w:spacing w:after="0"/>
              <w:rPr>
                <w:sz w:val="16"/>
                <w:szCs w:val="16"/>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35</w:t>
            </w:r>
          </w:p>
        </w:tc>
        <w:tc>
          <w:tcPr>
            <w:tcW w:w="180" w:type="dxa"/>
            <w:vAlign w:val="bottom"/>
            <w:tcBorders>
              <w:bottom w:val="single" w:sz="8" w:color="CFF0FC"/>
            </w:tcBorders>
            <w:shd w:val="clear" w:color="auto" w:fill="CFF0FC"/>
          </w:tcPr>
          <w:p>
            <w:pPr>
              <w:spacing w:after="0"/>
              <w:rPr>
                <w:sz w:val="16"/>
                <w:szCs w:val="16"/>
                <w:color w:val="auto"/>
              </w:rPr>
            </w:pPr>
          </w:p>
        </w:tc>
        <w:tc>
          <w:tcPr>
            <w:tcW w:w="160" w:type="dxa"/>
            <w:vAlign w:val="bottom"/>
            <w:tcBorders>
              <w:bottom w:val="single" w:sz="8" w:color="auto"/>
            </w:tcBorders>
            <w:shd w:val="clear" w:color="auto" w:fill="CFF0FC"/>
          </w:tcPr>
          <w:p>
            <w:pPr>
              <w:spacing w:after="0"/>
              <w:rPr>
                <w:sz w:val="16"/>
                <w:szCs w:val="16"/>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183</w:t>
            </w:r>
          </w:p>
        </w:tc>
        <w:tc>
          <w:tcPr>
            <w:tcW w:w="180" w:type="dxa"/>
            <w:vAlign w:val="bottom"/>
            <w:tcBorders>
              <w:bottom w:val="single" w:sz="8" w:color="CFF0FC"/>
            </w:tcBorders>
            <w:shd w:val="clear" w:color="auto" w:fill="CFF0FC"/>
          </w:tcPr>
          <w:p>
            <w:pPr>
              <w:spacing w:after="0"/>
              <w:rPr>
                <w:sz w:val="16"/>
                <w:szCs w:val="16"/>
                <w:color w:val="auto"/>
              </w:rPr>
            </w:pPr>
          </w:p>
        </w:tc>
        <w:tc>
          <w:tcPr>
            <w:tcW w:w="140" w:type="dxa"/>
            <w:vAlign w:val="bottom"/>
            <w:tcBorders>
              <w:bottom w:val="single" w:sz="8" w:color="auto"/>
            </w:tcBorders>
            <w:shd w:val="clear" w:color="auto" w:fill="CFF0FC"/>
          </w:tcPr>
          <w:p>
            <w:pPr>
              <w:spacing w:after="0"/>
              <w:rPr>
                <w:sz w:val="16"/>
                <w:szCs w:val="16"/>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917</w:t>
            </w:r>
          </w:p>
        </w:tc>
        <w:tc>
          <w:tcPr>
            <w:tcW w:w="160" w:type="dxa"/>
            <w:vAlign w:val="bottom"/>
            <w:tcBorders>
              <w:bottom w:val="single" w:sz="8" w:color="CFF0FC"/>
            </w:tcBorders>
            <w:shd w:val="clear" w:color="auto" w:fill="CFF0FC"/>
          </w:tcPr>
          <w:p>
            <w:pPr>
              <w:spacing w:after="0"/>
              <w:rPr>
                <w:sz w:val="16"/>
                <w:szCs w:val="16"/>
                <w:color w:val="auto"/>
              </w:rPr>
            </w:pPr>
          </w:p>
        </w:tc>
        <w:tc>
          <w:tcPr>
            <w:tcW w:w="140" w:type="dxa"/>
            <w:vAlign w:val="bottom"/>
            <w:tcBorders>
              <w:bottom w:val="single" w:sz="8" w:color="auto"/>
            </w:tcBorders>
            <w:shd w:val="clear" w:color="auto" w:fill="CFF0FC"/>
          </w:tcPr>
          <w:p>
            <w:pPr>
              <w:spacing w:after="0"/>
              <w:rPr>
                <w:sz w:val="16"/>
                <w:szCs w:val="16"/>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106</w:t>
            </w:r>
          </w:p>
        </w:tc>
        <w:tc>
          <w:tcPr>
            <w:tcW w:w="140" w:type="dxa"/>
            <w:vAlign w:val="bottom"/>
            <w:tcBorders>
              <w:bottom w:val="single" w:sz="8" w:color="CFF0FC"/>
            </w:tcBorders>
            <w:shd w:val="clear" w:color="auto" w:fill="CFF0FC"/>
          </w:tcPr>
          <w:p>
            <w:pPr>
              <w:spacing w:after="0"/>
              <w:rPr>
                <w:sz w:val="16"/>
                <w:szCs w:val="16"/>
                <w:color w:val="auto"/>
              </w:rPr>
            </w:pPr>
          </w:p>
        </w:tc>
        <w:tc>
          <w:tcPr>
            <w:tcW w:w="140" w:type="dxa"/>
            <w:vAlign w:val="bottom"/>
            <w:tcBorders>
              <w:bottom w:val="single" w:sz="8" w:color="auto"/>
            </w:tcBorders>
            <w:shd w:val="clear" w:color="auto" w:fill="CFF0FC"/>
          </w:tcPr>
          <w:p>
            <w:pPr>
              <w:spacing w:after="0"/>
              <w:rPr>
                <w:sz w:val="16"/>
                <w:szCs w:val="16"/>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105</w:t>
            </w:r>
          </w:p>
        </w:tc>
        <w:tc>
          <w:tcPr>
            <w:tcW w:w="80" w:type="dxa"/>
            <w:vAlign w:val="bottom"/>
            <w:tcBorders>
              <w:bottom w:val="single" w:sz="8" w:color="CFF0FC"/>
            </w:tcBorders>
            <w:shd w:val="clear" w:color="auto" w:fill="CFF0FC"/>
          </w:tcPr>
          <w:p>
            <w:pPr>
              <w:spacing w:after="0"/>
              <w:rPr>
                <w:sz w:val="16"/>
                <w:szCs w:val="16"/>
                <w:color w:val="auto"/>
              </w:rPr>
            </w:pPr>
          </w:p>
        </w:tc>
      </w:tr>
      <w:tr>
        <w:trPr>
          <w:trHeight w:val="183"/>
        </w:trPr>
        <w:tc>
          <w:tcPr>
            <w:tcW w:w="33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0" w:type="dxa"/>
            <w:vAlign w:val="bottom"/>
            <w:gridSpan w:val="2"/>
          </w:tcPr>
          <w:p>
            <w:pPr>
              <w:spacing w:after="0"/>
              <w:rPr>
                <w:sz w:val="15"/>
                <w:szCs w:val="15"/>
                <w:color w:val="auto"/>
              </w:rPr>
            </w:pPr>
          </w:p>
        </w:tc>
        <w:tc>
          <w:tcPr>
            <w:tcW w:w="1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40" w:type="dxa"/>
            <w:vAlign w:val="bottom"/>
            <w:gridSpan w:val="2"/>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gridSpan w:val="2"/>
          </w:tcPr>
          <w:p>
            <w:pPr>
              <w:spacing w:after="0"/>
              <w:rPr>
                <w:sz w:val="15"/>
                <w:szCs w:val="15"/>
                <w:color w:val="auto"/>
              </w:rPr>
            </w:pPr>
          </w:p>
        </w:tc>
      </w:tr>
      <w:tr>
        <w:trPr>
          <w:trHeight w:val="229"/>
        </w:trPr>
        <w:tc>
          <w:tcPr>
            <w:tcW w:w="3320" w:type="dxa"/>
            <w:vAlign w:val="bottom"/>
            <w:shd w:val="clear" w:color="auto" w:fill="CFF0FC"/>
          </w:tcPr>
          <w:p>
            <w:pPr>
              <w:ind w:left="20"/>
              <w:spacing w:after="0" w:line="169" w:lineRule="exact"/>
              <w:rPr>
                <w:sz w:val="20"/>
                <w:szCs w:val="20"/>
                <w:color w:val="auto"/>
              </w:rPr>
            </w:pPr>
            <w:r>
              <w:rPr>
                <w:rFonts w:ascii="Arial" w:cs="Arial" w:eastAsia="Arial" w:hAnsi="Arial"/>
                <w:sz w:val="16"/>
                <w:szCs w:val="16"/>
                <w:color w:val="auto"/>
              </w:rPr>
              <w:t>Net income (loss)</w:t>
            </w:r>
          </w:p>
        </w:tc>
        <w:tc>
          <w:tcPr>
            <w:tcW w:w="140" w:type="dxa"/>
            <w:vAlign w:val="bottom"/>
            <w:shd w:val="clear" w:color="auto" w:fill="CFF0FC"/>
          </w:tcPr>
          <w:p>
            <w:pPr>
              <w:jc w:val="right"/>
              <w:spacing w:after="0" w:line="169" w:lineRule="exact"/>
              <w:rPr>
                <w:sz w:val="20"/>
                <w:szCs w:val="20"/>
                <w:color w:val="auto"/>
              </w:rPr>
            </w:pPr>
            <w:r>
              <w:rPr>
                <w:rFonts w:ascii="Arial" w:cs="Arial" w:eastAsia="Arial" w:hAnsi="Arial"/>
                <w:sz w:val="16"/>
                <w:szCs w:val="16"/>
                <w:color w:val="auto"/>
                <w:w w:val="89"/>
              </w:rPr>
              <w:t>$</w:t>
            </w:r>
          </w:p>
        </w:tc>
        <w:tc>
          <w:tcPr>
            <w:tcW w:w="1020" w:type="dxa"/>
            <w:vAlign w:val="bottom"/>
            <w:shd w:val="clear" w:color="auto" w:fill="CFF0FC"/>
          </w:tcPr>
          <w:p>
            <w:pPr>
              <w:jc w:val="right"/>
              <w:spacing w:after="0" w:line="169" w:lineRule="exact"/>
              <w:rPr>
                <w:sz w:val="20"/>
                <w:szCs w:val="20"/>
                <w:color w:val="auto"/>
              </w:rPr>
            </w:pPr>
            <w:r>
              <w:rPr>
                <w:rFonts w:ascii="Arial" w:cs="Arial" w:eastAsia="Arial" w:hAnsi="Arial"/>
                <w:sz w:val="16"/>
                <w:szCs w:val="16"/>
                <w:color w:val="auto"/>
              </w:rPr>
              <w:t>9,909</w:t>
            </w:r>
          </w:p>
        </w:tc>
        <w:tc>
          <w:tcPr>
            <w:tcW w:w="18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line="169" w:lineRule="exact"/>
              <w:rPr>
                <w:sz w:val="20"/>
                <w:szCs w:val="20"/>
                <w:color w:val="auto"/>
              </w:rPr>
            </w:pPr>
            <w:r>
              <w:rPr>
                <w:rFonts w:ascii="Arial" w:cs="Arial" w:eastAsia="Arial" w:hAnsi="Arial"/>
                <w:sz w:val="16"/>
                <w:szCs w:val="16"/>
                <w:color w:val="auto"/>
                <w:w w:val="89"/>
              </w:rPr>
              <w:t>$</w:t>
            </w:r>
          </w:p>
        </w:tc>
        <w:tc>
          <w:tcPr>
            <w:tcW w:w="1200" w:type="dxa"/>
            <w:vAlign w:val="bottom"/>
            <w:gridSpan w:val="2"/>
            <w:shd w:val="clear" w:color="auto" w:fill="CFF0FC"/>
          </w:tcPr>
          <w:p>
            <w:pPr>
              <w:jc w:val="right"/>
              <w:ind w:right="100"/>
              <w:spacing w:after="0" w:line="169" w:lineRule="exact"/>
              <w:rPr>
                <w:sz w:val="20"/>
                <w:szCs w:val="20"/>
                <w:color w:val="auto"/>
              </w:rPr>
            </w:pPr>
            <w:r>
              <w:rPr>
                <w:rFonts w:ascii="Arial" w:cs="Arial" w:eastAsia="Arial" w:hAnsi="Arial"/>
                <w:sz w:val="16"/>
                <w:szCs w:val="16"/>
                <w:color w:val="auto"/>
              </w:rPr>
              <w:t>(5,076 )</w:t>
            </w:r>
          </w:p>
        </w:tc>
        <w:tc>
          <w:tcPr>
            <w:tcW w:w="160" w:type="dxa"/>
            <w:vAlign w:val="bottom"/>
            <w:shd w:val="clear" w:color="auto" w:fill="CFF0FC"/>
          </w:tcPr>
          <w:p>
            <w:pPr>
              <w:jc w:val="right"/>
              <w:spacing w:after="0" w:line="169" w:lineRule="exact"/>
              <w:rPr>
                <w:sz w:val="20"/>
                <w:szCs w:val="20"/>
                <w:color w:val="auto"/>
              </w:rPr>
            </w:pPr>
            <w:r>
              <w:rPr>
                <w:rFonts w:ascii="Arial" w:cs="Arial" w:eastAsia="Arial" w:hAnsi="Arial"/>
                <w:sz w:val="16"/>
                <w:szCs w:val="16"/>
                <w:color w:val="auto"/>
                <w:w w:val="89"/>
              </w:rPr>
              <w:t>$</w:t>
            </w:r>
          </w:p>
        </w:tc>
        <w:tc>
          <w:tcPr>
            <w:tcW w:w="1000" w:type="dxa"/>
            <w:vAlign w:val="bottom"/>
            <w:shd w:val="clear" w:color="auto" w:fill="CFF0FC"/>
          </w:tcPr>
          <w:p>
            <w:pPr>
              <w:jc w:val="right"/>
              <w:spacing w:after="0" w:line="169" w:lineRule="exact"/>
              <w:rPr>
                <w:sz w:val="20"/>
                <w:szCs w:val="20"/>
                <w:color w:val="auto"/>
              </w:rPr>
            </w:pPr>
            <w:r>
              <w:rPr>
                <w:rFonts w:ascii="Arial" w:cs="Arial" w:eastAsia="Arial" w:hAnsi="Arial"/>
                <w:sz w:val="16"/>
                <w:szCs w:val="16"/>
                <w:color w:val="auto"/>
              </w:rPr>
              <w:t>2,437</w:t>
            </w:r>
          </w:p>
        </w:tc>
        <w:tc>
          <w:tcPr>
            <w:tcW w:w="18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line="169" w:lineRule="exact"/>
              <w:rPr>
                <w:sz w:val="20"/>
                <w:szCs w:val="20"/>
                <w:color w:val="auto"/>
              </w:rPr>
            </w:pPr>
            <w:r>
              <w:rPr>
                <w:rFonts w:ascii="Arial" w:cs="Arial" w:eastAsia="Arial" w:hAnsi="Arial"/>
                <w:sz w:val="16"/>
                <w:szCs w:val="16"/>
                <w:color w:val="auto"/>
                <w:w w:val="89"/>
              </w:rPr>
              <w:t>$</w:t>
            </w:r>
          </w:p>
        </w:tc>
        <w:tc>
          <w:tcPr>
            <w:tcW w:w="1020" w:type="dxa"/>
            <w:vAlign w:val="bottom"/>
            <w:shd w:val="clear" w:color="auto" w:fill="CFF0FC"/>
          </w:tcPr>
          <w:p>
            <w:pPr>
              <w:jc w:val="right"/>
              <w:spacing w:after="0" w:line="169" w:lineRule="exact"/>
              <w:rPr>
                <w:sz w:val="20"/>
                <w:szCs w:val="20"/>
                <w:color w:val="auto"/>
              </w:rPr>
            </w:pPr>
            <w:r>
              <w:rPr>
                <w:rFonts w:ascii="Arial" w:cs="Arial" w:eastAsia="Arial" w:hAnsi="Arial"/>
                <w:sz w:val="16"/>
                <w:szCs w:val="16"/>
                <w:color w:val="auto"/>
              </w:rPr>
              <w:t>56,713</w:t>
            </w:r>
          </w:p>
        </w:tc>
        <w:tc>
          <w:tcPr>
            <w:tcW w:w="16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line="169" w:lineRule="exact"/>
              <w:rPr>
                <w:sz w:val="20"/>
                <w:szCs w:val="20"/>
                <w:color w:val="auto"/>
              </w:rPr>
            </w:pPr>
            <w:r>
              <w:rPr>
                <w:rFonts w:ascii="Arial" w:cs="Arial" w:eastAsia="Arial" w:hAnsi="Arial"/>
                <w:sz w:val="16"/>
                <w:szCs w:val="16"/>
                <w:color w:val="auto"/>
                <w:w w:val="89"/>
              </w:rPr>
              <w:t>$</w:t>
            </w:r>
          </w:p>
        </w:tc>
        <w:tc>
          <w:tcPr>
            <w:tcW w:w="1140" w:type="dxa"/>
            <w:vAlign w:val="bottom"/>
            <w:gridSpan w:val="2"/>
            <w:shd w:val="clear" w:color="auto" w:fill="CFF0FC"/>
          </w:tcPr>
          <w:p>
            <w:pPr>
              <w:jc w:val="right"/>
              <w:ind w:right="80"/>
              <w:spacing w:after="0" w:line="169" w:lineRule="exact"/>
              <w:rPr>
                <w:sz w:val="20"/>
                <w:szCs w:val="20"/>
                <w:color w:val="auto"/>
              </w:rPr>
            </w:pPr>
            <w:r>
              <w:rPr>
                <w:rFonts w:ascii="Arial" w:cs="Arial" w:eastAsia="Arial" w:hAnsi="Arial"/>
                <w:sz w:val="16"/>
                <w:szCs w:val="16"/>
                <w:color w:val="auto"/>
              </w:rPr>
              <w:t>(64,538 )</w:t>
            </w:r>
          </w:p>
        </w:tc>
        <w:tc>
          <w:tcPr>
            <w:tcW w:w="140" w:type="dxa"/>
            <w:vAlign w:val="bottom"/>
            <w:shd w:val="clear" w:color="auto" w:fill="CFF0FC"/>
          </w:tcPr>
          <w:p>
            <w:pPr>
              <w:jc w:val="right"/>
              <w:spacing w:after="0" w:line="169" w:lineRule="exact"/>
              <w:rPr>
                <w:sz w:val="20"/>
                <w:szCs w:val="20"/>
                <w:color w:val="auto"/>
              </w:rPr>
            </w:pPr>
            <w:r>
              <w:rPr>
                <w:rFonts w:ascii="Arial" w:cs="Arial" w:eastAsia="Arial" w:hAnsi="Arial"/>
                <w:sz w:val="16"/>
                <w:szCs w:val="16"/>
                <w:color w:val="auto"/>
                <w:w w:val="89"/>
              </w:rPr>
              <w:t>$</w:t>
            </w:r>
          </w:p>
        </w:tc>
        <w:tc>
          <w:tcPr>
            <w:tcW w:w="1080" w:type="dxa"/>
            <w:vAlign w:val="bottom"/>
            <w:gridSpan w:val="2"/>
            <w:shd w:val="clear" w:color="auto" w:fill="CFF0FC"/>
          </w:tcPr>
          <w:p>
            <w:pPr>
              <w:jc w:val="right"/>
              <w:ind w:right="20"/>
              <w:spacing w:after="0" w:line="169" w:lineRule="exact"/>
              <w:rPr>
                <w:sz w:val="20"/>
                <w:szCs w:val="20"/>
                <w:color w:val="auto"/>
              </w:rPr>
            </w:pPr>
            <w:r>
              <w:rPr>
                <w:rFonts w:ascii="Arial" w:cs="Arial" w:eastAsia="Arial" w:hAnsi="Arial"/>
                <w:sz w:val="16"/>
                <w:szCs w:val="16"/>
                <w:color w:val="auto"/>
              </w:rPr>
              <w:t>(7,796 )</w:t>
            </w:r>
          </w:p>
        </w:tc>
      </w:tr>
      <w:tr>
        <w:trPr>
          <w:trHeight w:val="169"/>
        </w:trPr>
        <w:tc>
          <w:tcPr>
            <w:tcW w:w="3320" w:type="dxa"/>
            <w:vAlign w:val="bottom"/>
            <w:tcBorders>
              <w:top w:val="single" w:sz="8" w:color="CFF0FC"/>
            </w:tcBorders>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1020" w:type="dxa"/>
            <w:vAlign w:val="bottom"/>
            <w:tcBorders>
              <w:top w:val="single" w:sz="8" w:color="auto"/>
            </w:tcBorders>
          </w:tcPr>
          <w:p>
            <w:pPr>
              <w:spacing w:after="0"/>
              <w:rPr>
                <w:sz w:val="14"/>
                <w:szCs w:val="14"/>
                <w:color w:val="auto"/>
              </w:rPr>
            </w:pPr>
          </w:p>
        </w:tc>
        <w:tc>
          <w:tcPr>
            <w:tcW w:w="180" w:type="dxa"/>
            <w:vAlign w:val="bottom"/>
            <w:tcBorders>
              <w:top w:val="single" w:sz="8" w:color="CFF0FC"/>
            </w:tcBorders>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1020" w:type="dxa"/>
            <w:vAlign w:val="bottom"/>
            <w:tcBorders>
              <w:top w:val="single" w:sz="8" w:color="auto"/>
            </w:tcBorders>
          </w:tcPr>
          <w:p>
            <w:pPr>
              <w:spacing w:after="0"/>
              <w:rPr>
                <w:sz w:val="14"/>
                <w:szCs w:val="14"/>
                <w:color w:val="auto"/>
              </w:rPr>
            </w:pPr>
          </w:p>
        </w:tc>
        <w:tc>
          <w:tcPr>
            <w:tcW w:w="180" w:type="dxa"/>
            <w:vAlign w:val="bottom"/>
            <w:tcBorders>
              <w:top w:val="single" w:sz="8" w:color="CFF0FC"/>
            </w:tcBorders>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000" w:type="dxa"/>
            <w:vAlign w:val="bottom"/>
            <w:tcBorders>
              <w:top w:val="single" w:sz="8" w:color="auto"/>
            </w:tcBorders>
          </w:tcPr>
          <w:p>
            <w:pPr>
              <w:spacing w:after="0"/>
              <w:rPr>
                <w:sz w:val="14"/>
                <w:szCs w:val="14"/>
                <w:color w:val="auto"/>
              </w:rPr>
            </w:pPr>
          </w:p>
        </w:tc>
        <w:tc>
          <w:tcPr>
            <w:tcW w:w="180" w:type="dxa"/>
            <w:vAlign w:val="bottom"/>
            <w:tcBorders>
              <w:top w:val="single" w:sz="8" w:color="CFF0FC"/>
            </w:tcBorders>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1020" w:type="dxa"/>
            <w:vAlign w:val="bottom"/>
            <w:tcBorders>
              <w:top w:val="single" w:sz="8" w:color="auto"/>
            </w:tcBorders>
          </w:tcPr>
          <w:p>
            <w:pPr>
              <w:spacing w:after="0"/>
              <w:rPr>
                <w:sz w:val="14"/>
                <w:szCs w:val="14"/>
                <w:color w:val="auto"/>
              </w:rPr>
            </w:pPr>
          </w:p>
        </w:tc>
        <w:tc>
          <w:tcPr>
            <w:tcW w:w="160" w:type="dxa"/>
            <w:vAlign w:val="bottom"/>
            <w:tcBorders>
              <w:top w:val="single" w:sz="8" w:color="CFF0FC"/>
            </w:tcBorders>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1000" w:type="dxa"/>
            <w:vAlign w:val="bottom"/>
            <w:tcBorders>
              <w:top w:val="single" w:sz="8" w:color="auto"/>
            </w:tcBorders>
          </w:tcPr>
          <w:p>
            <w:pPr>
              <w:spacing w:after="0"/>
              <w:rPr>
                <w:sz w:val="14"/>
                <w:szCs w:val="14"/>
                <w:color w:val="auto"/>
              </w:rPr>
            </w:pPr>
          </w:p>
        </w:tc>
        <w:tc>
          <w:tcPr>
            <w:tcW w:w="140" w:type="dxa"/>
            <w:vAlign w:val="bottom"/>
            <w:tcBorders>
              <w:top w:val="single" w:sz="8" w:color="CFF0FC"/>
            </w:tcBorders>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1000" w:type="dxa"/>
            <w:vAlign w:val="bottom"/>
            <w:tcBorders>
              <w:top w:val="single" w:sz="8" w:color="auto"/>
            </w:tcBorders>
          </w:tcPr>
          <w:p>
            <w:pPr>
              <w:spacing w:after="0"/>
              <w:rPr>
                <w:sz w:val="14"/>
                <w:szCs w:val="14"/>
                <w:color w:val="auto"/>
              </w:rPr>
            </w:pPr>
          </w:p>
        </w:tc>
        <w:tc>
          <w:tcPr>
            <w:tcW w:w="80" w:type="dxa"/>
            <w:vAlign w:val="bottom"/>
            <w:tcBorders>
              <w:top w:val="single" w:sz="8" w:color="CFF0FC"/>
            </w:tcBorders>
          </w:tcPr>
          <w:p>
            <w:pPr>
              <w:spacing w:after="0"/>
              <w:rPr>
                <w:sz w:val="14"/>
                <w:szCs w:val="14"/>
                <w:color w:val="auto"/>
              </w:rPr>
            </w:pPr>
          </w:p>
        </w:tc>
      </w:tr>
      <w:tr>
        <w:trPr>
          <w:trHeight w:val="189"/>
        </w:trPr>
        <w:tc>
          <w:tcPr>
            <w:tcW w:w="332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02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200" w:type="dxa"/>
            <w:vAlign w:val="bottom"/>
            <w:gridSpan w:val="2"/>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00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02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140" w:type="dxa"/>
            <w:vAlign w:val="bottom"/>
            <w:gridSpan w:val="2"/>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080" w:type="dxa"/>
            <w:vAlign w:val="bottom"/>
            <w:gridSpan w:val="2"/>
            <w:shd w:val="clear" w:color="auto" w:fill="CFF0FC"/>
          </w:tcPr>
          <w:p>
            <w:pPr>
              <w:spacing w:after="0"/>
              <w:rPr>
                <w:sz w:val="16"/>
                <w:szCs w:val="16"/>
                <w:color w:val="auto"/>
              </w:rPr>
            </w:pPr>
          </w:p>
        </w:tc>
      </w:tr>
      <w:tr>
        <w:trPr>
          <w:trHeight w:val="189"/>
        </w:trPr>
        <w:tc>
          <w:tcPr>
            <w:tcW w:w="3320" w:type="dxa"/>
            <w:vAlign w:val="bottom"/>
          </w:tcPr>
          <w:p>
            <w:pPr>
              <w:ind w:left="20"/>
              <w:spacing w:after="0"/>
              <w:rPr>
                <w:sz w:val="20"/>
                <w:szCs w:val="20"/>
                <w:color w:val="auto"/>
              </w:rPr>
            </w:pPr>
            <w:r>
              <w:rPr>
                <w:rFonts w:ascii="Arial" w:cs="Arial" w:eastAsia="Arial" w:hAnsi="Arial"/>
                <w:sz w:val="16"/>
                <w:szCs w:val="16"/>
                <w:color w:val="auto"/>
              </w:rPr>
              <w:t>Net income(loss) per share - basic</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0.15</w:t>
            </w:r>
          </w:p>
        </w:tc>
        <w:tc>
          <w:tcPr>
            <w:tcW w:w="18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gridSpan w:val="2"/>
          </w:tcPr>
          <w:p>
            <w:pPr>
              <w:jc w:val="right"/>
              <w:ind w:right="100"/>
              <w:spacing w:after="0"/>
              <w:rPr>
                <w:sz w:val="20"/>
                <w:szCs w:val="20"/>
                <w:color w:val="auto"/>
              </w:rPr>
            </w:pPr>
            <w:r>
              <w:rPr>
                <w:rFonts w:ascii="Arial" w:cs="Arial" w:eastAsia="Arial" w:hAnsi="Arial"/>
                <w:sz w:val="16"/>
                <w:szCs w:val="16"/>
                <w:color w:val="auto"/>
              </w:rPr>
              <w:t>(0.10 )</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0.05</w:t>
            </w:r>
          </w:p>
        </w:tc>
        <w:tc>
          <w:tcPr>
            <w:tcW w:w="18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0.89</w:t>
            </w:r>
          </w:p>
        </w:tc>
        <w:tc>
          <w:tcPr>
            <w:tcW w:w="16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gridSpan w:val="2"/>
          </w:tcPr>
          <w:p>
            <w:pPr>
              <w:jc w:val="right"/>
              <w:ind w:right="80"/>
              <w:spacing w:after="0"/>
              <w:rPr>
                <w:sz w:val="20"/>
                <w:szCs w:val="20"/>
                <w:color w:val="auto"/>
              </w:rPr>
            </w:pPr>
            <w:r>
              <w:rPr>
                <w:rFonts w:ascii="Arial" w:cs="Arial" w:eastAsia="Arial" w:hAnsi="Arial"/>
                <w:sz w:val="16"/>
                <w:szCs w:val="16"/>
                <w:color w:val="auto"/>
              </w:rPr>
              <w:t>(1.26 )</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gridSpan w:val="2"/>
          </w:tcPr>
          <w:p>
            <w:pPr>
              <w:jc w:val="right"/>
              <w:ind w:right="20"/>
              <w:spacing w:after="0"/>
              <w:rPr>
                <w:sz w:val="20"/>
                <w:szCs w:val="20"/>
                <w:color w:val="auto"/>
              </w:rPr>
            </w:pPr>
            <w:r>
              <w:rPr>
                <w:rFonts w:ascii="Arial" w:cs="Arial" w:eastAsia="Arial" w:hAnsi="Arial"/>
                <w:sz w:val="16"/>
                <w:szCs w:val="16"/>
                <w:color w:val="auto"/>
              </w:rPr>
              <w:t>(0.16 )</w:t>
            </w:r>
          </w:p>
        </w:tc>
      </w:tr>
      <w:tr>
        <w:trPr>
          <w:trHeight w:val="189"/>
        </w:trPr>
        <w:tc>
          <w:tcPr>
            <w:tcW w:w="3320" w:type="dxa"/>
            <w:vAlign w:val="bottom"/>
            <w:shd w:val="clear" w:color="auto" w:fill="CFF0FC"/>
          </w:tcPr>
          <w:p>
            <w:pPr>
              <w:ind w:left="20"/>
              <w:spacing w:after="0"/>
              <w:rPr>
                <w:sz w:val="20"/>
                <w:szCs w:val="20"/>
                <w:color w:val="auto"/>
              </w:rPr>
            </w:pPr>
            <w:r>
              <w:rPr>
                <w:rFonts w:ascii="Arial" w:cs="Arial" w:eastAsia="Arial" w:hAnsi="Arial"/>
                <w:sz w:val="16"/>
                <w:szCs w:val="16"/>
                <w:color w:val="auto"/>
              </w:rPr>
              <w:t>Net income(loss) per share - diluted</w:t>
            </w:r>
          </w:p>
        </w:tc>
        <w:tc>
          <w:tcPr>
            <w:tcW w:w="14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0.14</w:t>
            </w:r>
          </w:p>
        </w:tc>
        <w:tc>
          <w:tcPr>
            <w:tcW w:w="180" w:type="dxa"/>
            <w:vAlign w:val="bottom"/>
            <w:shd w:val="clear" w:color="auto" w:fill="CFF0FC"/>
          </w:tcPr>
          <w:p>
            <w:pPr>
              <w:spacing w:after="0"/>
              <w:rPr>
                <w:sz w:val="16"/>
                <w:szCs w:val="16"/>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(0.10 )</w:t>
            </w:r>
          </w:p>
        </w:tc>
        <w:tc>
          <w:tcPr>
            <w:tcW w:w="16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0.05</w:t>
            </w:r>
          </w:p>
        </w:tc>
        <w:tc>
          <w:tcPr>
            <w:tcW w:w="180" w:type="dxa"/>
            <w:vAlign w:val="bottom"/>
            <w:shd w:val="clear" w:color="auto" w:fill="CFF0FC"/>
          </w:tcPr>
          <w:p>
            <w:pPr>
              <w:spacing w:after="0"/>
              <w:rPr>
                <w:sz w:val="16"/>
                <w:szCs w:val="16"/>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0.83</w:t>
            </w:r>
          </w:p>
        </w:tc>
        <w:tc>
          <w:tcPr>
            <w:tcW w:w="160" w:type="dxa"/>
            <w:vAlign w:val="bottom"/>
            <w:shd w:val="clear" w:color="auto" w:fill="CFF0FC"/>
          </w:tcPr>
          <w:p>
            <w:pPr>
              <w:spacing w:after="0"/>
              <w:rPr>
                <w:sz w:val="16"/>
                <w:szCs w:val="16"/>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(1.26 )</w:t>
            </w:r>
          </w:p>
        </w:tc>
        <w:tc>
          <w:tcPr>
            <w:tcW w:w="14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(0.16 )</w:t>
            </w:r>
          </w:p>
        </w:tc>
      </w:tr>
      <w:tr>
        <w:trPr>
          <w:trHeight w:val="189"/>
        </w:trPr>
        <w:tc>
          <w:tcPr>
            <w:tcW w:w="33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189"/>
        </w:trPr>
        <w:tc>
          <w:tcPr>
            <w:tcW w:w="332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02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02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00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02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00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00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r>
      <w:tr>
        <w:trPr>
          <w:trHeight w:val="152"/>
        </w:trPr>
        <w:tc>
          <w:tcPr>
            <w:tcW w:w="3320" w:type="dxa"/>
            <w:vAlign w:val="bottom"/>
          </w:tcPr>
          <w:p>
            <w:pPr>
              <w:ind w:left="20"/>
              <w:spacing w:after="0" w:line="152" w:lineRule="exact"/>
              <w:rPr>
                <w:sz w:val="20"/>
                <w:szCs w:val="20"/>
                <w:color w:val="auto"/>
              </w:rPr>
            </w:pPr>
            <w:r>
              <w:rPr>
                <w:rFonts w:ascii="Arial" w:cs="Arial" w:eastAsia="Arial" w:hAnsi="Arial"/>
                <w:sz w:val="16"/>
                <w:szCs w:val="16"/>
                <w:color w:val="auto"/>
              </w:rPr>
              <w:t>Weighted-average number of common shares</w:t>
            </w:r>
          </w:p>
        </w:tc>
        <w:tc>
          <w:tcPr>
            <w:tcW w:w="1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199"/>
        </w:trPr>
        <w:tc>
          <w:tcPr>
            <w:tcW w:w="3320" w:type="dxa"/>
            <w:vAlign w:val="bottom"/>
          </w:tcPr>
          <w:p>
            <w:pPr>
              <w:ind w:left="20"/>
              <w:spacing w:after="0"/>
              <w:rPr>
                <w:sz w:val="20"/>
                <w:szCs w:val="20"/>
                <w:color w:val="auto"/>
              </w:rPr>
            </w:pPr>
            <w:r>
              <w:rPr>
                <w:rFonts w:ascii="Arial" w:cs="Arial" w:eastAsia="Arial" w:hAnsi="Arial"/>
                <w:sz w:val="16"/>
                <w:szCs w:val="16"/>
                <w:color w:val="auto"/>
              </w:rPr>
              <w:t>outstanding:</w:t>
            </w: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03"/>
        </w:trPr>
        <w:tc>
          <w:tcPr>
            <w:tcW w:w="3320" w:type="dxa"/>
            <w:vAlign w:val="bottom"/>
            <w:shd w:val="clear" w:color="auto" w:fill="CFF0FC"/>
          </w:tcPr>
          <w:p>
            <w:pPr>
              <w:ind w:left="200"/>
              <w:spacing w:after="0"/>
              <w:rPr>
                <w:sz w:val="20"/>
                <w:szCs w:val="20"/>
                <w:color w:val="auto"/>
              </w:rPr>
            </w:pPr>
            <w:r>
              <w:rPr>
                <w:rFonts w:ascii="Arial" w:cs="Arial" w:eastAsia="Arial" w:hAnsi="Arial"/>
                <w:sz w:val="16"/>
                <w:szCs w:val="16"/>
                <w:color w:val="auto"/>
              </w:rPr>
              <w:t>Basic</w:t>
            </w:r>
          </w:p>
        </w:tc>
        <w:tc>
          <w:tcPr>
            <w:tcW w:w="140" w:type="dxa"/>
            <w:vAlign w:val="bottom"/>
            <w:shd w:val="clear" w:color="auto" w:fill="CFF0FC"/>
          </w:tcPr>
          <w:p>
            <w:pPr>
              <w:spacing w:after="0"/>
              <w:rPr>
                <w:sz w:val="17"/>
                <w:szCs w:val="17"/>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64,227</w:t>
            </w:r>
          </w:p>
        </w:tc>
        <w:tc>
          <w:tcPr>
            <w:tcW w:w="1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51,888</w:t>
            </w:r>
          </w:p>
        </w:tc>
        <w:tc>
          <w:tcPr>
            <w:tcW w:w="1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50,412</w:t>
            </w:r>
          </w:p>
        </w:tc>
        <w:tc>
          <w:tcPr>
            <w:tcW w:w="1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63,401</w:t>
            </w:r>
          </w:p>
        </w:tc>
        <w:tc>
          <w:tcPr>
            <w:tcW w:w="1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51,317</w:t>
            </w:r>
          </w:p>
        </w:tc>
        <w:tc>
          <w:tcPr>
            <w:tcW w:w="1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49,992</w:t>
            </w:r>
          </w:p>
        </w:tc>
        <w:tc>
          <w:tcPr>
            <w:tcW w:w="80" w:type="dxa"/>
            <w:vAlign w:val="bottom"/>
            <w:shd w:val="clear" w:color="auto" w:fill="CFF0FC"/>
          </w:tcPr>
          <w:p>
            <w:pPr>
              <w:spacing w:after="0"/>
              <w:rPr>
                <w:sz w:val="17"/>
                <w:szCs w:val="17"/>
                <w:color w:val="auto"/>
              </w:rPr>
            </w:pPr>
          </w:p>
        </w:tc>
      </w:tr>
      <w:tr>
        <w:trPr>
          <w:trHeight w:val="210"/>
        </w:trPr>
        <w:tc>
          <w:tcPr>
            <w:tcW w:w="3320" w:type="dxa"/>
            <w:vAlign w:val="bottom"/>
          </w:tcPr>
          <w:p>
            <w:pPr>
              <w:ind w:left="200"/>
              <w:spacing w:after="0"/>
              <w:rPr>
                <w:sz w:val="20"/>
                <w:szCs w:val="20"/>
                <w:color w:val="auto"/>
              </w:rPr>
            </w:pPr>
            <w:r>
              <w:rPr>
                <w:rFonts w:ascii="Arial" w:cs="Arial" w:eastAsia="Arial" w:hAnsi="Arial"/>
                <w:sz w:val="16"/>
                <w:szCs w:val="16"/>
                <w:color w:val="auto"/>
              </w:rPr>
              <w:t>Diluted</w:t>
            </w: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68,920</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51,888</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50,751</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68,031</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51,317</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49,992</w:t>
            </w:r>
          </w:p>
        </w:tc>
        <w:tc>
          <w:tcPr>
            <w:tcW w:w="80" w:type="dxa"/>
            <w:vAlign w:val="bottom"/>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2851150</wp:posOffset>
            </wp:positionH>
            <wp:positionV relativeFrom="paragraph">
              <wp:posOffset>-2453005</wp:posOffset>
            </wp:positionV>
            <wp:extent cx="60325" cy="571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0325" cy="5715"/>
                    </a:xfrm>
                    <a:prstGeom prst="rect">
                      <a:avLst/>
                    </a:prstGeom>
                    <a:noFill/>
                  </pic:spPr>
                </pic:pic>
              </a:graphicData>
            </a:graphic>
          </wp:anchor>
        </w:drawing>
        <w:drawing>
          <wp:anchor simplePos="0" relativeHeight="251657728" behindDoc="1" locked="0" layoutInCell="0" allowOverlap="1">
            <wp:simplePos x="0" y="0"/>
            <wp:positionH relativeFrom="column">
              <wp:posOffset>3699510</wp:posOffset>
            </wp:positionH>
            <wp:positionV relativeFrom="paragraph">
              <wp:posOffset>-2453005</wp:posOffset>
            </wp:positionV>
            <wp:extent cx="60325" cy="571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0325" cy="5715"/>
                    </a:xfrm>
                    <a:prstGeom prst="rect">
                      <a:avLst/>
                    </a:prstGeom>
                    <a:noFill/>
                  </pic:spPr>
                </pic:pic>
              </a:graphicData>
            </a:graphic>
          </wp:anchor>
        </w:drawing>
        <w:drawing>
          <wp:anchor simplePos="0" relativeHeight="251657728" behindDoc="1" locked="0" layoutInCell="0" allowOverlap="1">
            <wp:simplePos x="0" y="0"/>
            <wp:positionH relativeFrom="column">
              <wp:posOffset>4548505</wp:posOffset>
            </wp:positionH>
            <wp:positionV relativeFrom="paragraph">
              <wp:posOffset>-2453005</wp:posOffset>
            </wp:positionV>
            <wp:extent cx="60325" cy="571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0325" cy="5715"/>
                    </a:xfrm>
                    <a:prstGeom prst="rect">
                      <a:avLst/>
                    </a:prstGeom>
                    <a:noFill/>
                  </pic:spPr>
                </pic:pic>
              </a:graphicData>
            </a:graphic>
          </wp:anchor>
        </w:drawing>
        <w:drawing>
          <wp:anchor simplePos="0" relativeHeight="251657728" behindDoc="1" locked="0" layoutInCell="0" allowOverlap="1">
            <wp:simplePos x="0" y="0"/>
            <wp:positionH relativeFrom="column">
              <wp:posOffset>5396865</wp:posOffset>
            </wp:positionH>
            <wp:positionV relativeFrom="paragraph">
              <wp:posOffset>-2453005</wp:posOffset>
            </wp:positionV>
            <wp:extent cx="60325" cy="571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0325" cy="5715"/>
                    </a:xfrm>
                    <a:prstGeom prst="rect">
                      <a:avLst/>
                    </a:prstGeom>
                    <a:noFill/>
                  </pic:spPr>
                </pic:pic>
              </a:graphicData>
            </a:graphic>
          </wp:anchor>
        </w:drawing>
        <w:drawing>
          <wp:anchor simplePos="0" relativeHeight="251657728" behindDoc="1" locked="0" layoutInCell="0" allowOverlap="1">
            <wp:simplePos x="0" y="0"/>
            <wp:positionH relativeFrom="column">
              <wp:posOffset>6219825</wp:posOffset>
            </wp:positionH>
            <wp:positionV relativeFrom="paragraph">
              <wp:posOffset>-2453005</wp:posOffset>
            </wp:positionV>
            <wp:extent cx="51435" cy="571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7034530</wp:posOffset>
            </wp:positionH>
            <wp:positionV relativeFrom="paragraph">
              <wp:posOffset>-2453005</wp:posOffset>
            </wp:positionV>
            <wp:extent cx="51435" cy="571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2851150</wp:posOffset>
            </wp:positionH>
            <wp:positionV relativeFrom="paragraph">
              <wp:posOffset>-1964055</wp:posOffset>
            </wp:positionV>
            <wp:extent cx="60325" cy="571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0325" cy="5715"/>
                    </a:xfrm>
                    <a:prstGeom prst="rect">
                      <a:avLst/>
                    </a:prstGeom>
                    <a:noFill/>
                  </pic:spPr>
                </pic:pic>
              </a:graphicData>
            </a:graphic>
          </wp:anchor>
        </w:drawing>
        <w:drawing>
          <wp:anchor simplePos="0" relativeHeight="251657728" behindDoc="1" locked="0" layoutInCell="0" allowOverlap="1">
            <wp:simplePos x="0" y="0"/>
            <wp:positionH relativeFrom="column">
              <wp:posOffset>3699510</wp:posOffset>
            </wp:positionH>
            <wp:positionV relativeFrom="paragraph">
              <wp:posOffset>-1964055</wp:posOffset>
            </wp:positionV>
            <wp:extent cx="60325" cy="571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0325" cy="5715"/>
                    </a:xfrm>
                    <a:prstGeom prst="rect">
                      <a:avLst/>
                    </a:prstGeom>
                    <a:noFill/>
                  </pic:spPr>
                </pic:pic>
              </a:graphicData>
            </a:graphic>
          </wp:anchor>
        </w:drawing>
        <w:drawing>
          <wp:anchor simplePos="0" relativeHeight="251657728" behindDoc="1" locked="0" layoutInCell="0" allowOverlap="1">
            <wp:simplePos x="0" y="0"/>
            <wp:positionH relativeFrom="column">
              <wp:posOffset>4548505</wp:posOffset>
            </wp:positionH>
            <wp:positionV relativeFrom="paragraph">
              <wp:posOffset>-1964055</wp:posOffset>
            </wp:positionV>
            <wp:extent cx="60325" cy="571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0325" cy="5715"/>
                    </a:xfrm>
                    <a:prstGeom prst="rect">
                      <a:avLst/>
                    </a:prstGeom>
                    <a:noFill/>
                  </pic:spPr>
                </pic:pic>
              </a:graphicData>
            </a:graphic>
          </wp:anchor>
        </w:drawing>
        <w:drawing>
          <wp:anchor simplePos="0" relativeHeight="251657728" behindDoc="1" locked="0" layoutInCell="0" allowOverlap="1">
            <wp:simplePos x="0" y="0"/>
            <wp:positionH relativeFrom="column">
              <wp:posOffset>5396865</wp:posOffset>
            </wp:positionH>
            <wp:positionV relativeFrom="paragraph">
              <wp:posOffset>-1964055</wp:posOffset>
            </wp:positionV>
            <wp:extent cx="60325" cy="571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0325" cy="5715"/>
                    </a:xfrm>
                    <a:prstGeom prst="rect">
                      <a:avLst/>
                    </a:prstGeom>
                    <a:noFill/>
                  </pic:spPr>
                </pic:pic>
              </a:graphicData>
            </a:graphic>
          </wp:anchor>
        </w:drawing>
        <w:drawing>
          <wp:anchor simplePos="0" relativeHeight="251657728" behindDoc="1" locked="0" layoutInCell="0" allowOverlap="1">
            <wp:simplePos x="0" y="0"/>
            <wp:positionH relativeFrom="column">
              <wp:posOffset>6219825</wp:posOffset>
            </wp:positionH>
            <wp:positionV relativeFrom="paragraph">
              <wp:posOffset>-1964055</wp:posOffset>
            </wp:positionV>
            <wp:extent cx="51435" cy="571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7034530</wp:posOffset>
            </wp:positionH>
            <wp:positionV relativeFrom="paragraph">
              <wp:posOffset>-1964055</wp:posOffset>
            </wp:positionV>
            <wp:extent cx="51435" cy="571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2851150</wp:posOffset>
            </wp:positionH>
            <wp:positionV relativeFrom="paragraph">
              <wp:posOffset>-1475740</wp:posOffset>
            </wp:positionV>
            <wp:extent cx="60325" cy="571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0325" cy="5715"/>
                    </a:xfrm>
                    <a:prstGeom prst="rect">
                      <a:avLst/>
                    </a:prstGeom>
                    <a:noFill/>
                  </pic:spPr>
                </pic:pic>
              </a:graphicData>
            </a:graphic>
          </wp:anchor>
        </w:drawing>
        <w:drawing>
          <wp:anchor simplePos="0" relativeHeight="251657728" behindDoc="1" locked="0" layoutInCell="0" allowOverlap="1">
            <wp:simplePos x="0" y="0"/>
            <wp:positionH relativeFrom="column">
              <wp:posOffset>3699510</wp:posOffset>
            </wp:positionH>
            <wp:positionV relativeFrom="paragraph">
              <wp:posOffset>-1475740</wp:posOffset>
            </wp:positionV>
            <wp:extent cx="60325" cy="571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0325" cy="5715"/>
                    </a:xfrm>
                    <a:prstGeom prst="rect">
                      <a:avLst/>
                    </a:prstGeom>
                    <a:noFill/>
                  </pic:spPr>
                </pic:pic>
              </a:graphicData>
            </a:graphic>
          </wp:anchor>
        </w:drawing>
        <w:drawing>
          <wp:anchor simplePos="0" relativeHeight="251657728" behindDoc="1" locked="0" layoutInCell="0" allowOverlap="1">
            <wp:simplePos x="0" y="0"/>
            <wp:positionH relativeFrom="column">
              <wp:posOffset>4548505</wp:posOffset>
            </wp:positionH>
            <wp:positionV relativeFrom="paragraph">
              <wp:posOffset>-1475740</wp:posOffset>
            </wp:positionV>
            <wp:extent cx="60325" cy="571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0325" cy="5715"/>
                    </a:xfrm>
                    <a:prstGeom prst="rect">
                      <a:avLst/>
                    </a:prstGeom>
                    <a:noFill/>
                  </pic:spPr>
                </pic:pic>
              </a:graphicData>
            </a:graphic>
          </wp:anchor>
        </w:drawing>
        <w:drawing>
          <wp:anchor simplePos="0" relativeHeight="251657728" behindDoc="1" locked="0" layoutInCell="0" allowOverlap="1">
            <wp:simplePos x="0" y="0"/>
            <wp:positionH relativeFrom="column">
              <wp:posOffset>5396865</wp:posOffset>
            </wp:positionH>
            <wp:positionV relativeFrom="paragraph">
              <wp:posOffset>-1475740</wp:posOffset>
            </wp:positionV>
            <wp:extent cx="60325" cy="571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0325" cy="5715"/>
                    </a:xfrm>
                    <a:prstGeom prst="rect">
                      <a:avLst/>
                    </a:prstGeom>
                    <a:noFill/>
                  </pic:spPr>
                </pic:pic>
              </a:graphicData>
            </a:graphic>
          </wp:anchor>
        </w:drawing>
        <w:drawing>
          <wp:anchor simplePos="0" relativeHeight="251657728" behindDoc="1" locked="0" layoutInCell="0" allowOverlap="1">
            <wp:simplePos x="0" y="0"/>
            <wp:positionH relativeFrom="column">
              <wp:posOffset>6219825</wp:posOffset>
            </wp:positionH>
            <wp:positionV relativeFrom="paragraph">
              <wp:posOffset>-1475740</wp:posOffset>
            </wp:positionV>
            <wp:extent cx="51435" cy="571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7034530</wp:posOffset>
            </wp:positionH>
            <wp:positionV relativeFrom="paragraph">
              <wp:posOffset>-1475740</wp:posOffset>
            </wp:positionV>
            <wp:extent cx="51435" cy="571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2851150</wp:posOffset>
            </wp:positionH>
            <wp:positionV relativeFrom="paragraph">
              <wp:posOffset>-1229995</wp:posOffset>
            </wp:positionV>
            <wp:extent cx="60325"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2851150</wp:posOffset>
            </wp:positionH>
            <wp:positionV relativeFrom="paragraph">
              <wp:posOffset>-1212850</wp:posOffset>
            </wp:positionV>
            <wp:extent cx="60325"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3699510</wp:posOffset>
            </wp:positionH>
            <wp:positionV relativeFrom="paragraph">
              <wp:posOffset>-1229995</wp:posOffset>
            </wp:positionV>
            <wp:extent cx="60325"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3699510</wp:posOffset>
            </wp:positionH>
            <wp:positionV relativeFrom="paragraph">
              <wp:posOffset>-1212850</wp:posOffset>
            </wp:positionV>
            <wp:extent cx="60325"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4548505</wp:posOffset>
            </wp:positionH>
            <wp:positionV relativeFrom="paragraph">
              <wp:posOffset>-1229995</wp:posOffset>
            </wp:positionV>
            <wp:extent cx="60325"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4548505</wp:posOffset>
            </wp:positionH>
            <wp:positionV relativeFrom="paragraph">
              <wp:posOffset>-1212850</wp:posOffset>
            </wp:positionV>
            <wp:extent cx="60325"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5396865</wp:posOffset>
            </wp:positionH>
            <wp:positionV relativeFrom="paragraph">
              <wp:posOffset>-1229995</wp:posOffset>
            </wp:positionV>
            <wp:extent cx="60325"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5396865</wp:posOffset>
            </wp:positionH>
            <wp:positionV relativeFrom="paragraph">
              <wp:posOffset>-1212850</wp:posOffset>
            </wp:positionV>
            <wp:extent cx="60325"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6219825</wp:posOffset>
            </wp:positionH>
            <wp:positionV relativeFrom="paragraph">
              <wp:posOffset>-1229995</wp:posOffset>
            </wp:positionV>
            <wp:extent cx="51435"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6219825</wp:posOffset>
            </wp:positionH>
            <wp:positionV relativeFrom="paragraph">
              <wp:posOffset>-1212850</wp:posOffset>
            </wp:positionV>
            <wp:extent cx="51435"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7034530</wp:posOffset>
            </wp:positionH>
            <wp:positionV relativeFrom="paragraph">
              <wp:posOffset>-1229995</wp:posOffset>
            </wp:positionV>
            <wp:extent cx="51435"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7034530</wp:posOffset>
            </wp:positionH>
            <wp:positionV relativeFrom="paragraph">
              <wp:posOffset>-1212850</wp:posOffset>
            </wp:positionV>
            <wp:extent cx="51435"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158" w:lineRule="exact"/>
        <w:rPr>
          <w:sz w:val="20"/>
          <w:szCs w:val="20"/>
          <w:color w:val="auto"/>
        </w:rPr>
      </w:pPr>
    </w:p>
    <w:p>
      <w:pPr>
        <w:jc w:val="center"/>
        <w:ind w:right="-79"/>
        <w:spacing w:after="0"/>
        <w:rPr>
          <w:sz w:val="20"/>
          <w:szCs w:val="20"/>
          <w:color w:val="auto"/>
        </w:rPr>
      </w:pPr>
      <w:r>
        <w:rPr>
          <w:rFonts w:ascii="Arial" w:cs="Arial" w:eastAsia="Arial" w:hAnsi="Arial"/>
          <w:sz w:val="20"/>
          <w:szCs w:val="20"/>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194945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346" w:right="419" w:bottom="1440" w:gutter="0" w:footer="0" w:header="0"/>
        </w:sectPr>
      </w:pPr>
    </w:p>
    <w:bookmarkStart w:id="12" w:name="page13"/>
    <w:bookmarkEnd w:id="12"/>
    <w:p>
      <w:pPr>
        <w:jc w:val="center"/>
        <w:ind w:right="1500"/>
        <w:spacing w:after="0"/>
        <w:rPr>
          <w:sz w:val="20"/>
          <w:szCs w:val="20"/>
          <w:color w:val="auto"/>
        </w:rPr>
      </w:pPr>
      <w:r>
        <w:rPr>
          <w:rFonts w:ascii="Arial" w:cs="Arial" w:eastAsia="Arial" w:hAnsi="Arial"/>
          <w:sz w:val="18"/>
          <w:szCs w:val="18"/>
          <w:color w:val="auto"/>
        </w:rPr>
        <w:t>DESTINATION XL GROUP, INC.</w:t>
      </w:r>
    </w:p>
    <w:p>
      <w:pPr>
        <w:spacing w:after="0" w:line="7" w:lineRule="exact"/>
        <w:rPr>
          <w:sz w:val="20"/>
          <w:szCs w:val="20"/>
          <w:color w:val="auto"/>
        </w:rPr>
      </w:pPr>
    </w:p>
    <w:p>
      <w:pPr>
        <w:jc w:val="center"/>
        <w:ind w:right="1500"/>
        <w:spacing w:after="0"/>
        <w:rPr>
          <w:sz w:val="20"/>
          <w:szCs w:val="20"/>
          <w:color w:val="auto"/>
        </w:rPr>
      </w:pPr>
      <w:r>
        <w:rPr>
          <w:rFonts w:ascii="Arial" w:cs="Arial" w:eastAsia="Arial" w:hAnsi="Arial"/>
          <w:sz w:val="18"/>
          <w:szCs w:val="18"/>
          <w:color w:val="auto"/>
        </w:rPr>
        <w:t>CONDENSED CONSOLIDATED BALANCE SHEETS</w:t>
      </w:r>
    </w:p>
    <w:p>
      <w:pPr>
        <w:jc w:val="center"/>
        <w:ind w:right="1500"/>
        <w:spacing w:after="0" w:line="234" w:lineRule="auto"/>
        <w:rPr>
          <w:sz w:val="20"/>
          <w:szCs w:val="20"/>
          <w:color w:val="auto"/>
        </w:rPr>
      </w:pPr>
      <w:r>
        <w:rPr>
          <w:rFonts w:ascii="Arial" w:cs="Arial" w:eastAsia="Arial" w:hAnsi="Arial"/>
          <w:sz w:val="18"/>
          <w:szCs w:val="18"/>
          <w:color w:val="auto"/>
        </w:rPr>
        <w:t>January 29, 2022, January 30, 2021 and February 1, 2020</w:t>
      </w:r>
    </w:p>
    <w:p>
      <w:pPr>
        <w:jc w:val="center"/>
        <w:ind w:right="1500"/>
        <w:spacing w:after="0" w:line="235" w:lineRule="auto"/>
        <w:rPr>
          <w:sz w:val="20"/>
          <w:szCs w:val="20"/>
          <w:color w:val="auto"/>
        </w:rPr>
      </w:pPr>
      <w:r>
        <w:rPr>
          <w:rFonts w:ascii="Arial" w:cs="Arial" w:eastAsia="Arial" w:hAnsi="Arial"/>
          <w:sz w:val="18"/>
          <w:szCs w:val="18"/>
          <w:color w:val="auto"/>
        </w:rPr>
        <w:t>(In thousands)</w:t>
      </w:r>
    </w:p>
    <w:p>
      <w:pPr>
        <w:spacing w:after="0" w:line="1"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Unaudited</w:t>
      </w:r>
    </w:p>
    <w:p>
      <w:pPr>
        <w:spacing w:after="0" w:line="394"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59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460" w:type="dxa"/>
            <w:vAlign w:val="bottom"/>
          </w:tcPr>
          <w:p>
            <w:pPr>
              <w:jc w:val="right"/>
              <w:ind w:right="472"/>
              <w:spacing w:after="0"/>
              <w:rPr>
                <w:sz w:val="20"/>
                <w:szCs w:val="20"/>
                <w:color w:val="auto"/>
              </w:rPr>
            </w:pPr>
            <w:r>
              <w:rPr>
                <w:rFonts w:ascii="Arial" w:cs="Arial" w:eastAsia="Arial" w:hAnsi="Arial"/>
                <w:sz w:val="14"/>
                <w:szCs w:val="14"/>
                <w:color w:val="auto"/>
              </w:rPr>
              <w:t>January 29,</w:t>
            </w:r>
          </w:p>
        </w:tc>
        <w:tc>
          <w:tcPr>
            <w:tcW w:w="2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700" w:type="dxa"/>
            <w:vAlign w:val="bottom"/>
            <w:gridSpan w:val="2"/>
          </w:tcPr>
          <w:p>
            <w:pPr>
              <w:jc w:val="right"/>
              <w:ind w:right="820"/>
              <w:spacing w:after="0"/>
              <w:rPr>
                <w:sz w:val="20"/>
                <w:szCs w:val="20"/>
                <w:color w:val="auto"/>
              </w:rPr>
            </w:pPr>
            <w:r>
              <w:rPr>
                <w:rFonts w:ascii="Arial" w:cs="Arial" w:eastAsia="Arial" w:hAnsi="Arial"/>
                <w:sz w:val="14"/>
                <w:szCs w:val="14"/>
                <w:color w:val="auto"/>
              </w:rPr>
              <w:t>January 30,</w:t>
            </w:r>
          </w:p>
        </w:tc>
        <w:tc>
          <w:tcPr>
            <w:tcW w:w="160" w:type="dxa"/>
            <w:vAlign w:val="bottom"/>
          </w:tcPr>
          <w:p>
            <w:pPr>
              <w:spacing w:after="0"/>
              <w:rPr>
                <w:sz w:val="15"/>
                <w:szCs w:val="15"/>
                <w:color w:val="auto"/>
              </w:rPr>
            </w:pPr>
          </w:p>
        </w:tc>
        <w:tc>
          <w:tcPr>
            <w:tcW w:w="1000" w:type="dxa"/>
            <w:vAlign w:val="bottom"/>
          </w:tcPr>
          <w:p>
            <w:pPr>
              <w:jc w:val="right"/>
              <w:ind w:right="172"/>
              <w:spacing w:after="0"/>
              <w:rPr>
                <w:sz w:val="20"/>
                <w:szCs w:val="20"/>
                <w:color w:val="auto"/>
              </w:rPr>
            </w:pPr>
            <w:r>
              <w:rPr>
                <w:rFonts w:ascii="Arial" w:cs="Arial" w:eastAsia="Arial" w:hAnsi="Arial"/>
                <w:sz w:val="14"/>
                <w:szCs w:val="14"/>
                <w:color w:val="auto"/>
              </w:rPr>
              <w:t>February 1,</w:t>
            </w:r>
          </w:p>
        </w:tc>
        <w:tc>
          <w:tcPr>
            <w:tcW w:w="60" w:type="dxa"/>
            <w:vAlign w:val="bottom"/>
          </w:tcPr>
          <w:p>
            <w:pPr>
              <w:spacing w:after="0"/>
              <w:rPr>
                <w:sz w:val="15"/>
                <w:szCs w:val="15"/>
                <w:color w:val="auto"/>
              </w:rPr>
            </w:pPr>
          </w:p>
        </w:tc>
      </w:tr>
      <w:tr>
        <w:trPr>
          <w:trHeight w:val="181"/>
        </w:trPr>
        <w:tc>
          <w:tcPr>
            <w:tcW w:w="592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tcPr>
          <w:p>
            <w:pPr>
              <w:jc w:val="right"/>
              <w:ind w:right="672"/>
              <w:spacing w:after="0"/>
              <w:rPr>
                <w:sz w:val="20"/>
                <w:szCs w:val="20"/>
                <w:color w:val="auto"/>
              </w:rPr>
            </w:pPr>
            <w:r>
              <w:rPr>
                <w:rFonts w:ascii="Arial" w:cs="Arial" w:eastAsia="Arial" w:hAnsi="Arial"/>
                <w:sz w:val="14"/>
                <w:szCs w:val="14"/>
                <w:color w:val="auto"/>
              </w:rPr>
              <w:t>2022</w:t>
            </w:r>
          </w:p>
        </w:tc>
        <w:tc>
          <w:tcPr>
            <w:tcW w:w="28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tcPr>
          <w:p>
            <w:pPr>
              <w:jc w:val="right"/>
              <w:ind w:right="632"/>
              <w:spacing w:after="0"/>
              <w:rPr>
                <w:sz w:val="20"/>
                <w:szCs w:val="20"/>
                <w:color w:val="auto"/>
              </w:rPr>
            </w:pPr>
            <w:r>
              <w:rPr>
                <w:rFonts w:ascii="Arial" w:cs="Arial" w:eastAsia="Arial" w:hAnsi="Arial"/>
                <w:sz w:val="14"/>
                <w:szCs w:val="14"/>
                <w:color w:val="auto"/>
              </w:rPr>
              <w:t>2021</w:t>
            </w:r>
          </w:p>
        </w:tc>
        <w:tc>
          <w:tcPr>
            <w:tcW w:w="28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352"/>
              <w:spacing w:after="0"/>
              <w:rPr>
                <w:sz w:val="20"/>
                <w:szCs w:val="20"/>
                <w:color w:val="auto"/>
              </w:rPr>
            </w:pPr>
            <w:r>
              <w:rPr>
                <w:rFonts w:ascii="Arial" w:cs="Arial" w:eastAsia="Arial" w:hAnsi="Arial"/>
                <w:sz w:val="14"/>
                <w:szCs w:val="14"/>
                <w:color w:val="auto"/>
              </w:rPr>
              <w:t>2020</w:t>
            </w:r>
          </w:p>
        </w:tc>
        <w:tc>
          <w:tcPr>
            <w:tcW w:w="60" w:type="dxa"/>
            <w:vAlign w:val="bottom"/>
          </w:tcPr>
          <w:p>
            <w:pPr>
              <w:spacing w:after="0"/>
              <w:rPr>
                <w:sz w:val="15"/>
                <w:szCs w:val="15"/>
                <w:color w:val="auto"/>
              </w:rPr>
            </w:pPr>
          </w:p>
        </w:tc>
      </w:tr>
      <w:tr>
        <w:trPr>
          <w:trHeight w:val="371"/>
        </w:trPr>
        <w:tc>
          <w:tcPr>
            <w:tcW w:w="5920" w:type="dxa"/>
            <w:vAlign w:val="bottom"/>
          </w:tcPr>
          <w:p>
            <w:pPr>
              <w:ind w:left="20"/>
              <w:spacing w:after="0"/>
              <w:rPr>
                <w:sz w:val="20"/>
                <w:szCs w:val="20"/>
                <w:color w:val="auto"/>
              </w:rPr>
            </w:pPr>
            <w:r>
              <w:rPr>
                <w:rFonts w:ascii="Arial" w:cs="Arial" w:eastAsia="Arial" w:hAnsi="Arial"/>
                <w:sz w:val="18"/>
                <w:szCs w:val="18"/>
                <w:color w:val="auto"/>
              </w:rPr>
              <w:t>ASSETS</w:t>
            </w:r>
          </w:p>
        </w:tc>
        <w:tc>
          <w:tcPr>
            <w:tcW w:w="3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03"/>
        </w:trPr>
        <w:tc>
          <w:tcPr>
            <w:tcW w:w="592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460" w:type="dxa"/>
            <w:vAlign w:val="bottom"/>
            <w:shd w:val="clear" w:color="auto" w:fill="CFF0FC"/>
          </w:tcPr>
          <w:p>
            <w:pPr>
              <w:spacing w:after="0"/>
              <w:rPr>
                <w:sz w:val="17"/>
                <w:szCs w:val="17"/>
                <w:color w:val="auto"/>
              </w:rPr>
            </w:pPr>
          </w:p>
        </w:tc>
        <w:tc>
          <w:tcPr>
            <w:tcW w:w="600" w:type="dxa"/>
            <w:vAlign w:val="bottom"/>
            <w:gridSpan w:val="2"/>
            <w:shd w:val="clear" w:color="auto" w:fill="CFF0FC"/>
          </w:tcPr>
          <w:p>
            <w:pPr>
              <w:spacing w:after="0"/>
              <w:rPr>
                <w:sz w:val="17"/>
                <w:szCs w:val="17"/>
                <w:color w:val="auto"/>
              </w:rPr>
            </w:pPr>
          </w:p>
        </w:tc>
        <w:tc>
          <w:tcPr>
            <w:tcW w:w="142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r>
      <w:tr>
        <w:trPr>
          <w:trHeight w:val="203"/>
        </w:trPr>
        <w:tc>
          <w:tcPr>
            <w:tcW w:w="5920" w:type="dxa"/>
            <w:vAlign w:val="bottom"/>
          </w:tcPr>
          <w:p>
            <w:pPr>
              <w:ind w:left="20"/>
              <w:spacing w:after="0" w:line="202" w:lineRule="exact"/>
              <w:rPr>
                <w:sz w:val="20"/>
                <w:szCs w:val="20"/>
                <w:color w:val="auto"/>
              </w:rPr>
            </w:pPr>
            <w:r>
              <w:rPr>
                <w:rFonts w:ascii="Arial" w:cs="Arial" w:eastAsia="Arial" w:hAnsi="Arial"/>
                <w:sz w:val="18"/>
                <w:szCs w:val="18"/>
                <w:color w:val="auto"/>
              </w:rPr>
              <w:t>Cash and cash equivalents</w:t>
            </w:r>
          </w:p>
        </w:tc>
        <w:tc>
          <w:tcPr>
            <w:tcW w:w="340" w:type="dxa"/>
            <w:vAlign w:val="bottom"/>
          </w:tcPr>
          <w:p>
            <w:pPr>
              <w:jc w:val="right"/>
              <w:ind w:right="150"/>
              <w:spacing w:after="0" w:line="202" w:lineRule="exact"/>
              <w:rPr>
                <w:sz w:val="20"/>
                <w:szCs w:val="20"/>
                <w:color w:val="auto"/>
              </w:rPr>
            </w:pPr>
            <w:r>
              <w:rPr>
                <w:rFonts w:ascii="Arial" w:cs="Arial" w:eastAsia="Arial" w:hAnsi="Arial"/>
                <w:sz w:val="18"/>
                <w:szCs w:val="18"/>
                <w:color w:val="auto"/>
                <w:w w:val="79"/>
              </w:rPr>
              <w:t>$</w:t>
            </w:r>
          </w:p>
        </w:tc>
        <w:tc>
          <w:tcPr>
            <w:tcW w:w="1460" w:type="dxa"/>
            <w:vAlign w:val="bottom"/>
          </w:tcPr>
          <w:p>
            <w:pPr>
              <w:jc w:val="right"/>
              <w:spacing w:after="0" w:line="202" w:lineRule="exact"/>
              <w:rPr>
                <w:sz w:val="20"/>
                <w:szCs w:val="20"/>
                <w:color w:val="auto"/>
              </w:rPr>
            </w:pPr>
            <w:r>
              <w:rPr>
                <w:rFonts w:ascii="Arial" w:cs="Arial" w:eastAsia="Arial" w:hAnsi="Arial"/>
                <w:sz w:val="18"/>
                <w:szCs w:val="18"/>
                <w:color w:val="auto"/>
              </w:rPr>
              <w:t>15,506</w:t>
            </w:r>
          </w:p>
        </w:tc>
        <w:tc>
          <w:tcPr>
            <w:tcW w:w="600" w:type="dxa"/>
            <w:vAlign w:val="bottom"/>
            <w:gridSpan w:val="2"/>
          </w:tcPr>
          <w:p>
            <w:pPr>
              <w:jc w:val="right"/>
              <w:ind w:right="130"/>
              <w:spacing w:after="0" w:line="202" w:lineRule="exact"/>
              <w:rPr>
                <w:sz w:val="20"/>
                <w:szCs w:val="20"/>
                <w:color w:val="auto"/>
              </w:rPr>
            </w:pPr>
            <w:r>
              <w:rPr>
                <w:rFonts w:ascii="Arial" w:cs="Arial" w:eastAsia="Arial" w:hAnsi="Arial"/>
                <w:sz w:val="18"/>
                <w:szCs w:val="18"/>
                <w:color w:val="auto"/>
              </w:rPr>
              <w:t>$</w:t>
            </w:r>
          </w:p>
        </w:tc>
        <w:tc>
          <w:tcPr>
            <w:tcW w:w="1420" w:type="dxa"/>
            <w:vAlign w:val="bottom"/>
          </w:tcPr>
          <w:p>
            <w:pPr>
              <w:jc w:val="right"/>
              <w:spacing w:after="0" w:line="202" w:lineRule="exact"/>
              <w:rPr>
                <w:sz w:val="20"/>
                <w:szCs w:val="20"/>
                <w:color w:val="auto"/>
              </w:rPr>
            </w:pPr>
            <w:r>
              <w:rPr>
                <w:rFonts w:ascii="Arial" w:cs="Arial" w:eastAsia="Arial" w:hAnsi="Arial"/>
                <w:sz w:val="18"/>
                <w:szCs w:val="18"/>
                <w:color w:val="auto"/>
              </w:rPr>
              <w:t>18,997</w:t>
            </w:r>
          </w:p>
        </w:tc>
        <w:tc>
          <w:tcPr>
            <w:tcW w:w="280" w:type="dxa"/>
            <w:vAlign w:val="bottom"/>
          </w:tcPr>
          <w:p>
            <w:pPr>
              <w:spacing w:after="0"/>
              <w:rPr>
                <w:sz w:val="17"/>
                <w:szCs w:val="17"/>
                <w:color w:val="auto"/>
              </w:rPr>
            </w:pPr>
          </w:p>
        </w:tc>
        <w:tc>
          <w:tcPr>
            <w:tcW w:w="16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line="202" w:lineRule="exact"/>
              <w:rPr>
                <w:sz w:val="20"/>
                <w:szCs w:val="20"/>
                <w:color w:val="auto"/>
              </w:rPr>
            </w:pPr>
            <w:r>
              <w:rPr>
                <w:rFonts w:ascii="Arial" w:cs="Arial" w:eastAsia="Arial" w:hAnsi="Arial"/>
                <w:sz w:val="18"/>
                <w:szCs w:val="18"/>
                <w:color w:val="auto"/>
              </w:rPr>
              <w:t>4,338</w:t>
            </w:r>
          </w:p>
        </w:tc>
        <w:tc>
          <w:tcPr>
            <w:tcW w:w="60" w:type="dxa"/>
            <w:vAlign w:val="bottom"/>
          </w:tcPr>
          <w:p>
            <w:pPr>
              <w:spacing w:after="0"/>
              <w:rPr>
                <w:sz w:val="17"/>
                <w:szCs w:val="17"/>
                <w:color w:val="auto"/>
              </w:rPr>
            </w:pPr>
          </w:p>
        </w:tc>
      </w:tr>
      <w:tr>
        <w:trPr>
          <w:trHeight w:val="203"/>
        </w:trPr>
        <w:tc>
          <w:tcPr>
            <w:tcW w:w="592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Inventories</w:t>
            </w:r>
          </w:p>
        </w:tc>
        <w:tc>
          <w:tcPr>
            <w:tcW w:w="340" w:type="dxa"/>
            <w:vAlign w:val="bottom"/>
            <w:shd w:val="clear" w:color="auto" w:fill="CFF0FC"/>
          </w:tcPr>
          <w:p>
            <w:pPr>
              <w:spacing w:after="0"/>
              <w:rPr>
                <w:sz w:val="17"/>
                <w:szCs w:val="17"/>
                <w:color w:val="auto"/>
              </w:rPr>
            </w:pPr>
          </w:p>
        </w:tc>
        <w:tc>
          <w:tcPr>
            <w:tcW w:w="14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81,764</w:t>
            </w:r>
          </w:p>
        </w:tc>
        <w:tc>
          <w:tcPr>
            <w:tcW w:w="28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4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85,028</w:t>
            </w:r>
          </w:p>
        </w:tc>
        <w:tc>
          <w:tcPr>
            <w:tcW w:w="2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0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102,420</w:t>
            </w:r>
          </w:p>
        </w:tc>
        <w:tc>
          <w:tcPr>
            <w:tcW w:w="60" w:type="dxa"/>
            <w:vAlign w:val="bottom"/>
            <w:shd w:val="clear" w:color="auto" w:fill="CFF0FC"/>
          </w:tcPr>
          <w:p>
            <w:pPr>
              <w:spacing w:after="0"/>
              <w:rPr>
                <w:sz w:val="17"/>
                <w:szCs w:val="17"/>
                <w:color w:val="auto"/>
              </w:rPr>
            </w:pPr>
          </w:p>
        </w:tc>
      </w:tr>
      <w:tr>
        <w:trPr>
          <w:trHeight w:val="203"/>
        </w:trPr>
        <w:tc>
          <w:tcPr>
            <w:tcW w:w="5920" w:type="dxa"/>
            <w:vAlign w:val="bottom"/>
          </w:tcPr>
          <w:p>
            <w:pPr>
              <w:ind w:left="20"/>
              <w:spacing w:after="0" w:line="202" w:lineRule="exact"/>
              <w:rPr>
                <w:sz w:val="20"/>
                <w:szCs w:val="20"/>
                <w:color w:val="auto"/>
              </w:rPr>
            </w:pPr>
            <w:r>
              <w:rPr>
                <w:rFonts w:ascii="Arial" w:cs="Arial" w:eastAsia="Arial" w:hAnsi="Arial"/>
                <w:sz w:val="18"/>
                <w:szCs w:val="18"/>
                <w:color w:val="auto"/>
              </w:rPr>
              <w:t>Other current assets</w:t>
            </w:r>
          </w:p>
        </w:tc>
        <w:tc>
          <w:tcPr>
            <w:tcW w:w="340" w:type="dxa"/>
            <w:vAlign w:val="bottom"/>
          </w:tcPr>
          <w:p>
            <w:pPr>
              <w:spacing w:after="0"/>
              <w:rPr>
                <w:sz w:val="17"/>
                <w:szCs w:val="17"/>
                <w:color w:val="auto"/>
              </w:rPr>
            </w:pPr>
          </w:p>
        </w:tc>
        <w:tc>
          <w:tcPr>
            <w:tcW w:w="1460" w:type="dxa"/>
            <w:vAlign w:val="bottom"/>
          </w:tcPr>
          <w:p>
            <w:pPr>
              <w:jc w:val="right"/>
              <w:spacing w:after="0" w:line="202" w:lineRule="exact"/>
              <w:rPr>
                <w:sz w:val="20"/>
                <w:szCs w:val="20"/>
                <w:color w:val="auto"/>
              </w:rPr>
            </w:pPr>
            <w:r>
              <w:rPr>
                <w:rFonts w:ascii="Arial" w:cs="Arial" w:eastAsia="Arial" w:hAnsi="Arial"/>
                <w:sz w:val="18"/>
                <w:szCs w:val="18"/>
                <w:color w:val="auto"/>
              </w:rPr>
              <w:t>8,725</w:t>
            </w:r>
          </w:p>
        </w:tc>
        <w:tc>
          <w:tcPr>
            <w:tcW w:w="2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20" w:type="dxa"/>
            <w:vAlign w:val="bottom"/>
          </w:tcPr>
          <w:p>
            <w:pPr>
              <w:jc w:val="right"/>
              <w:spacing w:after="0" w:line="202" w:lineRule="exact"/>
              <w:rPr>
                <w:sz w:val="20"/>
                <w:szCs w:val="20"/>
                <w:color w:val="auto"/>
              </w:rPr>
            </w:pPr>
            <w:r>
              <w:rPr>
                <w:rFonts w:ascii="Arial" w:cs="Arial" w:eastAsia="Arial" w:hAnsi="Arial"/>
                <w:sz w:val="18"/>
                <w:szCs w:val="18"/>
                <w:color w:val="auto"/>
              </w:rPr>
              <w:t>10,105</w:t>
            </w: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jc w:val="right"/>
              <w:spacing w:after="0" w:line="202" w:lineRule="exact"/>
              <w:rPr>
                <w:sz w:val="20"/>
                <w:szCs w:val="20"/>
                <w:color w:val="auto"/>
              </w:rPr>
            </w:pPr>
            <w:r>
              <w:rPr>
                <w:rFonts w:ascii="Arial" w:cs="Arial" w:eastAsia="Arial" w:hAnsi="Arial"/>
                <w:sz w:val="18"/>
                <w:szCs w:val="18"/>
                <w:color w:val="auto"/>
              </w:rPr>
              <w:t>17,102</w:t>
            </w:r>
          </w:p>
        </w:tc>
        <w:tc>
          <w:tcPr>
            <w:tcW w:w="60" w:type="dxa"/>
            <w:vAlign w:val="bottom"/>
          </w:tcPr>
          <w:p>
            <w:pPr>
              <w:spacing w:after="0"/>
              <w:rPr>
                <w:sz w:val="17"/>
                <w:szCs w:val="17"/>
                <w:color w:val="auto"/>
              </w:rPr>
            </w:pPr>
          </w:p>
        </w:tc>
      </w:tr>
      <w:tr>
        <w:trPr>
          <w:trHeight w:val="203"/>
        </w:trPr>
        <w:tc>
          <w:tcPr>
            <w:tcW w:w="592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Property and equipment, net</w:t>
            </w:r>
          </w:p>
        </w:tc>
        <w:tc>
          <w:tcPr>
            <w:tcW w:w="340" w:type="dxa"/>
            <w:vAlign w:val="bottom"/>
            <w:shd w:val="clear" w:color="auto" w:fill="CFF0FC"/>
          </w:tcPr>
          <w:p>
            <w:pPr>
              <w:spacing w:after="0"/>
              <w:rPr>
                <w:sz w:val="17"/>
                <w:szCs w:val="17"/>
                <w:color w:val="auto"/>
              </w:rPr>
            </w:pPr>
          </w:p>
        </w:tc>
        <w:tc>
          <w:tcPr>
            <w:tcW w:w="14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44,442</w:t>
            </w:r>
          </w:p>
        </w:tc>
        <w:tc>
          <w:tcPr>
            <w:tcW w:w="28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4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56,552</w:t>
            </w:r>
          </w:p>
        </w:tc>
        <w:tc>
          <w:tcPr>
            <w:tcW w:w="2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0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78,279</w:t>
            </w:r>
          </w:p>
        </w:tc>
        <w:tc>
          <w:tcPr>
            <w:tcW w:w="60" w:type="dxa"/>
            <w:vAlign w:val="bottom"/>
            <w:shd w:val="clear" w:color="auto" w:fill="CFF0FC"/>
          </w:tcPr>
          <w:p>
            <w:pPr>
              <w:spacing w:after="0"/>
              <w:rPr>
                <w:sz w:val="17"/>
                <w:szCs w:val="17"/>
                <w:color w:val="auto"/>
              </w:rPr>
            </w:pPr>
          </w:p>
        </w:tc>
      </w:tr>
      <w:tr>
        <w:trPr>
          <w:trHeight w:val="203"/>
        </w:trPr>
        <w:tc>
          <w:tcPr>
            <w:tcW w:w="5920" w:type="dxa"/>
            <w:vAlign w:val="bottom"/>
          </w:tcPr>
          <w:p>
            <w:pPr>
              <w:ind w:left="20"/>
              <w:spacing w:after="0" w:line="202" w:lineRule="exact"/>
              <w:rPr>
                <w:sz w:val="20"/>
                <w:szCs w:val="20"/>
                <w:color w:val="auto"/>
              </w:rPr>
            </w:pPr>
            <w:r>
              <w:rPr>
                <w:rFonts w:ascii="Arial" w:cs="Arial" w:eastAsia="Arial" w:hAnsi="Arial"/>
                <w:sz w:val="18"/>
                <w:szCs w:val="18"/>
                <w:color w:val="auto"/>
              </w:rPr>
              <w:t>Operating lease right-of-use assets</w:t>
            </w:r>
          </w:p>
        </w:tc>
        <w:tc>
          <w:tcPr>
            <w:tcW w:w="340" w:type="dxa"/>
            <w:vAlign w:val="bottom"/>
          </w:tcPr>
          <w:p>
            <w:pPr>
              <w:spacing w:after="0"/>
              <w:rPr>
                <w:sz w:val="17"/>
                <w:szCs w:val="17"/>
                <w:color w:val="auto"/>
              </w:rPr>
            </w:pPr>
          </w:p>
        </w:tc>
        <w:tc>
          <w:tcPr>
            <w:tcW w:w="1460" w:type="dxa"/>
            <w:vAlign w:val="bottom"/>
          </w:tcPr>
          <w:p>
            <w:pPr>
              <w:jc w:val="right"/>
              <w:spacing w:after="0" w:line="202" w:lineRule="exact"/>
              <w:rPr>
                <w:sz w:val="20"/>
                <w:szCs w:val="20"/>
                <w:color w:val="auto"/>
              </w:rPr>
            </w:pPr>
            <w:r>
              <w:rPr>
                <w:rFonts w:ascii="Arial" w:cs="Arial" w:eastAsia="Arial" w:hAnsi="Arial"/>
                <w:sz w:val="18"/>
                <w:szCs w:val="18"/>
                <w:color w:val="auto"/>
              </w:rPr>
              <w:t>127,812</w:t>
            </w:r>
          </w:p>
        </w:tc>
        <w:tc>
          <w:tcPr>
            <w:tcW w:w="2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20" w:type="dxa"/>
            <w:vAlign w:val="bottom"/>
          </w:tcPr>
          <w:p>
            <w:pPr>
              <w:jc w:val="right"/>
              <w:spacing w:after="0" w:line="202" w:lineRule="exact"/>
              <w:rPr>
                <w:sz w:val="20"/>
                <w:szCs w:val="20"/>
                <w:color w:val="auto"/>
              </w:rPr>
            </w:pPr>
            <w:r>
              <w:rPr>
                <w:rFonts w:ascii="Arial" w:cs="Arial" w:eastAsia="Arial" w:hAnsi="Arial"/>
                <w:sz w:val="18"/>
                <w:szCs w:val="18"/>
                <w:color w:val="auto"/>
              </w:rPr>
              <w:t>134,321</w:t>
            </w: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jc w:val="right"/>
              <w:spacing w:after="0" w:line="202" w:lineRule="exact"/>
              <w:rPr>
                <w:sz w:val="20"/>
                <w:szCs w:val="20"/>
                <w:color w:val="auto"/>
              </w:rPr>
            </w:pPr>
            <w:r>
              <w:rPr>
                <w:rFonts w:ascii="Arial" w:cs="Arial" w:eastAsia="Arial" w:hAnsi="Arial"/>
                <w:sz w:val="18"/>
                <w:szCs w:val="18"/>
                <w:color w:val="auto"/>
              </w:rPr>
              <w:t>186,413</w:t>
            </w:r>
          </w:p>
        </w:tc>
        <w:tc>
          <w:tcPr>
            <w:tcW w:w="60" w:type="dxa"/>
            <w:vAlign w:val="bottom"/>
          </w:tcPr>
          <w:p>
            <w:pPr>
              <w:spacing w:after="0"/>
              <w:rPr>
                <w:sz w:val="17"/>
                <w:szCs w:val="17"/>
                <w:color w:val="auto"/>
              </w:rPr>
            </w:pPr>
          </w:p>
        </w:tc>
      </w:tr>
      <w:tr>
        <w:trPr>
          <w:trHeight w:val="203"/>
        </w:trPr>
        <w:tc>
          <w:tcPr>
            <w:tcW w:w="592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Intangible assets</w:t>
            </w:r>
          </w:p>
        </w:tc>
        <w:tc>
          <w:tcPr>
            <w:tcW w:w="340" w:type="dxa"/>
            <w:vAlign w:val="bottom"/>
            <w:shd w:val="clear" w:color="auto" w:fill="CFF0FC"/>
          </w:tcPr>
          <w:p>
            <w:pPr>
              <w:spacing w:after="0"/>
              <w:rPr>
                <w:sz w:val="17"/>
                <w:szCs w:val="17"/>
                <w:color w:val="auto"/>
              </w:rPr>
            </w:pPr>
          </w:p>
        </w:tc>
        <w:tc>
          <w:tcPr>
            <w:tcW w:w="14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1,150</w:t>
            </w:r>
          </w:p>
        </w:tc>
        <w:tc>
          <w:tcPr>
            <w:tcW w:w="28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4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1,150</w:t>
            </w:r>
          </w:p>
        </w:tc>
        <w:tc>
          <w:tcPr>
            <w:tcW w:w="2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0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1,150</w:t>
            </w:r>
          </w:p>
        </w:tc>
        <w:tc>
          <w:tcPr>
            <w:tcW w:w="60" w:type="dxa"/>
            <w:vAlign w:val="bottom"/>
            <w:shd w:val="clear" w:color="auto" w:fill="CFF0FC"/>
          </w:tcPr>
          <w:p>
            <w:pPr>
              <w:spacing w:after="0"/>
              <w:rPr>
                <w:sz w:val="17"/>
                <w:szCs w:val="17"/>
                <w:color w:val="auto"/>
              </w:rPr>
            </w:pPr>
          </w:p>
        </w:tc>
      </w:tr>
      <w:tr>
        <w:trPr>
          <w:trHeight w:val="203"/>
        </w:trPr>
        <w:tc>
          <w:tcPr>
            <w:tcW w:w="5920" w:type="dxa"/>
            <w:vAlign w:val="bottom"/>
          </w:tcPr>
          <w:p>
            <w:pPr>
              <w:ind w:left="20"/>
              <w:spacing w:after="0" w:line="202" w:lineRule="exact"/>
              <w:rPr>
                <w:sz w:val="20"/>
                <w:szCs w:val="20"/>
                <w:color w:val="auto"/>
              </w:rPr>
            </w:pPr>
            <w:r>
              <w:rPr>
                <w:rFonts w:ascii="Arial" w:cs="Arial" w:eastAsia="Arial" w:hAnsi="Arial"/>
                <w:sz w:val="18"/>
                <w:szCs w:val="18"/>
                <w:color w:val="auto"/>
              </w:rPr>
              <w:t>Other assets</w:t>
            </w:r>
          </w:p>
        </w:tc>
        <w:tc>
          <w:tcPr>
            <w:tcW w:w="34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559</w:t>
            </w:r>
          </w:p>
        </w:tc>
        <w:tc>
          <w:tcPr>
            <w:tcW w:w="28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602</w:t>
            </w:r>
          </w:p>
        </w:tc>
        <w:tc>
          <w:tcPr>
            <w:tcW w:w="28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1,215</w:t>
            </w:r>
          </w:p>
        </w:tc>
        <w:tc>
          <w:tcPr>
            <w:tcW w:w="60" w:type="dxa"/>
            <w:vAlign w:val="bottom"/>
          </w:tcPr>
          <w:p>
            <w:pPr>
              <w:spacing w:after="0"/>
              <w:rPr>
                <w:sz w:val="17"/>
                <w:szCs w:val="17"/>
                <w:color w:val="auto"/>
              </w:rPr>
            </w:pPr>
          </w:p>
        </w:tc>
      </w:tr>
      <w:tr>
        <w:trPr>
          <w:trHeight w:val="236"/>
        </w:trPr>
        <w:tc>
          <w:tcPr>
            <w:tcW w:w="5920" w:type="dxa"/>
            <w:vAlign w:val="bottom"/>
            <w:tcBorders>
              <w:bottom w:val="single" w:sz="8" w:color="CFF0FC"/>
            </w:tcBorders>
            <w:shd w:val="clear" w:color="auto" w:fill="CFF0FC"/>
          </w:tcPr>
          <w:p>
            <w:pPr>
              <w:ind w:left="200"/>
              <w:spacing w:after="0" w:line="182" w:lineRule="exact"/>
              <w:rPr>
                <w:sz w:val="20"/>
                <w:szCs w:val="20"/>
                <w:color w:val="auto"/>
              </w:rPr>
            </w:pPr>
            <w:r>
              <w:rPr>
                <w:rFonts w:ascii="Arial" w:cs="Arial" w:eastAsia="Arial" w:hAnsi="Arial"/>
                <w:sz w:val="18"/>
                <w:szCs w:val="18"/>
                <w:color w:val="auto"/>
              </w:rPr>
              <w:t>Total assets</w:t>
            </w:r>
          </w:p>
        </w:tc>
        <w:tc>
          <w:tcPr>
            <w:tcW w:w="340" w:type="dxa"/>
            <w:vAlign w:val="bottom"/>
            <w:tcBorders>
              <w:bottom w:val="single" w:sz="8" w:color="auto"/>
            </w:tcBorders>
            <w:shd w:val="clear" w:color="auto" w:fill="CFF0FC"/>
          </w:tcPr>
          <w:p>
            <w:pPr>
              <w:jc w:val="right"/>
              <w:ind w:right="150"/>
              <w:spacing w:after="0" w:line="182" w:lineRule="exact"/>
              <w:rPr>
                <w:sz w:val="20"/>
                <w:szCs w:val="20"/>
                <w:color w:val="auto"/>
              </w:rPr>
            </w:pPr>
            <w:r>
              <w:rPr>
                <w:rFonts w:ascii="Arial" w:cs="Arial" w:eastAsia="Arial" w:hAnsi="Arial"/>
                <w:sz w:val="18"/>
                <w:szCs w:val="18"/>
                <w:color w:val="auto"/>
                <w:w w:val="79"/>
              </w:rPr>
              <w:t>$</w:t>
            </w:r>
          </w:p>
        </w:tc>
        <w:tc>
          <w:tcPr>
            <w:tcW w:w="1460" w:type="dxa"/>
            <w:vAlign w:val="bottom"/>
            <w:tcBorders>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279,958</w:t>
            </w:r>
          </w:p>
        </w:tc>
        <w:tc>
          <w:tcPr>
            <w:tcW w:w="280" w:type="dxa"/>
            <w:vAlign w:val="bottom"/>
            <w:tcBorders>
              <w:bottom w:val="single" w:sz="8" w:color="CFF0FC"/>
            </w:tcBorders>
            <w:shd w:val="clear" w:color="auto" w:fill="CFF0FC"/>
          </w:tcPr>
          <w:p>
            <w:pPr>
              <w:spacing w:after="0"/>
              <w:rPr>
                <w:sz w:val="20"/>
                <w:szCs w:val="20"/>
                <w:color w:val="auto"/>
              </w:rPr>
            </w:pPr>
          </w:p>
        </w:tc>
        <w:tc>
          <w:tcPr>
            <w:tcW w:w="320" w:type="dxa"/>
            <w:vAlign w:val="bottom"/>
            <w:tcBorders>
              <w:bottom w:val="single" w:sz="8" w:color="auto"/>
            </w:tcBorders>
            <w:shd w:val="clear" w:color="auto" w:fill="CFF0FC"/>
          </w:tcPr>
          <w:p>
            <w:pPr>
              <w:jc w:val="right"/>
              <w:ind w:right="130"/>
              <w:spacing w:after="0" w:line="182" w:lineRule="exact"/>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306,755</w:t>
            </w:r>
          </w:p>
        </w:tc>
        <w:tc>
          <w:tcPr>
            <w:tcW w:w="28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390,917</w:t>
            </w:r>
          </w:p>
        </w:tc>
        <w:tc>
          <w:tcPr>
            <w:tcW w:w="60" w:type="dxa"/>
            <w:vAlign w:val="bottom"/>
            <w:tcBorders>
              <w:bottom w:val="single" w:sz="8" w:color="CFF0FC"/>
            </w:tcBorders>
            <w:shd w:val="clear" w:color="auto" w:fill="CFF0FC"/>
          </w:tcPr>
          <w:p>
            <w:pPr>
              <w:spacing w:after="0"/>
              <w:rPr>
                <w:sz w:val="20"/>
                <w:szCs w:val="20"/>
                <w:color w:val="auto"/>
              </w:rPr>
            </w:pPr>
          </w:p>
        </w:tc>
      </w:tr>
      <w:tr>
        <w:trPr>
          <w:trHeight w:val="183"/>
        </w:trPr>
        <w:tc>
          <w:tcPr>
            <w:tcW w:w="59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60" w:type="dxa"/>
            <w:vAlign w:val="bottom"/>
          </w:tcPr>
          <w:p>
            <w:pPr>
              <w:spacing w:after="0"/>
              <w:rPr>
                <w:sz w:val="15"/>
                <w:szCs w:val="15"/>
                <w:color w:val="auto"/>
              </w:rPr>
            </w:pPr>
          </w:p>
        </w:tc>
      </w:tr>
      <w:tr>
        <w:trPr>
          <w:trHeight w:val="203"/>
        </w:trPr>
        <w:tc>
          <w:tcPr>
            <w:tcW w:w="592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LIABILITIES AND STOCKHOLDERS' EQUITY (DEFICIT)</w:t>
            </w:r>
          </w:p>
        </w:tc>
        <w:tc>
          <w:tcPr>
            <w:tcW w:w="340" w:type="dxa"/>
            <w:vAlign w:val="bottom"/>
            <w:shd w:val="clear" w:color="auto" w:fill="CFF0FC"/>
          </w:tcPr>
          <w:p>
            <w:pPr>
              <w:spacing w:after="0"/>
              <w:rPr>
                <w:sz w:val="17"/>
                <w:szCs w:val="17"/>
                <w:color w:val="auto"/>
              </w:rPr>
            </w:pPr>
          </w:p>
        </w:tc>
        <w:tc>
          <w:tcPr>
            <w:tcW w:w="146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42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r>
      <w:tr>
        <w:trPr>
          <w:trHeight w:val="203"/>
        </w:trPr>
        <w:tc>
          <w:tcPr>
            <w:tcW w:w="59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600" w:type="dxa"/>
            <w:vAlign w:val="bottom"/>
            <w:gridSpan w:val="2"/>
          </w:tcPr>
          <w:p>
            <w:pPr>
              <w:spacing w:after="0"/>
              <w:rPr>
                <w:sz w:val="17"/>
                <w:szCs w:val="17"/>
                <w:color w:val="auto"/>
              </w:rPr>
            </w:pPr>
          </w:p>
        </w:tc>
        <w:tc>
          <w:tcPr>
            <w:tcW w:w="14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3"/>
        </w:trPr>
        <w:tc>
          <w:tcPr>
            <w:tcW w:w="592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Accounts payable</w:t>
            </w:r>
          </w:p>
        </w:tc>
        <w:tc>
          <w:tcPr>
            <w:tcW w:w="340" w:type="dxa"/>
            <w:vAlign w:val="bottom"/>
            <w:shd w:val="clear" w:color="auto" w:fill="CFF0FC"/>
          </w:tcPr>
          <w:p>
            <w:pPr>
              <w:jc w:val="right"/>
              <w:ind w:right="150"/>
              <w:spacing w:after="0" w:line="202" w:lineRule="exact"/>
              <w:rPr>
                <w:sz w:val="20"/>
                <w:szCs w:val="20"/>
                <w:color w:val="auto"/>
              </w:rPr>
            </w:pPr>
            <w:r>
              <w:rPr>
                <w:rFonts w:ascii="Arial" w:cs="Arial" w:eastAsia="Arial" w:hAnsi="Arial"/>
                <w:sz w:val="18"/>
                <w:szCs w:val="18"/>
                <w:color w:val="auto"/>
                <w:w w:val="79"/>
              </w:rPr>
              <w:t>$</w:t>
            </w:r>
          </w:p>
        </w:tc>
        <w:tc>
          <w:tcPr>
            <w:tcW w:w="14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25,165</w:t>
            </w:r>
          </w:p>
        </w:tc>
        <w:tc>
          <w:tcPr>
            <w:tcW w:w="600" w:type="dxa"/>
            <w:vAlign w:val="bottom"/>
            <w:gridSpan w:val="2"/>
            <w:shd w:val="clear" w:color="auto" w:fill="CFF0FC"/>
          </w:tcPr>
          <w:p>
            <w:pPr>
              <w:jc w:val="right"/>
              <w:ind w:right="130"/>
              <w:spacing w:after="0" w:line="202" w:lineRule="exact"/>
              <w:rPr>
                <w:sz w:val="20"/>
                <w:szCs w:val="20"/>
                <w:color w:val="auto"/>
              </w:rPr>
            </w:pPr>
            <w:r>
              <w:rPr>
                <w:rFonts w:ascii="Arial" w:cs="Arial" w:eastAsia="Arial" w:hAnsi="Arial"/>
                <w:sz w:val="18"/>
                <w:szCs w:val="18"/>
                <w:color w:val="auto"/>
              </w:rPr>
              <w:t>$</w:t>
            </w:r>
          </w:p>
        </w:tc>
        <w:tc>
          <w:tcPr>
            <w:tcW w:w="14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27,091</w:t>
            </w:r>
          </w:p>
        </w:tc>
        <w:tc>
          <w:tcPr>
            <w:tcW w:w="280" w:type="dxa"/>
            <w:vAlign w:val="bottom"/>
            <w:shd w:val="clear" w:color="auto" w:fill="CFF0FC"/>
          </w:tcPr>
          <w:p>
            <w:pPr>
              <w:spacing w:after="0"/>
              <w:rPr>
                <w:sz w:val="17"/>
                <w:szCs w:val="17"/>
                <w:color w:val="auto"/>
              </w:rPr>
            </w:pPr>
          </w:p>
        </w:tc>
        <w:tc>
          <w:tcPr>
            <w:tcW w:w="1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w w:val="79"/>
              </w:rPr>
              <w:t>$</w:t>
            </w:r>
          </w:p>
        </w:tc>
        <w:tc>
          <w:tcPr>
            <w:tcW w:w="10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31,763</w:t>
            </w:r>
          </w:p>
        </w:tc>
        <w:tc>
          <w:tcPr>
            <w:tcW w:w="60" w:type="dxa"/>
            <w:vAlign w:val="bottom"/>
            <w:shd w:val="clear" w:color="auto" w:fill="CFF0FC"/>
          </w:tcPr>
          <w:p>
            <w:pPr>
              <w:spacing w:after="0"/>
              <w:rPr>
                <w:sz w:val="17"/>
                <w:szCs w:val="17"/>
                <w:color w:val="auto"/>
              </w:rPr>
            </w:pPr>
          </w:p>
        </w:tc>
      </w:tr>
      <w:tr>
        <w:trPr>
          <w:trHeight w:val="203"/>
        </w:trPr>
        <w:tc>
          <w:tcPr>
            <w:tcW w:w="5920" w:type="dxa"/>
            <w:vAlign w:val="bottom"/>
          </w:tcPr>
          <w:p>
            <w:pPr>
              <w:ind w:left="20"/>
              <w:spacing w:after="0" w:line="202" w:lineRule="exact"/>
              <w:rPr>
                <w:sz w:val="20"/>
                <w:szCs w:val="20"/>
                <w:color w:val="auto"/>
              </w:rPr>
            </w:pPr>
            <w:r>
              <w:rPr>
                <w:rFonts w:ascii="Arial" w:cs="Arial" w:eastAsia="Arial" w:hAnsi="Arial"/>
                <w:sz w:val="18"/>
                <w:szCs w:val="18"/>
                <w:color w:val="auto"/>
              </w:rPr>
              <w:t>Accrued expenses and other liabilities</w:t>
            </w:r>
          </w:p>
        </w:tc>
        <w:tc>
          <w:tcPr>
            <w:tcW w:w="340" w:type="dxa"/>
            <w:vAlign w:val="bottom"/>
          </w:tcPr>
          <w:p>
            <w:pPr>
              <w:spacing w:after="0"/>
              <w:rPr>
                <w:sz w:val="17"/>
                <w:szCs w:val="17"/>
                <w:color w:val="auto"/>
              </w:rPr>
            </w:pPr>
          </w:p>
        </w:tc>
        <w:tc>
          <w:tcPr>
            <w:tcW w:w="1460" w:type="dxa"/>
            <w:vAlign w:val="bottom"/>
          </w:tcPr>
          <w:p>
            <w:pPr>
              <w:jc w:val="right"/>
              <w:spacing w:after="0" w:line="202" w:lineRule="exact"/>
              <w:rPr>
                <w:sz w:val="20"/>
                <w:szCs w:val="20"/>
                <w:color w:val="auto"/>
              </w:rPr>
            </w:pPr>
            <w:r>
              <w:rPr>
                <w:rFonts w:ascii="Arial" w:cs="Arial" w:eastAsia="Arial" w:hAnsi="Arial"/>
                <w:sz w:val="18"/>
                <w:szCs w:val="18"/>
                <w:color w:val="auto"/>
              </w:rPr>
              <w:t>40,969</w:t>
            </w:r>
          </w:p>
        </w:tc>
        <w:tc>
          <w:tcPr>
            <w:tcW w:w="2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20" w:type="dxa"/>
            <w:vAlign w:val="bottom"/>
          </w:tcPr>
          <w:p>
            <w:pPr>
              <w:jc w:val="right"/>
              <w:spacing w:after="0" w:line="202" w:lineRule="exact"/>
              <w:rPr>
                <w:sz w:val="20"/>
                <w:szCs w:val="20"/>
                <w:color w:val="auto"/>
              </w:rPr>
            </w:pPr>
            <w:r>
              <w:rPr>
                <w:rFonts w:ascii="Arial" w:cs="Arial" w:eastAsia="Arial" w:hAnsi="Arial"/>
                <w:sz w:val="18"/>
                <w:szCs w:val="18"/>
                <w:color w:val="auto"/>
              </w:rPr>
              <w:t>29,934</w:t>
            </w: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jc w:val="right"/>
              <w:spacing w:after="0" w:line="202" w:lineRule="exact"/>
              <w:rPr>
                <w:sz w:val="20"/>
                <w:szCs w:val="20"/>
                <w:color w:val="auto"/>
              </w:rPr>
            </w:pPr>
            <w:r>
              <w:rPr>
                <w:rFonts w:ascii="Arial" w:cs="Arial" w:eastAsia="Arial" w:hAnsi="Arial"/>
                <w:sz w:val="18"/>
                <w:szCs w:val="18"/>
                <w:color w:val="auto"/>
              </w:rPr>
              <w:t>23,390</w:t>
            </w:r>
          </w:p>
        </w:tc>
        <w:tc>
          <w:tcPr>
            <w:tcW w:w="60" w:type="dxa"/>
            <w:vAlign w:val="bottom"/>
          </w:tcPr>
          <w:p>
            <w:pPr>
              <w:spacing w:after="0"/>
              <w:rPr>
                <w:sz w:val="17"/>
                <w:szCs w:val="17"/>
                <w:color w:val="auto"/>
              </w:rPr>
            </w:pPr>
          </w:p>
        </w:tc>
      </w:tr>
      <w:tr>
        <w:trPr>
          <w:trHeight w:val="203"/>
        </w:trPr>
        <w:tc>
          <w:tcPr>
            <w:tcW w:w="592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Operating leases</w:t>
            </w:r>
          </w:p>
        </w:tc>
        <w:tc>
          <w:tcPr>
            <w:tcW w:w="340" w:type="dxa"/>
            <w:vAlign w:val="bottom"/>
            <w:shd w:val="clear" w:color="auto" w:fill="CFF0FC"/>
          </w:tcPr>
          <w:p>
            <w:pPr>
              <w:spacing w:after="0"/>
              <w:rPr>
                <w:sz w:val="17"/>
                <w:szCs w:val="17"/>
                <w:color w:val="auto"/>
              </w:rPr>
            </w:pPr>
          </w:p>
        </w:tc>
        <w:tc>
          <w:tcPr>
            <w:tcW w:w="14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155,605</w:t>
            </w:r>
          </w:p>
        </w:tc>
        <w:tc>
          <w:tcPr>
            <w:tcW w:w="28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4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179,417</w:t>
            </w:r>
          </w:p>
        </w:tc>
        <w:tc>
          <w:tcPr>
            <w:tcW w:w="2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0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223,227</w:t>
            </w:r>
          </w:p>
        </w:tc>
        <w:tc>
          <w:tcPr>
            <w:tcW w:w="60" w:type="dxa"/>
            <w:vAlign w:val="bottom"/>
            <w:shd w:val="clear" w:color="auto" w:fill="CFF0FC"/>
          </w:tcPr>
          <w:p>
            <w:pPr>
              <w:spacing w:after="0"/>
              <w:rPr>
                <w:sz w:val="17"/>
                <w:szCs w:val="17"/>
                <w:color w:val="auto"/>
              </w:rPr>
            </w:pPr>
          </w:p>
        </w:tc>
      </w:tr>
      <w:tr>
        <w:trPr>
          <w:trHeight w:val="203"/>
        </w:trPr>
        <w:tc>
          <w:tcPr>
            <w:tcW w:w="5920" w:type="dxa"/>
            <w:vAlign w:val="bottom"/>
          </w:tcPr>
          <w:p>
            <w:pPr>
              <w:ind w:left="20"/>
              <w:spacing w:after="0" w:line="202" w:lineRule="exact"/>
              <w:rPr>
                <w:sz w:val="20"/>
                <w:szCs w:val="20"/>
                <w:color w:val="auto"/>
              </w:rPr>
            </w:pPr>
            <w:r>
              <w:rPr>
                <w:rFonts w:ascii="Arial" w:cs="Arial" w:eastAsia="Arial" w:hAnsi="Arial"/>
                <w:sz w:val="18"/>
                <w:szCs w:val="18"/>
                <w:color w:val="auto"/>
              </w:rPr>
              <w:t>Long-term debt</w:t>
            </w:r>
          </w:p>
        </w:tc>
        <w:tc>
          <w:tcPr>
            <w:tcW w:w="340" w:type="dxa"/>
            <w:vAlign w:val="bottom"/>
          </w:tcPr>
          <w:p>
            <w:pPr>
              <w:spacing w:after="0"/>
              <w:rPr>
                <w:sz w:val="17"/>
                <w:szCs w:val="17"/>
                <w:color w:val="auto"/>
              </w:rPr>
            </w:pPr>
          </w:p>
        </w:tc>
        <w:tc>
          <w:tcPr>
            <w:tcW w:w="14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20" w:type="dxa"/>
            <w:vAlign w:val="bottom"/>
          </w:tcPr>
          <w:p>
            <w:pPr>
              <w:jc w:val="right"/>
              <w:spacing w:after="0" w:line="202" w:lineRule="exact"/>
              <w:rPr>
                <w:sz w:val="20"/>
                <w:szCs w:val="20"/>
                <w:color w:val="auto"/>
              </w:rPr>
            </w:pPr>
            <w:r>
              <w:rPr>
                <w:rFonts w:ascii="Arial" w:cs="Arial" w:eastAsia="Arial" w:hAnsi="Arial"/>
                <w:sz w:val="18"/>
                <w:szCs w:val="18"/>
                <w:color w:val="auto"/>
              </w:rPr>
              <w:t>14,869</w:t>
            </w: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jc w:val="right"/>
              <w:spacing w:after="0" w:line="202" w:lineRule="exact"/>
              <w:rPr>
                <w:sz w:val="20"/>
                <w:szCs w:val="20"/>
                <w:color w:val="auto"/>
              </w:rPr>
            </w:pPr>
            <w:r>
              <w:rPr>
                <w:rFonts w:ascii="Arial" w:cs="Arial" w:eastAsia="Arial" w:hAnsi="Arial"/>
                <w:sz w:val="18"/>
                <w:szCs w:val="18"/>
                <w:color w:val="auto"/>
              </w:rPr>
              <w:t>14,813</w:t>
            </w:r>
          </w:p>
        </w:tc>
        <w:tc>
          <w:tcPr>
            <w:tcW w:w="60" w:type="dxa"/>
            <w:vAlign w:val="bottom"/>
          </w:tcPr>
          <w:p>
            <w:pPr>
              <w:spacing w:after="0"/>
              <w:rPr>
                <w:sz w:val="17"/>
                <w:szCs w:val="17"/>
                <w:color w:val="auto"/>
              </w:rPr>
            </w:pPr>
          </w:p>
        </w:tc>
      </w:tr>
      <w:tr>
        <w:trPr>
          <w:trHeight w:val="203"/>
        </w:trPr>
        <w:tc>
          <w:tcPr>
            <w:tcW w:w="592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Borrowings under credit facility</w:t>
            </w:r>
          </w:p>
        </w:tc>
        <w:tc>
          <w:tcPr>
            <w:tcW w:w="340" w:type="dxa"/>
            <w:vAlign w:val="bottom"/>
            <w:shd w:val="clear" w:color="auto" w:fill="CFF0FC"/>
          </w:tcPr>
          <w:p>
            <w:pPr>
              <w:spacing w:after="0"/>
              <w:rPr>
                <w:sz w:val="17"/>
                <w:szCs w:val="17"/>
                <w:color w:val="auto"/>
              </w:rPr>
            </w:pPr>
          </w:p>
        </w:tc>
        <w:tc>
          <w:tcPr>
            <w:tcW w:w="14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4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59,521</w:t>
            </w:r>
          </w:p>
        </w:tc>
        <w:tc>
          <w:tcPr>
            <w:tcW w:w="2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0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39,301</w:t>
            </w:r>
          </w:p>
        </w:tc>
        <w:tc>
          <w:tcPr>
            <w:tcW w:w="60" w:type="dxa"/>
            <w:vAlign w:val="bottom"/>
            <w:shd w:val="clear" w:color="auto" w:fill="CFF0FC"/>
          </w:tcPr>
          <w:p>
            <w:pPr>
              <w:spacing w:after="0"/>
              <w:rPr>
                <w:sz w:val="17"/>
                <w:szCs w:val="17"/>
                <w:color w:val="auto"/>
              </w:rPr>
            </w:pPr>
          </w:p>
        </w:tc>
      </w:tr>
      <w:tr>
        <w:trPr>
          <w:trHeight w:val="203"/>
        </w:trPr>
        <w:tc>
          <w:tcPr>
            <w:tcW w:w="5920" w:type="dxa"/>
            <w:vAlign w:val="bottom"/>
          </w:tcPr>
          <w:p>
            <w:pPr>
              <w:ind w:left="20"/>
              <w:spacing w:after="0" w:line="202" w:lineRule="exact"/>
              <w:rPr>
                <w:sz w:val="20"/>
                <w:szCs w:val="20"/>
                <w:color w:val="auto"/>
              </w:rPr>
            </w:pPr>
            <w:r>
              <w:rPr>
                <w:rFonts w:ascii="Arial" w:cs="Arial" w:eastAsia="Arial" w:hAnsi="Arial"/>
                <w:sz w:val="18"/>
                <w:szCs w:val="18"/>
                <w:color w:val="auto"/>
              </w:rPr>
              <w:t>Stockholders' equity (deficit)</w:t>
            </w:r>
          </w:p>
        </w:tc>
        <w:tc>
          <w:tcPr>
            <w:tcW w:w="340" w:type="dxa"/>
            <w:vAlign w:val="bottom"/>
          </w:tcPr>
          <w:p>
            <w:pPr>
              <w:spacing w:after="0"/>
              <w:rPr>
                <w:sz w:val="17"/>
                <w:szCs w:val="17"/>
                <w:color w:val="auto"/>
              </w:rPr>
            </w:pPr>
          </w:p>
        </w:tc>
        <w:tc>
          <w:tcPr>
            <w:tcW w:w="1460" w:type="dxa"/>
            <w:vAlign w:val="bottom"/>
          </w:tcPr>
          <w:p>
            <w:pPr>
              <w:jc w:val="right"/>
              <w:spacing w:after="0" w:line="202" w:lineRule="exact"/>
              <w:rPr>
                <w:sz w:val="20"/>
                <w:szCs w:val="20"/>
                <w:color w:val="auto"/>
              </w:rPr>
            </w:pPr>
            <w:r>
              <w:rPr>
                <w:rFonts w:ascii="Arial" w:cs="Arial" w:eastAsia="Arial" w:hAnsi="Arial"/>
                <w:sz w:val="18"/>
                <w:szCs w:val="18"/>
                <w:color w:val="auto"/>
              </w:rPr>
              <w:t>58,219</w:t>
            </w:r>
          </w:p>
        </w:tc>
        <w:tc>
          <w:tcPr>
            <w:tcW w:w="2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70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(4,077 )</w:t>
            </w:r>
          </w:p>
        </w:tc>
        <w:tc>
          <w:tcPr>
            <w:tcW w:w="160" w:type="dxa"/>
            <w:vAlign w:val="bottom"/>
          </w:tcPr>
          <w:p>
            <w:pPr>
              <w:spacing w:after="0"/>
              <w:rPr>
                <w:sz w:val="17"/>
                <w:szCs w:val="17"/>
                <w:color w:val="auto"/>
              </w:rPr>
            </w:pPr>
          </w:p>
        </w:tc>
        <w:tc>
          <w:tcPr>
            <w:tcW w:w="1000" w:type="dxa"/>
            <w:vAlign w:val="bottom"/>
          </w:tcPr>
          <w:p>
            <w:pPr>
              <w:jc w:val="right"/>
              <w:spacing w:after="0" w:line="202" w:lineRule="exact"/>
              <w:rPr>
                <w:sz w:val="20"/>
                <w:szCs w:val="20"/>
                <w:color w:val="auto"/>
              </w:rPr>
            </w:pPr>
            <w:r>
              <w:rPr>
                <w:rFonts w:ascii="Arial" w:cs="Arial" w:eastAsia="Arial" w:hAnsi="Arial"/>
                <w:sz w:val="18"/>
                <w:szCs w:val="18"/>
                <w:color w:val="auto"/>
              </w:rPr>
              <w:t>58,423</w:t>
            </w:r>
          </w:p>
        </w:tc>
        <w:tc>
          <w:tcPr>
            <w:tcW w:w="60" w:type="dxa"/>
            <w:vAlign w:val="bottom"/>
          </w:tcPr>
          <w:p>
            <w:pPr>
              <w:spacing w:after="0"/>
              <w:rPr>
                <w:sz w:val="17"/>
                <w:szCs w:val="17"/>
                <w:color w:val="auto"/>
              </w:rPr>
            </w:pPr>
          </w:p>
        </w:tc>
      </w:tr>
      <w:tr>
        <w:trPr>
          <w:trHeight w:val="236"/>
        </w:trPr>
        <w:tc>
          <w:tcPr>
            <w:tcW w:w="5920" w:type="dxa"/>
            <w:vAlign w:val="bottom"/>
            <w:tcBorders>
              <w:bottom w:val="single" w:sz="8" w:color="CFF0FC"/>
            </w:tcBorders>
            <w:shd w:val="clear" w:color="auto" w:fill="CFF0FC"/>
          </w:tcPr>
          <w:p>
            <w:pPr>
              <w:ind w:left="200"/>
              <w:spacing w:after="0" w:line="182" w:lineRule="exact"/>
              <w:rPr>
                <w:sz w:val="20"/>
                <w:szCs w:val="20"/>
                <w:color w:val="auto"/>
              </w:rPr>
            </w:pPr>
            <w:r>
              <w:rPr>
                <w:rFonts w:ascii="Arial" w:cs="Arial" w:eastAsia="Arial" w:hAnsi="Arial"/>
                <w:sz w:val="18"/>
                <w:szCs w:val="18"/>
                <w:color w:val="auto"/>
              </w:rPr>
              <w:t>Total liabilities and stockholders' equity (deficit)</w:t>
            </w:r>
          </w:p>
        </w:tc>
        <w:tc>
          <w:tcPr>
            <w:tcW w:w="340" w:type="dxa"/>
            <w:vAlign w:val="bottom"/>
            <w:tcBorders>
              <w:top w:val="single" w:sz="8" w:color="auto"/>
              <w:bottom w:val="single" w:sz="8" w:color="auto"/>
            </w:tcBorders>
            <w:shd w:val="clear" w:color="auto" w:fill="CFF0FC"/>
          </w:tcPr>
          <w:p>
            <w:pPr>
              <w:jc w:val="right"/>
              <w:ind w:right="150"/>
              <w:spacing w:after="0" w:line="182" w:lineRule="exact"/>
              <w:rPr>
                <w:sz w:val="20"/>
                <w:szCs w:val="20"/>
                <w:color w:val="auto"/>
              </w:rPr>
            </w:pPr>
            <w:r>
              <w:rPr>
                <w:rFonts w:ascii="Arial" w:cs="Arial" w:eastAsia="Arial" w:hAnsi="Arial"/>
                <w:sz w:val="18"/>
                <w:szCs w:val="18"/>
                <w:color w:val="auto"/>
                <w:w w:val="79"/>
              </w:rPr>
              <w:t>$</w:t>
            </w:r>
          </w:p>
        </w:tc>
        <w:tc>
          <w:tcPr>
            <w:tcW w:w="1460" w:type="dxa"/>
            <w:vAlign w:val="bottom"/>
            <w:tcBorders>
              <w:top w:val="single" w:sz="8" w:color="auto"/>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279,958</w:t>
            </w:r>
          </w:p>
        </w:tc>
        <w:tc>
          <w:tcPr>
            <w:tcW w:w="280" w:type="dxa"/>
            <w:vAlign w:val="bottom"/>
            <w:tcBorders>
              <w:bottom w:val="single" w:sz="8" w:color="CFF0FC"/>
            </w:tcBorders>
            <w:shd w:val="clear" w:color="auto" w:fill="CFF0FC"/>
          </w:tcPr>
          <w:p>
            <w:pPr>
              <w:spacing w:after="0"/>
              <w:rPr>
                <w:sz w:val="20"/>
                <w:szCs w:val="20"/>
                <w:color w:val="auto"/>
              </w:rPr>
            </w:pPr>
          </w:p>
        </w:tc>
        <w:tc>
          <w:tcPr>
            <w:tcW w:w="320" w:type="dxa"/>
            <w:vAlign w:val="bottom"/>
            <w:tcBorders>
              <w:top w:val="single" w:sz="8" w:color="auto"/>
              <w:bottom w:val="single" w:sz="8" w:color="auto"/>
            </w:tcBorders>
            <w:shd w:val="clear" w:color="auto" w:fill="CFF0FC"/>
          </w:tcPr>
          <w:p>
            <w:pPr>
              <w:jc w:val="right"/>
              <w:ind w:right="130"/>
              <w:spacing w:after="0" w:line="182" w:lineRule="exact"/>
              <w:rPr>
                <w:sz w:val="20"/>
                <w:szCs w:val="20"/>
                <w:color w:val="auto"/>
              </w:rPr>
            </w:pPr>
            <w:r>
              <w:rPr>
                <w:rFonts w:ascii="Arial" w:cs="Arial" w:eastAsia="Arial" w:hAnsi="Arial"/>
                <w:sz w:val="18"/>
                <w:szCs w:val="18"/>
                <w:color w:val="auto"/>
                <w:w w:val="79"/>
              </w:rPr>
              <w:t>$</w:t>
            </w:r>
          </w:p>
        </w:tc>
        <w:tc>
          <w:tcPr>
            <w:tcW w:w="1420" w:type="dxa"/>
            <w:vAlign w:val="bottom"/>
            <w:tcBorders>
              <w:top w:val="single" w:sz="8" w:color="auto"/>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306,755</w:t>
            </w:r>
          </w:p>
        </w:tc>
        <w:tc>
          <w:tcPr>
            <w:tcW w:w="28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top w:val="single" w:sz="8" w:color="auto"/>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390,917</w:t>
            </w:r>
          </w:p>
        </w:tc>
        <w:tc>
          <w:tcPr>
            <w:tcW w:w="60" w:type="dxa"/>
            <w:vAlign w:val="bottom"/>
            <w:tcBorders>
              <w:bottom w:val="single" w:sz="8" w:color="CFF0FC"/>
            </w:tcBorders>
            <w:shd w:val="clear" w:color="auto" w:fill="CFF0FC"/>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4899660</wp:posOffset>
            </wp:positionH>
            <wp:positionV relativeFrom="paragraph">
              <wp:posOffset>-1345565</wp:posOffset>
            </wp:positionV>
            <wp:extent cx="51435"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4899660</wp:posOffset>
            </wp:positionH>
            <wp:positionV relativeFrom="paragraph">
              <wp:posOffset>-1328420</wp:posOffset>
            </wp:positionV>
            <wp:extent cx="51435"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6185535</wp:posOffset>
            </wp:positionH>
            <wp:positionV relativeFrom="paragraph">
              <wp:posOffset>-1345565</wp:posOffset>
            </wp:positionV>
            <wp:extent cx="60325"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6185535</wp:posOffset>
            </wp:positionH>
            <wp:positionV relativeFrom="paragraph">
              <wp:posOffset>-1328420</wp:posOffset>
            </wp:positionV>
            <wp:extent cx="60325"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7094220</wp:posOffset>
            </wp:positionH>
            <wp:positionV relativeFrom="paragraph">
              <wp:posOffset>-1345565</wp:posOffset>
            </wp:positionV>
            <wp:extent cx="4318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7094220</wp:posOffset>
            </wp:positionH>
            <wp:positionV relativeFrom="paragraph">
              <wp:posOffset>-1328420</wp:posOffset>
            </wp:positionV>
            <wp:extent cx="4318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4899660</wp:posOffset>
            </wp:positionH>
            <wp:positionV relativeFrom="paragraph">
              <wp:posOffset>-25400</wp:posOffset>
            </wp:positionV>
            <wp:extent cx="51435"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4899660</wp:posOffset>
            </wp:positionH>
            <wp:positionV relativeFrom="paragraph">
              <wp:posOffset>-8255</wp:posOffset>
            </wp:positionV>
            <wp:extent cx="51435"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6185535</wp:posOffset>
            </wp:positionH>
            <wp:positionV relativeFrom="paragraph">
              <wp:posOffset>-25400</wp:posOffset>
            </wp:positionV>
            <wp:extent cx="60325"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6185535</wp:posOffset>
            </wp:positionH>
            <wp:positionV relativeFrom="paragraph">
              <wp:posOffset>-8255</wp:posOffset>
            </wp:positionV>
            <wp:extent cx="60325"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7094220</wp:posOffset>
            </wp:positionH>
            <wp:positionV relativeFrom="paragraph">
              <wp:posOffset>-25400</wp:posOffset>
            </wp:positionV>
            <wp:extent cx="4318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7094220</wp:posOffset>
            </wp:positionH>
            <wp:positionV relativeFrom="paragraph">
              <wp:posOffset>-8255</wp:posOffset>
            </wp:positionV>
            <wp:extent cx="4318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43180" cy="8890"/>
                    </a:xfrm>
                    <a:prstGeom prst="rect">
                      <a:avLst/>
                    </a:prstGeom>
                    <a:noFill/>
                  </pic:spPr>
                </pic:pic>
              </a:graphicData>
            </a:graphic>
          </wp:anchor>
        </w:drawing>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194945</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13" w:name="page14"/>
    <w:bookmarkEnd w:id="13"/>
    <w:p>
      <w:pPr>
        <w:jc w:val="center"/>
        <w:spacing w:after="0"/>
        <w:rPr>
          <w:sz w:val="20"/>
          <w:szCs w:val="20"/>
          <w:color w:val="auto"/>
        </w:rPr>
      </w:pPr>
      <w:r>
        <w:rPr>
          <w:rFonts w:ascii="Arial" w:cs="Arial" w:eastAsia="Arial" w:hAnsi="Arial"/>
          <w:sz w:val="20"/>
          <w:szCs w:val="20"/>
          <w:i w:val="1"/>
          <w:iCs w:val="1"/>
          <w:color w:val="auto"/>
        </w:rPr>
        <w:t>CERTAIN COLUMNS IN THE FOLLOWING TABLES MAY NOT FOOT DUE TO ROUNDING</w:t>
      </w: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GAAP TO NON-GAAP RECONCILIATION OF ADJUSTED EBITDA AND ADJUSTED EBITDA MARGIN</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(Unaudited)</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20" w:type="dxa"/>
            <w:vAlign w:val="bottom"/>
          </w:tcPr>
          <w:p>
            <w:pPr>
              <w:spacing w:after="0"/>
              <w:rPr>
                <w:sz w:val="15"/>
                <w:szCs w:val="15"/>
                <w:color w:val="auto"/>
              </w:rPr>
            </w:pPr>
          </w:p>
        </w:tc>
        <w:tc>
          <w:tcPr>
            <w:tcW w:w="23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700" w:type="dxa"/>
            <w:vAlign w:val="bottom"/>
            <w:gridSpan w:val="4"/>
          </w:tcPr>
          <w:p>
            <w:pPr>
              <w:jc w:val="center"/>
              <w:ind w:right="40"/>
              <w:spacing w:after="0"/>
              <w:rPr>
                <w:sz w:val="20"/>
                <w:szCs w:val="20"/>
                <w:color w:val="auto"/>
              </w:rPr>
            </w:pPr>
            <w:r>
              <w:rPr>
                <w:rFonts w:ascii="Arial" w:cs="Arial" w:eastAsia="Arial" w:hAnsi="Arial"/>
                <w:sz w:val="14"/>
                <w:szCs w:val="14"/>
                <w:color w:val="auto"/>
                <w:w w:val="91"/>
              </w:rPr>
              <w:t>For the three months ended</w:t>
            </w:r>
          </w:p>
        </w:tc>
        <w:tc>
          <w:tcPr>
            <w:tcW w:w="1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520" w:type="dxa"/>
            <w:vAlign w:val="bottom"/>
            <w:gridSpan w:val="4"/>
          </w:tcPr>
          <w:p>
            <w:pPr>
              <w:jc w:val="right"/>
              <w:ind w:right="28"/>
              <w:spacing w:after="0"/>
              <w:rPr>
                <w:sz w:val="20"/>
                <w:szCs w:val="20"/>
                <w:color w:val="auto"/>
              </w:rPr>
            </w:pPr>
            <w:r>
              <w:rPr>
                <w:rFonts w:ascii="Arial" w:cs="Arial" w:eastAsia="Arial" w:hAnsi="Arial"/>
                <w:sz w:val="14"/>
                <w:szCs w:val="14"/>
                <w:color w:val="auto"/>
                <w:w w:val="90"/>
              </w:rPr>
              <w:t>For the fiscal year ended</w:t>
            </w: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00" w:type="dxa"/>
            <w:vAlign w:val="bottom"/>
          </w:tcPr>
          <w:p>
            <w:pPr>
              <w:spacing w:after="0"/>
              <w:rPr>
                <w:sz w:val="15"/>
                <w:szCs w:val="15"/>
                <w:color w:val="auto"/>
              </w:rPr>
            </w:pPr>
          </w:p>
        </w:tc>
      </w:tr>
      <w:tr>
        <w:trPr>
          <w:trHeight w:val="148"/>
        </w:trPr>
        <w:tc>
          <w:tcPr>
            <w:tcW w:w="20" w:type="dxa"/>
            <w:vAlign w:val="bottom"/>
          </w:tcPr>
          <w:p>
            <w:pPr>
              <w:spacing w:after="0"/>
              <w:rPr>
                <w:sz w:val="12"/>
                <w:szCs w:val="12"/>
                <w:color w:val="auto"/>
              </w:rPr>
            </w:pPr>
          </w:p>
        </w:tc>
        <w:tc>
          <w:tcPr>
            <w:tcW w:w="23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gridSpan w:val="2"/>
          </w:tcPr>
          <w:p>
            <w:pPr>
              <w:jc w:val="right"/>
              <w:ind w:right="468"/>
              <w:spacing w:after="0" w:line="149" w:lineRule="exact"/>
              <w:rPr>
                <w:sz w:val="20"/>
                <w:szCs w:val="20"/>
                <w:color w:val="auto"/>
              </w:rPr>
            </w:pPr>
            <w:r>
              <w:rPr>
                <w:rFonts w:ascii="Arial" w:cs="Arial" w:eastAsia="Arial" w:hAnsi="Arial"/>
                <w:sz w:val="14"/>
                <w:szCs w:val="14"/>
                <w:color w:val="auto"/>
                <w:w w:val="92"/>
              </w:rPr>
              <w:t>January 29,</w:t>
            </w:r>
          </w:p>
        </w:tc>
        <w:tc>
          <w:tcPr>
            <w:tcW w:w="120" w:type="dxa"/>
            <w:vAlign w:val="bottom"/>
          </w:tcPr>
          <w:p>
            <w:pPr>
              <w:spacing w:after="0"/>
              <w:rPr>
                <w:sz w:val="12"/>
                <w:szCs w:val="12"/>
                <w:color w:val="auto"/>
              </w:rPr>
            </w:pPr>
          </w:p>
        </w:tc>
        <w:tc>
          <w:tcPr>
            <w:tcW w:w="1240" w:type="dxa"/>
            <w:vAlign w:val="bottom"/>
            <w:gridSpan w:val="2"/>
          </w:tcPr>
          <w:p>
            <w:pPr>
              <w:jc w:val="center"/>
              <w:ind w:right="500"/>
              <w:spacing w:after="0" w:line="149" w:lineRule="exact"/>
              <w:rPr>
                <w:sz w:val="20"/>
                <w:szCs w:val="20"/>
                <w:color w:val="auto"/>
              </w:rPr>
            </w:pPr>
            <w:r>
              <w:rPr>
                <w:rFonts w:ascii="Arial" w:cs="Arial" w:eastAsia="Arial" w:hAnsi="Arial"/>
                <w:sz w:val="14"/>
                <w:szCs w:val="14"/>
                <w:color w:val="auto"/>
                <w:w w:val="90"/>
              </w:rPr>
              <w:t>January 30,</w:t>
            </w:r>
          </w:p>
        </w:tc>
        <w:tc>
          <w:tcPr>
            <w:tcW w:w="120" w:type="dxa"/>
            <w:vAlign w:val="bottom"/>
          </w:tcPr>
          <w:p>
            <w:pPr>
              <w:spacing w:after="0"/>
              <w:rPr>
                <w:sz w:val="12"/>
                <w:szCs w:val="12"/>
                <w:color w:val="auto"/>
              </w:rPr>
            </w:pPr>
          </w:p>
        </w:tc>
        <w:tc>
          <w:tcPr>
            <w:tcW w:w="1140" w:type="dxa"/>
            <w:vAlign w:val="bottom"/>
            <w:gridSpan w:val="2"/>
          </w:tcPr>
          <w:p>
            <w:pPr>
              <w:jc w:val="right"/>
              <w:ind w:right="460"/>
              <w:spacing w:after="0" w:line="149" w:lineRule="exact"/>
              <w:rPr>
                <w:sz w:val="20"/>
                <w:szCs w:val="20"/>
                <w:color w:val="auto"/>
              </w:rPr>
            </w:pPr>
            <w:r>
              <w:rPr>
                <w:rFonts w:ascii="Arial" w:cs="Arial" w:eastAsia="Arial" w:hAnsi="Arial"/>
                <w:sz w:val="14"/>
                <w:szCs w:val="14"/>
                <w:color w:val="auto"/>
                <w:w w:val="92"/>
              </w:rPr>
              <w:t>February 1,</w:t>
            </w:r>
          </w:p>
        </w:tc>
        <w:tc>
          <w:tcPr>
            <w:tcW w:w="100" w:type="dxa"/>
            <w:vAlign w:val="bottom"/>
          </w:tcPr>
          <w:p>
            <w:pPr>
              <w:spacing w:after="0"/>
              <w:rPr>
                <w:sz w:val="12"/>
                <w:szCs w:val="12"/>
                <w:color w:val="auto"/>
              </w:rPr>
            </w:pPr>
          </w:p>
        </w:tc>
        <w:tc>
          <w:tcPr>
            <w:tcW w:w="100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w w:val="92"/>
              </w:rPr>
              <w:t>January 29,</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gridSpan w:val="2"/>
          </w:tcPr>
          <w:p>
            <w:pPr>
              <w:jc w:val="right"/>
              <w:ind w:right="468"/>
              <w:spacing w:after="0" w:line="149" w:lineRule="exact"/>
              <w:rPr>
                <w:sz w:val="20"/>
                <w:szCs w:val="20"/>
                <w:color w:val="auto"/>
              </w:rPr>
            </w:pPr>
            <w:r>
              <w:rPr>
                <w:rFonts w:ascii="Arial" w:cs="Arial" w:eastAsia="Arial" w:hAnsi="Arial"/>
                <w:sz w:val="14"/>
                <w:szCs w:val="14"/>
                <w:color w:val="auto"/>
                <w:w w:val="90"/>
              </w:rPr>
              <w:t>January 30,</w:t>
            </w:r>
          </w:p>
        </w:tc>
        <w:tc>
          <w:tcPr>
            <w:tcW w:w="120" w:type="dxa"/>
            <w:vAlign w:val="bottom"/>
          </w:tcPr>
          <w:p>
            <w:pPr>
              <w:spacing w:after="0"/>
              <w:rPr>
                <w:sz w:val="12"/>
                <w:szCs w:val="12"/>
                <w:color w:val="auto"/>
              </w:rPr>
            </w:pPr>
          </w:p>
        </w:tc>
        <w:tc>
          <w:tcPr>
            <w:tcW w:w="1100" w:type="dxa"/>
            <w:vAlign w:val="bottom"/>
            <w:gridSpan w:val="2"/>
          </w:tcPr>
          <w:p>
            <w:pPr>
              <w:jc w:val="right"/>
              <w:ind w:right="400"/>
              <w:spacing w:after="0" w:line="149" w:lineRule="exact"/>
              <w:rPr>
                <w:sz w:val="20"/>
                <w:szCs w:val="20"/>
                <w:color w:val="auto"/>
              </w:rPr>
            </w:pPr>
            <w:r>
              <w:rPr>
                <w:rFonts w:ascii="Arial" w:cs="Arial" w:eastAsia="Arial" w:hAnsi="Arial"/>
                <w:sz w:val="14"/>
                <w:szCs w:val="14"/>
                <w:color w:val="auto"/>
                <w:w w:val="94"/>
              </w:rPr>
              <w:t>February 1,</w:t>
            </w:r>
          </w:p>
        </w:tc>
      </w:tr>
      <w:tr>
        <w:trPr>
          <w:trHeight w:val="181"/>
        </w:trPr>
        <w:tc>
          <w:tcPr>
            <w:tcW w:w="20" w:type="dxa"/>
            <w:vAlign w:val="bottom"/>
          </w:tcPr>
          <w:p>
            <w:pPr>
              <w:spacing w:after="0"/>
              <w:rPr>
                <w:sz w:val="15"/>
                <w:szCs w:val="15"/>
                <w:color w:val="auto"/>
              </w:rPr>
            </w:pPr>
          </w:p>
        </w:tc>
        <w:tc>
          <w:tcPr>
            <w:tcW w:w="23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color w:val="auto"/>
              </w:rPr>
              <w:t>2022</w:t>
            </w:r>
          </w:p>
        </w:tc>
        <w:tc>
          <w:tcPr>
            <w:tcW w:w="34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center"/>
              <w:ind w:right="28"/>
              <w:spacing w:after="0"/>
              <w:rPr>
                <w:sz w:val="20"/>
                <w:szCs w:val="20"/>
                <w:color w:val="auto"/>
              </w:rPr>
            </w:pPr>
            <w:r>
              <w:rPr>
                <w:rFonts w:ascii="Arial" w:cs="Arial" w:eastAsia="Arial" w:hAnsi="Arial"/>
                <w:sz w:val="14"/>
                <w:szCs w:val="14"/>
                <w:color w:val="auto"/>
                <w:w w:val="96"/>
              </w:rPr>
              <w:t>2021</w:t>
            </w:r>
          </w:p>
        </w:tc>
        <w:tc>
          <w:tcPr>
            <w:tcW w:w="36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color w:val="auto"/>
              </w:rPr>
              <w:t>2020</w:t>
            </w:r>
          </w:p>
        </w:tc>
        <w:tc>
          <w:tcPr>
            <w:tcW w:w="28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color w:val="auto"/>
              </w:rPr>
              <w:t>2022</w:t>
            </w: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color w:val="auto"/>
              </w:rPr>
              <w:t>2021</w:t>
            </w:r>
          </w:p>
        </w:tc>
        <w:tc>
          <w:tcPr>
            <w:tcW w:w="38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color w:val="auto"/>
              </w:rPr>
              <w:t>2020</w:t>
            </w:r>
          </w:p>
        </w:tc>
        <w:tc>
          <w:tcPr>
            <w:tcW w:w="200" w:type="dxa"/>
            <w:vAlign w:val="bottom"/>
          </w:tcPr>
          <w:p>
            <w:pPr>
              <w:spacing w:after="0"/>
              <w:rPr>
                <w:sz w:val="15"/>
                <w:szCs w:val="15"/>
                <w:color w:val="auto"/>
              </w:rPr>
            </w:pPr>
          </w:p>
        </w:tc>
      </w:tr>
      <w:tr>
        <w:trPr>
          <w:trHeight w:val="142"/>
        </w:trPr>
        <w:tc>
          <w:tcPr>
            <w:tcW w:w="20" w:type="dxa"/>
            <w:vAlign w:val="bottom"/>
          </w:tcPr>
          <w:p>
            <w:pPr>
              <w:spacing w:after="0"/>
              <w:rPr>
                <w:sz w:val="12"/>
                <w:szCs w:val="12"/>
                <w:color w:val="auto"/>
              </w:rPr>
            </w:pPr>
          </w:p>
        </w:tc>
        <w:tc>
          <w:tcPr>
            <w:tcW w:w="2320" w:type="dxa"/>
            <w:vAlign w:val="bottom"/>
            <w:tcBorders>
              <w:bottom w:val="single" w:sz="8" w:color="auto"/>
            </w:tcBorders>
          </w:tcPr>
          <w:p>
            <w:pPr>
              <w:spacing w:after="0" w:line="142" w:lineRule="exact"/>
              <w:rPr>
                <w:sz w:val="20"/>
                <w:szCs w:val="20"/>
                <w:color w:val="auto"/>
              </w:rPr>
            </w:pPr>
            <w:r>
              <w:rPr>
                <w:rFonts w:ascii="Arial" w:cs="Arial" w:eastAsia="Arial" w:hAnsi="Arial"/>
                <w:sz w:val="14"/>
                <w:szCs w:val="14"/>
                <w:i w:val="1"/>
                <w:iCs w:val="1"/>
                <w:color w:val="auto"/>
                <w:w w:val="92"/>
              </w:rPr>
              <w:t>(in millions, except margin percentages)</w:t>
            </w:r>
          </w:p>
        </w:tc>
        <w:tc>
          <w:tcPr>
            <w:tcW w:w="10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0" w:type="dxa"/>
            <w:vAlign w:val="bottom"/>
          </w:tcPr>
          <w:p>
            <w:pPr>
              <w:spacing w:after="0"/>
              <w:rPr>
                <w:sz w:val="12"/>
                <w:szCs w:val="12"/>
                <w:color w:val="auto"/>
              </w:rPr>
            </w:pPr>
          </w:p>
        </w:tc>
      </w:tr>
      <w:tr>
        <w:trPr>
          <w:trHeight w:val="358"/>
        </w:trPr>
        <w:tc>
          <w:tcPr>
            <w:tcW w:w="3420" w:type="dxa"/>
            <w:vAlign w:val="bottom"/>
            <w:gridSpan w:val="3"/>
          </w:tcPr>
          <w:p>
            <w:pPr>
              <w:ind w:left="20"/>
              <w:spacing w:after="0"/>
              <w:rPr>
                <w:sz w:val="20"/>
                <w:szCs w:val="20"/>
                <w:color w:val="auto"/>
              </w:rPr>
            </w:pPr>
            <w:r>
              <w:rPr>
                <w:rFonts w:ascii="Arial" w:cs="Arial" w:eastAsia="Arial" w:hAnsi="Arial"/>
                <w:sz w:val="14"/>
                <w:szCs w:val="14"/>
                <w:color w:val="auto"/>
              </w:rPr>
              <w:t>Net income (loss), on a GAAP basis</w:t>
            </w: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9.9</w:t>
            </w:r>
          </w:p>
        </w:tc>
        <w:tc>
          <w:tcPr>
            <w:tcW w:w="34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240" w:type="dxa"/>
            <w:vAlign w:val="bottom"/>
            <w:gridSpan w:val="2"/>
          </w:tcPr>
          <w:p>
            <w:pPr>
              <w:jc w:val="right"/>
              <w:ind w:right="300"/>
              <w:spacing w:after="0"/>
              <w:rPr>
                <w:sz w:val="20"/>
                <w:szCs w:val="20"/>
                <w:color w:val="auto"/>
              </w:rPr>
            </w:pPr>
            <w:r>
              <w:rPr>
                <w:rFonts w:ascii="Arial" w:cs="Arial" w:eastAsia="Arial" w:hAnsi="Arial"/>
                <w:sz w:val="14"/>
                <w:szCs w:val="14"/>
                <w:color w:val="auto"/>
              </w:rPr>
              <w:t>(5.1 )</w:t>
            </w: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2.4</w:t>
            </w:r>
          </w:p>
        </w:tc>
        <w:tc>
          <w:tcPr>
            <w:tcW w:w="28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56.7</w:t>
            </w:r>
          </w:p>
        </w:tc>
        <w:tc>
          <w:tcPr>
            <w:tcW w:w="140" w:type="dxa"/>
            <w:vAlign w:val="bottom"/>
          </w:tcPr>
          <w:p>
            <w:pPr>
              <w:spacing w:after="0"/>
              <w:rPr>
                <w:sz w:val="24"/>
                <w:szCs w:val="24"/>
                <w:color w:val="auto"/>
              </w:rPr>
            </w:pPr>
          </w:p>
        </w:tc>
        <w:tc>
          <w:tcPr>
            <w:tcW w:w="30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220" w:type="dxa"/>
            <w:vAlign w:val="bottom"/>
            <w:gridSpan w:val="2"/>
          </w:tcPr>
          <w:p>
            <w:pPr>
              <w:jc w:val="right"/>
              <w:ind w:right="248"/>
              <w:spacing w:after="0"/>
              <w:rPr>
                <w:sz w:val="20"/>
                <w:szCs w:val="20"/>
                <w:color w:val="auto"/>
              </w:rPr>
            </w:pPr>
            <w:r>
              <w:rPr>
                <w:rFonts w:ascii="Arial" w:cs="Arial" w:eastAsia="Arial" w:hAnsi="Arial"/>
                <w:sz w:val="14"/>
                <w:szCs w:val="14"/>
                <w:color w:val="auto"/>
              </w:rPr>
              <w:t>(64.5 )</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100" w:type="dxa"/>
            <w:vAlign w:val="bottom"/>
            <w:gridSpan w:val="2"/>
          </w:tcPr>
          <w:p>
            <w:pPr>
              <w:jc w:val="right"/>
              <w:ind w:right="140"/>
              <w:spacing w:after="0"/>
              <w:rPr>
                <w:sz w:val="20"/>
                <w:szCs w:val="20"/>
                <w:color w:val="auto"/>
              </w:rPr>
            </w:pPr>
            <w:r>
              <w:rPr>
                <w:rFonts w:ascii="Arial" w:cs="Arial" w:eastAsia="Arial" w:hAnsi="Arial"/>
                <w:sz w:val="14"/>
                <w:szCs w:val="14"/>
                <w:color w:val="auto"/>
              </w:rPr>
              <w:t>(7.8 )</w:t>
            </w:r>
          </w:p>
        </w:tc>
      </w:tr>
      <w:tr>
        <w:trPr>
          <w:trHeight w:val="175"/>
        </w:trPr>
        <w:tc>
          <w:tcPr>
            <w:tcW w:w="3420" w:type="dxa"/>
            <w:vAlign w:val="bottom"/>
            <w:gridSpan w:val="3"/>
            <w:shd w:val="clear" w:color="auto" w:fill="CFF0FC"/>
          </w:tcPr>
          <w:p>
            <w:pPr>
              <w:ind w:left="20"/>
              <w:spacing w:after="0"/>
              <w:rPr>
                <w:sz w:val="20"/>
                <w:szCs w:val="20"/>
                <w:color w:val="auto"/>
              </w:rPr>
            </w:pPr>
            <w:r>
              <w:rPr>
                <w:rFonts w:ascii="Arial" w:cs="Arial" w:eastAsia="Arial" w:hAnsi="Arial"/>
                <w:sz w:val="14"/>
                <w:szCs w:val="14"/>
                <w:color w:val="auto"/>
              </w:rPr>
              <w:t>Add back:</w:t>
            </w:r>
          </w:p>
        </w:tc>
        <w:tc>
          <w:tcPr>
            <w:tcW w:w="120" w:type="dxa"/>
            <w:vAlign w:val="bottom"/>
            <w:shd w:val="clear" w:color="auto" w:fill="CFF0FC"/>
          </w:tcPr>
          <w:p>
            <w:pPr>
              <w:spacing w:after="0"/>
              <w:rPr>
                <w:sz w:val="15"/>
                <w:szCs w:val="15"/>
                <w:color w:val="auto"/>
              </w:rPr>
            </w:pPr>
          </w:p>
        </w:tc>
        <w:tc>
          <w:tcPr>
            <w:tcW w:w="900" w:type="dxa"/>
            <w:vAlign w:val="bottom"/>
            <w:shd w:val="clear" w:color="auto" w:fill="CFF0FC"/>
          </w:tcPr>
          <w:p>
            <w:pPr>
              <w:spacing w:after="0"/>
              <w:rPr>
                <w:sz w:val="15"/>
                <w:szCs w:val="15"/>
                <w:color w:val="auto"/>
              </w:rPr>
            </w:pPr>
          </w:p>
        </w:tc>
        <w:tc>
          <w:tcPr>
            <w:tcW w:w="3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880" w:type="dxa"/>
            <w:vAlign w:val="bottom"/>
            <w:shd w:val="clear" w:color="auto" w:fill="CFF0FC"/>
          </w:tcPr>
          <w:p>
            <w:pPr>
              <w:spacing w:after="0"/>
              <w:rPr>
                <w:sz w:val="15"/>
                <w:szCs w:val="15"/>
                <w:color w:val="auto"/>
              </w:rPr>
            </w:pPr>
          </w:p>
        </w:tc>
        <w:tc>
          <w:tcPr>
            <w:tcW w:w="3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86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86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840" w:type="dxa"/>
            <w:vAlign w:val="bottom"/>
            <w:shd w:val="clear" w:color="auto" w:fill="CFF0FC"/>
          </w:tcPr>
          <w:p>
            <w:pPr>
              <w:spacing w:after="0"/>
              <w:rPr>
                <w:sz w:val="15"/>
                <w:szCs w:val="15"/>
                <w:color w:val="auto"/>
              </w:rPr>
            </w:pPr>
          </w:p>
        </w:tc>
        <w:tc>
          <w:tcPr>
            <w:tcW w:w="3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90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r>
      <w:tr>
        <w:trPr>
          <w:trHeight w:val="176"/>
        </w:trPr>
        <w:tc>
          <w:tcPr>
            <w:tcW w:w="3420" w:type="dxa"/>
            <w:vAlign w:val="bottom"/>
            <w:gridSpan w:val="3"/>
          </w:tcPr>
          <w:p>
            <w:pPr>
              <w:ind w:left="20"/>
              <w:spacing w:after="0"/>
              <w:rPr>
                <w:sz w:val="20"/>
                <w:szCs w:val="20"/>
                <w:color w:val="auto"/>
              </w:rPr>
            </w:pPr>
            <w:r>
              <w:rPr>
                <w:rFonts w:ascii="Arial" w:cs="Arial" w:eastAsia="Arial" w:hAnsi="Arial"/>
                <w:sz w:val="14"/>
                <w:szCs w:val="14"/>
                <w:color w:val="auto"/>
              </w:rPr>
              <w:t>Provision for income taxes</w:t>
            </w:r>
          </w:p>
        </w:tc>
        <w:tc>
          <w:tcPr>
            <w:tcW w:w="12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0.4</w:t>
            </w:r>
          </w:p>
        </w:tc>
        <w:tc>
          <w:tcPr>
            <w:tcW w:w="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0.0</w:t>
            </w:r>
          </w:p>
        </w:tc>
        <w:tc>
          <w:tcPr>
            <w:tcW w:w="3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0.2</w:t>
            </w: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0.9</w:t>
            </w: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0.1</w:t>
            </w:r>
          </w:p>
        </w:tc>
        <w:tc>
          <w:tcPr>
            <w:tcW w:w="3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0.1</w:t>
            </w:r>
          </w:p>
        </w:tc>
        <w:tc>
          <w:tcPr>
            <w:tcW w:w="200" w:type="dxa"/>
            <w:vAlign w:val="bottom"/>
          </w:tcPr>
          <w:p>
            <w:pPr>
              <w:spacing w:after="0"/>
              <w:rPr>
                <w:sz w:val="15"/>
                <w:szCs w:val="15"/>
                <w:color w:val="auto"/>
              </w:rPr>
            </w:pPr>
          </w:p>
        </w:tc>
      </w:tr>
      <w:tr>
        <w:trPr>
          <w:trHeight w:val="176"/>
        </w:trPr>
        <w:tc>
          <w:tcPr>
            <w:tcW w:w="3420" w:type="dxa"/>
            <w:vAlign w:val="bottom"/>
            <w:gridSpan w:val="3"/>
            <w:shd w:val="clear" w:color="auto" w:fill="CFF0FC"/>
          </w:tcPr>
          <w:p>
            <w:pPr>
              <w:ind w:left="20"/>
              <w:spacing w:after="0"/>
              <w:rPr>
                <w:sz w:val="20"/>
                <w:szCs w:val="20"/>
                <w:color w:val="auto"/>
              </w:rPr>
            </w:pPr>
            <w:r>
              <w:rPr>
                <w:rFonts w:ascii="Arial" w:cs="Arial" w:eastAsia="Arial" w:hAnsi="Arial"/>
                <w:sz w:val="14"/>
                <w:szCs w:val="14"/>
                <w:color w:val="auto"/>
              </w:rPr>
              <w:t>Interest expense</w:t>
            </w:r>
          </w:p>
        </w:tc>
        <w:tc>
          <w:tcPr>
            <w:tcW w:w="120" w:type="dxa"/>
            <w:vAlign w:val="bottom"/>
            <w:shd w:val="clear" w:color="auto" w:fill="CFF0FC"/>
          </w:tcPr>
          <w:p>
            <w:pPr>
              <w:spacing w:after="0"/>
              <w:rPr>
                <w:sz w:val="15"/>
                <w:szCs w:val="15"/>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0.1</w:t>
            </w:r>
          </w:p>
        </w:tc>
        <w:tc>
          <w:tcPr>
            <w:tcW w:w="3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1.0</w:t>
            </w:r>
          </w:p>
        </w:tc>
        <w:tc>
          <w:tcPr>
            <w:tcW w:w="3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0.7</w:t>
            </w:r>
          </w:p>
        </w:tc>
        <w:tc>
          <w:tcPr>
            <w:tcW w:w="2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4.4</w:t>
            </w:r>
          </w:p>
        </w:tc>
        <w:tc>
          <w:tcPr>
            <w:tcW w:w="14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3.9</w:t>
            </w:r>
          </w:p>
        </w:tc>
        <w:tc>
          <w:tcPr>
            <w:tcW w:w="3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3.3</w:t>
            </w:r>
          </w:p>
        </w:tc>
        <w:tc>
          <w:tcPr>
            <w:tcW w:w="200" w:type="dxa"/>
            <w:vAlign w:val="bottom"/>
            <w:shd w:val="clear" w:color="auto" w:fill="CFF0FC"/>
          </w:tcPr>
          <w:p>
            <w:pPr>
              <w:spacing w:after="0"/>
              <w:rPr>
                <w:sz w:val="15"/>
                <w:szCs w:val="15"/>
                <w:color w:val="auto"/>
              </w:rPr>
            </w:pPr>
          </w:p>
        </w:tc>
      </w:tr>
      <w:tr>
        <w:trPr>
          <w:trHeight w:val="175"/>
        </w:trPr>
        <w:tc>
          <w:tcPr>
            <w:tcW w:w="3420" w:type="dxa"/>
            <w:vAlign w:val="bottom"/>
            <w:gridSpan w:val="3"/>
          </w:tcPr>
          <w:p>
            <w:pPr>
              <w:ind w:left="20"/>
              <w:spacing w:after="0"/>
              <w:rPr>
                <w:sz w:val="20"/>
                <w:szCs w:val="20"/>
                <w:color w:val="auto"/>
              </w:rPr>
            </w:pPr>
            <w:r>
              <w:rPr>
                <w:rFonts w:ascii="Arial" w:cs="Arial" w:eastAsia="Arial" w:hAnsi="Arial"/>
                <w:sz w:val="14"/>
                <w:szCs w:val="14"/>
                <w:color w:val="auto"/>
              </w:rPr>
              <w:t>Depreciation and amortization</w:t>
            </w:r>
          </w:p>
        </w:tc>
        <w:tc>
          <w:tcPr>
            <w:tcW w:w="12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4.2</w:t>
            </w:r>
          </w:p>
        </w:tc>
        <w:tc>
          <w:tcPr>
            <w:tcW w:w="34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5.1</w:t>
            </w:r>
          </w:p>
        </w:tc>
        <w:tc>
          <w:tcPr>
            <w:tcW w:w="36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5.7</w:t>
            </w:r>
          </w:p>
        </w:tc>
        <w:tc>
          <w:tcPr>
            <w:tcW w:w="28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17.2</w:t>
            </w: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21.5</w:t>
            </w:r>
          </w:p>
        </w:tc>
        <w:tc>
          <w:tcPr>
            <w:tcW w:w="38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24.6</w:t>
            </w:r>
          </w:p>
        </w:tc>
        <w:tc>
          <w:tcPr>
            <w:tcW w:w="200" w:type="dxa"/>
            <w:vAlign w:val="bottom"/>
          </w:tcPr>
          <w:p>
            <w:pPr>
              <w:spacing w:after="0"/>
              <w:rPr>
                <w:sz w:val="15"/>
                <w:szCs w:val="15"/>
                <w:color w:val="auto"/>
              </w:rPr>
            </w:pPr>
          </w:p>
        </w:tc>
      </w:tr>
      <w:tr>
        <w:trPr>
          <w:trHeight w:val="169"/>
        </w:trPr>
        <w:tc>
          <w:tcPr>
            <w:tcW w:w="3420" w:type="dxa"/>
            <w:vAlign w:val="bottom"/>
            <w:gridSpan w:val="3"/>
            <w:shd w:val="clear" w:color="auto" w:fill="CFF0FC"/>
          </w:tcPr>
          <w:p>
            <w:pPr>
              <w:ind w:left="20"/>
              <w:spacing w:after="0"/>
              <w:rPr>
                <w:sz w:val="20"/>
                <w:szCs w:val="20"/>
                <w:color w:val="auto"/>
              </w:rPr>
            </w:pPr>
            <w:r>
              <w:rPr>
                <w:rFonts w:ascii="Arial" w:cs="Arial" w:eastAsia="Arial" w:hAnsi="Arial"/>
                <w:sz w:val="14"/>
                <w:szCs w:val="14"/>
                <w:color w:val="auto"/>
              </w:rPr>
              <w:t>EBITDA (non-GAAP)</w:t>
            </w:r>
          </w:p>
        </w:tc>
        <w:tc>
          <w:tcPr>
            <w:tcW w:w="120" w:type="dxa"/>
            <w:vAlign w:val="bottom"/>
            <w:shd w:val="clear" w:color="auto" w:fill="CFF0FC"/>
          </w:tcPr>
          <w:p>
            <w:pPr>
              <w:spacing w:after="0"/>
              <w:rPr>
                <w:sz w:val="14"/>
                <w:szCs w:val="14"/>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14.6</w:t>
            </w:r>
          </w:p>
        </w:tc>
        <w:tc>
          <w:tcPr>
            <w:tcW w:w="3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1.1</w:t>
            </w:r>
          </w:p>
        </w:tc>
        <w:tc>
          <w:tcPr>
            <w:tcW w:w="3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9.0</w:t>
            </w:r>
          </w:p>
        </w:tc>
        <w:tc>
          <w:tcPr>
            <w:tcW w:w="2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79.2</w:t>
            </w:r>
          </w:p>
        </w:tc>
        <w:tc>
          <w:tcPr>
            <w:tcW w:w="14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(39.0</w:t>
            </w:r>
          </w:p>
        </w:tc>
        <w:tc>
          <w:tcPr>
            <w:tcW w:w="380" w:type="dxa"/>
            <w:vAlign w:val="bottom"/>
            <w:shd w:val="clear" w:color="auto" w:fill="CFF0FC"/>
          </w:tcPr>
          <w:p>
            <w:pPr>
              <w:jc w:val="right"/>
              <w:ind w:right="248"/>
              <w:spacing w:after="0"/>
              <w:rPr>
                <w:sz w:val="20"/>
                <w:szCs w:val="20"/>
                <w:color w:val="auto"/>
              </w:rPr>
            </w:pPr>
            <w:r>
              <w:rPr>
                <w:rFonts w:ascii="Arial" w:cs="Arial" w:eastAsia="Arial" w:hAnsi="Arial"/>
                <w:sz w:val="14"/>
                <w:szCs w:val="14"/>
                <w:color w:val="auto"/>
                <w:w w:val="84"/>
              </w:rPr>
              <w:t>)</w:t>
            </w:r>
          </w:p>
        </w:tc>
        <w:tc>
          <w:tcPr>
            <w:tcW w:w="120" w:type="dxa"/>
            <w:vAlign w:val="bottom"/>
            <w:shd w:val="clear" w:color="auto" w:fill="CFF0FC"/>
          </w:tcPr>
          <w:p>
            <w:pPr>
              <w:spacing w:after="0"/>
              <w:rPr>
                <w:sz w:val="14"/>
                <w:szCs w:val="14"/>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20.2</w:t>
            </w:r>
          </w:p>
        </w:tc>
        <w:tc>
          <w:tcPr>
            <w:tcW w:w="200" w:type="dxa"/>
            <w:vAlign w:val="bottom"/>
            <w:shd w:val="clear" w:color="auto" w:fill="CFF0FC"/>
          </w:tcPr>
          <w:p>
            <w:pPr>
              <w:spacing w:after="0"/>
              <w:rPr>
                <w:sz w:val="14"/>
                <w:szCs w:val="14"/>
                <w:color w:val="auto"/>
              </w:rPr>
            </w:pPr>
          </w:p>
        </w:tc>
      </w:tr>
      <w:tr>
        <w:trPr>
          <w:trHeight w:val="176"/>
        </w:trPr>
        <w:tc>
          <w:tcPr>
            <w:tcW w:w="3420" w:type="dxa"/>
            <w:vAlign w:val="bottom"/>
            <w:gridSpan w:val="3"/>
          </w:tcPr>
          <w:p>
            <w:pPr>
              <w:ind w:left="20"/>
              <w:spacing w:after="0"/>
              <w:rPr>
                <w:sz w:val="20"/>
                <w:szCs w:val="20"/>
                <w:color w:val="auto"/>
              </w:rPr>
            </w:pPr>
            <w:r>
              <w:rPr>
                <w:rFonts w:ascii="Arial" w:cs="Arial" w:eastAsia="Arial" w:hAnsi="Arial"/>
                <w:sz w:val="14"/>
                <w:szCs w:val="14"/>
                <w:color w:val="auto"/>
              </w:rPr>
              <w:t>Add back:</w:t>
            </w: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00" w:type="dxa"/>
            <w:vAlign w:val="bottom"/>
          </w:tcPr>
          <w:p>
            <w:pPr>
              <w:spacing w:after="0"/>
              <w:rPr>
                <w:sz w:val="15"/>
                <w:szCs w:val="15"/>
                <w:color w:val="auto"/>
              </w:rPr>
            </w:pPr>
          </w:p>
        </w:tc>
      </w:tr>
      <w:tr>
        <w:trPr>
          <w:trHeight w:val="175"/>
        </w:trPr>
        <w:tc>
          <w:tcPr>
            <w:tcW w:w="20" w:type="dxa"/>
            <w:vAlign w:val="bottom"/>
            <w:shd w:val="clear" w:color="auto" w:fill="CFF0FC"/>
          </w:tcPr>
          <w:p>
            <w:pPr>
              <w:spacing w:after="0"/>
              <w:rPr>
                <w:sz w:val="15"/>
                <w:szCs w:val="15"/>
                <w:color w:val="auto"/>
              </w:rPr>
            </w:pPr>
          </w:p>
        </w:tc>
        <w:tc>
          <w:tcPr>
            <w:tcW w:w="3400" w:type="dxa"/>
            <w:vAlign w:val="bottom"/>
            <w:gridSpan w:val="2"/>
            <w:shd w:val="clear" w:color="auto" w:fill="CFF0FC"/>
          </w:tcPr>
          <w:p>
            <w:pPr>
              <w:ind w:left="100"/>
              <w:spacing w:after="0"/>
              <w:rPr>
                <w:sz w:val="20"/>
                <w:szCs w:val="20"/>
                <w:color w:val="auto"/>
              </w:rPr>
            </w:pPr>
            <w:r>
              <w:rPr>
                <w:rFonts w:ascii="Arial" w:cs="Arial" w:eastAsia="Arial" w:hAnsi="Arial"/>
                <w:sz w:val="14"/>
                <w:szCs w:val="14"/>
                <w:color w:val="auto"/>
              </w:rPr>
              <w:t>Exit Costs associated with London operations</w:t>
            </w:r>
          </w:p>
        </w:tc>
        <w:tc>
          <w:tcPr>
            <w:tcW w:w="120" w:type="dxa"/>
            <w:vAlign w:val="bottom"/>
            <w:shd w:val="clear" w:color="auto" w:fill="CFF0FC"/>
          </w:tcPr>
          <w:p>
            <w:pPr>
              <w:spacing w:after="0"/>
              <w:rPr>
                <w:sz w:val="15"/>
                <w:szCs w:val="15"/>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3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3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3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1.7</w:t>
            </w:r>
          </w:p>
        </w:tc>
        <w:tc>
          <w:tcPr>
            <w:tcW w:w="200" w:type="dxa"/>
            <w:vAlign w:val="bottom"/>
            <w:shd w:val="clear" w:color="auto" w:fill="CFF0FC"/>
          </w:tcPr>
          <w:p>
            <w:pPr>
              <w:spacing w:after="0"/>
              <w:rPr>
                <w:sz w:val="15"/>
                <w:szCs w:val="15"/>
                <w:color w:val="auto"/>
              </w:rPr>
            </w:pPr>
          </w:p>
        </w:tc>
      </w:tr>
      <w:tr>
        <w:trPr>
          <w:trHeight w:val="176"/>
        </w:trPr>
        <w:tc>
          <w:tcPr>
            <w:tcW w:w="20" w:type="dxa"/>
            <w:vAlign w:val="bottom"/>
          </w:tcPr>
          <w:p>
            <w:pPr>
              <w:spacing w:after="0"/>
              <w:rPr>
                <w:sz w:val="15"/>
                <w:szCs w:val="15"/>
                <w:color w:val="auto"/>
              </w:rPr>
            </w:pPr>
          </w:p>
        </w:tc>
        <w:tc>
          <w:tcPr>
            <w:tcW w:w="3400" w:type="dxa"/>
            <w:vAlign w:val="bottom"/>
            <w:gridSpan w:val="2"/>
          </w:tcPr>
          <w:p>
            <w:pPr>
              <w:ind w:left="100"/>
              <w:spacing w:after="0"/>
              <w:rPr>
                <w:sz w:val="20"/>
                <w:szCs w:val="20"/>
                <w:color w:val="auto"/>
              </w:rPr>
            </w:pPr>
            <w:r>
              <w:rPr>
                <w:rFonts w:ascii="Arial" w:cs="Arial" w:eastAsia="Arial" w:hAnsi="Arial"/>
                <w:sz w:val="14"/>
                <w:szCs w:val="14"/>
                <w:color w:val="auto"/>
              </w:rPr>
              <w:t>CEO transition costs</w:t>
            </w:r>
          </w:p>
        </w:tc>
        <w:tc>
          <w:tcPr>
            <w:tcW w:w="12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0.0</w:t>
            </w: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0.7</w:t>
            </w:r>
          </w:p>
        </w:tc>
        <w:tc>
          <w:tcPr>
            <w:tcW w:w="200" w:type="dxa"/>
            <w:vAlign w:val="bottom"/>
          </w:tcPr>
          <w:p>
            <w:pPr>
              <w:spacing w:after="0"/>
              <w:rPr>
                <w:sz w:val="15"/>
                <w:szCs w:val="15"/>
                <w:color w:val="auto"/>
              </w:rPr>
            </w:pPr>
          </w:p>
        </w:tc>
      </w:tr>
      <w:tr>
        <w:trPr>
          <w:trHeight w:val="175"/>
        </w:trPr>
        <w:tc>
          <w:tcPr>
            <w:tcW w:w="20" w:type="dxa"/>
            <w:vAlign w:val="bottom"/>
            <w:shd w:val="clear" w:color="auto" w:fill="CFF0FC"/>
          </w:tcPr>
          <w:p>
            <w:pPr>
              <w:spacing w:after="0"/>
              <w:rPr>
                <w:sz w:val="15"/>
                <w:szCs w:val="15"/>
                <w:color w:val="auto"/>
              </w:rPr>
            </w:pPr>
          </w:p>
        </w:tc>
        <w:tc>
          <w:tcPr>
            <w:tcW w:w="3400" w:type="dxa"/>
            <w:vAlign w:val="bottom"/>
            <w:gridSpan w:val="2"/>
            <w:shd w:val="clear" w:color="auto" w:fill="CFF0FC"/>
          </w:tcPr>
          <w:p>
            <w:pPr>
              <w:ind w:left="120"/>
              <w:spacing w:after="0"/>
              <w:rPr>
                <w:sz w:val="20"/>
                <w:szCs w:val="20"/>
                <w:color w:val="auto"/>
              </w:rPr>
            </w:pPr>
            <w:r>
              <w:rPr>
                <w:rFonts w:ascii="Arial" w:cs="Arial" w:eastAsia="Arial" w:hAnsi="Arial"/>
                <w:sz w:val="14"/>
                <w:szCs w:val="14"/>
                <w:color w:val="auto"/>
              </w:rPr>
              <w:t>Impairment charges</w:t>
            </w:r>
          </w:p>
        </w:tc>
        <w:tc>
          <w:tcPr>
            <w:tcW w:w="120" w:type="dxa"/>
            <w:vAlign w:val="bottom"/>
            <w:shd w:val="clear" w:color="auto" w:fill="CFF0FC"/>
          </w:tcPr>
          <w:p>
            <w:pPr>
              <w:spacing w:after="0"/>
              <w:rPr>
                <w:sz w:val="15"/>
                <w:szCs w:val="15"/>
                <w:color w:val="auto"/>
              </w:rPr>
            </w:pPr>
          </w:p>
        </w:tc>
        <w:tc>
          <w:tcPr>
            <w:tcW w:w="1240" w:type="dxa"/>
            <w:vAlign w:val="bottom"/>
            <w:gridSpan w:val="2"/>
            <w:shd w:val="clear" w:color="auto" w:fill="CFF0FC"/>
          </w:tcPr>
          <w:p>
            <w:pPr>
              <w:jc w:val="right"/>
              <w:ind w:right="208"/>
              <w:spacing w:after="0"/>
              <w:rPr>
                <w:sz w:val="20"/>
                <w:szCs w:val="20"/>
                <w:color w:val="auto"/>
              </w:rPr>
            </w:pPr>
            <w:r>
              <w:rPr>
                <w:rFonts w:ascii="Arial" w:cs="Arial" w:eastAsia="Arial" w:hAnsi="Arial"/>
                <w:sz w:val="14"/>
                <w:szCs w:val="14"/>
                <w:color w:val="auto"/>
              </w:rPr>
              <w:t>(0.2 )</w:t>
            </w:r>
          </w:p>
        </w:tc>
        <w:tc>
          <w:tcPr>
            <w:tcW w:w="120" w:type="dxa"/>
            <w:vAlign w:val="bottom"/>
            <w:shd w:val="clear" w:color="auto" w:fill="CFF0FC"/>
          </w:tcPr>
          <w:p>
            <w:pPr>
              <w:spacing w:after="0"/>
              <w:rPr>
                <w:sz w:val="15"/>
                <w:szCs w:val="15"/>
                <w:color w:val="auto"/>
              </w:rPr>
            </w:pPr>
          </w:p>
        </w:tc>
        <w:tc>
          <w:tcPr>
            <w:tcW w:w="1240" w:type="dxa"/>
            <w:vAlign w:val="bottom"/>
            <w:gridSpan w:val="2"/>
            <w:shd w:val="clear" w:color="auto" w:fill="CFF0FC"/>
          </w:tcPr>
          <w:p>
            <w:pPr>
              <w:jc w:val="right"/>
              <w:ind w:right="300"/>
              <w:spacing w:after="0"/>
              <w:rPr>
                <w:sz w:val="20"/>
                <w:szCs w:val="20"/>
                <w:color w:val="auto"/>
              </w:rPr>
            </w:pPr>
            <w:r>
              <w:rPr>
                <w:rFonts w:ascii="Arial" w:cs="Arial" w:eastAsia="Arial" w:hAnsi="Arial"/>
                <w:sz w:val="14"/>
                <w:szCs w:val="14"/>
                <w:color w:val="auto"/>
              </w:rPr>
              <w:t>(0.4 )</w:t>
            </w:r>
          </w:p>
        </w:tc>
        <w:tc>
          <w:tcPr>
            <w:tcW w:w="120" w:type="dxa"/>
            <w:vAlign w:val="bottom"/>
            <w:shd w:val="clear" w:color="auto" w:fill="CFF0FC"/>
          </w:tcPr>
          <w:p>
            <w:pPr>
              <w:spacing w:after="0"/>
              <w:rPr>
                <w:sz w:val="15"/>
                <w:szCs w:val="15"/>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0.9</w:t>
            </w:r>
          </w:p>
        </w:tc>
        <w:tc>
          <w:tcPr>
            <w:tcW w:w="2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00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(2.3 )</w:t>
            </w:r>
          </w:p>
        </w:tc>
        <w:tc>
          <w:tcPr>
            <w:tcW w:w="1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14.8</w:t>
            </w:r>
          </w:p>
        </w:tc>
        <w:tc>
          <w:tcPr>
            <w:tcW w:w="3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0.9</w:t>
            </w:r>
          </w:p>
        </w:tc>
        <w:tc>
          <w:tcPr>
            <w:tcW w:w="200" w:type="dxa"/>
            <w:vAlign w:val="bottom"/>
            <w:shd w:val="clear" w:color="auto" w:fill="CFF0FC"/>
          </w:tcPr>
          <w:p>
            <w:pPr>
              <w:spacing w:after="0"/>
              <w:rPr>
                <w:sz w:val="15"/>
                <w:szCs w:val="15"/>
                <w:color w:val="auto"/>
              </w:rPr>
            </w:pPr>
          </w:p>
        </w:tc>
      </w:tr>
      <w:tr>
        <w:trPr>
          <w:trHeight w:val="20"/>
        </w:trPr>
        <w:tc>
          <w:tcPr>
            <w:tcW w:w="20" w:type="dxa"/>
            <w:vAlign w:val="bottom"/>
            <w:shd w:val="clear" w:color="auto" w:fill="CFF0FC"/>
          </w:tcPr>
          <w:p>
            <w:pPr>
              <w:spacing w:after="0" w:line="20" w:lineRule="exact"/>
              <w:rPr>
                <w:sz w:val="1"/>
                <w:szCs w:val="1"/>
                <w:color w:val="auto"/>
              </w:rPr>
            </w:pPr>
          </w:p>
        </w:tc>
        <w:tc>
          <w:tcPr>
            <w:tcW w:w="2320" w:type="dxa"/>
            <w:vAlign w:val="bottom"/>
            <w:shd w:val="clear" w:color="auto" w:fill="CFF0FC"/>
          </w:tcPr>
          <w:p>
            <w:pPr>
              <w:spacing w:after="0" w:line="20" w:lineRule="exact"/>
              <w:rPr>
                <w:sz w:val="1"/>
                <w:szCs w:val="1"/>
                <w:color w:val="auto"/>
              </w:rPr>
            </w:pPr>
          </w:p>
        </w:tc>
        <w:tc>
          <w:tcPr>
            <w:tcW w:w="108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34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6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38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r>
      <w:tr>
        <w:trPr>
          <w:trHeight w:val="169"/>
        </w:trPr>
        <w:tc>
          <w:tcPr>
            <w:tcW w:w="3420" w:type="dxa"/>
            <w:vAlign w:val="bottom"/>
            <w:gridSpan w:val="3"/>
          </w:tcPr>
          <w:p>
            <w:pPr>
              <w:ind w:left="20"/>
              <w:spacing w:after="0"/>
              <w:rPr>
                <w:sz w:val="20"/>
                <w:szCs w:val="20"/>
                <w:color w:val="auto"/>
              </w:rPr>
            </w:pPr>
            <w:r>
              <w:rPr>
                <w:rFonts w:ascii="Arial" w:cs="Arial" w:eastAsia="Arial" w:hAnsi="Arial"/>
                <w:sz w:val="14"/>
                <w:szCs w:val="14"/>
                <w:color w:val="auto"/>
              </w:rPr>
              <w:t>Adjusted EBITDA (non-GAAP)</w:t>
            </w: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14.3</w:t>
            </w:r>
          </w:p>
        </w:tc>
        <w:tc>
          <w:tcPr>
            <w:tcW w:w="34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0.7</w:t>
            </w:r>
          </w:p>
        </w:tc>
        <w:tc>
          <w:tcPr>
            <w:tcW w:w="36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9.9</w:t>
            </w:r>
          </w:p>
        </w:tc>
        <w:tc>
          <w:tcPr>
            <w:tcW w:w="28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76.9</w:t>
            </w: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220" w:type="dxa"/>
            <w:vAlign w:val="bottom"/>
            <w:gridSpan w:val="2"/>
          </w:tcPr>
          <w:p>
            <w:pPr>
              <w:jc w:val="right"/>
              <w:ind w:right="248"/>
              <w:spacing w:after="0"/>
              <w:rPr>
                <w:sz w:val="20"/>
                <w:szCs w:val="20"/>
                <w:color w:val="auto"/>
              </w:rPr>
            </w:pPr>
            <w:r>
              <w:rPr>
                <w:rFonts w:ascii="Arial" w:cs="Arial" w:eastAsia="Arial" w:hAnsi="Arial"/>
                <w:sz w:val="14"/>
                <w:szCs w:val="14"/>
                <w:color w:val="auto"/>
              </w:rPr>
              <w:t>(24.2 )</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23.5</w:t>
            </w:r>
          </w:p>
        </w:tc>
        <w:tc>
          <w:tcPr>
            <w:tcW w:w="200" w:type="dxa"/>
            <w:vAlign w:val="bottom"/>
          </w:tcPr>
          <w:p>
            <w:pPr>
              <w:spacing w:after="0"/>
              <w:rPr>
                <w:sz w:val="14"/>
                <w:szCs w:val="14"/>
                <w:color w:val="auto"/>
              </w:rPr>
            </w:pPr>
          </w:p>
        </w:tc>
      </w:tr>
      <w:tr>
        <w:trPr>
          <w:trHeight w:val="20"/>
        </w:trPr>
        <w:tc>
          <w:tcPr>
            <w:tcW w:w="2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156"/>
        </w:trPr>
        <w:tc>
          <w:tcPr>
            <w:tcW w:w="20" w:type="dxa"/>
            <w:vAlign w:val="bottom"/>
            <w:shd w:val="clear" w:color="auto" w:fill="CFF0FC"/>
          </w:tcPr>
          <w:p>
            <w:pPr>
              <w:spacing w:after="0"/>
              <w:rPr>
                <w:sz w:val="13"/>
                <w:szCs w:val="13"/>
                <w:color w:val="auto"/>
              </w:rPr>
            </w:pPr>
          </w:p>
        </w:tc>
        <w:tc>
          <w:tcPr>
            <w:tcW w:w="2320" w:type="dxa"/>
            <w:vAlign w:val="bottom"/>
            <w:shd w:val="clear" w:color="auto" w:fill="CFF0FC"/>
          </w:tcPr>
          <w:p>
            <w:pPr>
              <w:spacing w:after="0"/>
              <w:rPr>
                <w:sz w:val="13"/>
                <w:szCs w:val="13"/>
                <w:color w:val="auto"/>
              </w:rPr>
            </w:pPr>
          </w:p>
        </w:tc>
        <w:tc>
          <w:tcPr>
            <w:tcW w:w="10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900" w:type="dxa"/>
            <w:vAlign w:val="bottom"/>
            <w:shd w:val="clear" w:color="auto" w:fill="CFF0FC"/>
          </w:tcPr>
          <w:p>
            <w:pPr>
              <w:spacing w:after="0"/>
              <w:rPr>
                <w:sz w:val="13"/>
                <w:szCs w:val="13"/>
                <w:color w:val="auto"/>
              </w:rPr>
            </w:pPr>
          </w:p>
        </w:tc>
        <w:tc>
          <w:tcPr>
            <w:tcW w:w="3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880" w:type="dxa"/>
            <w:vAlign w:val="bottom"/>
            <w:shd w:val="clear" w:color="auto" w:fill="CFF0FC"/>
          </w:tcPr>
          <w:p>
            <w:pPr>
              <w:spacing w:after="0"/>
              <w:rPr>
                <w:sz w:val="13"/>
                <w:szCs w:val="13"/>
                <w:color w:val="auto"/>
              </w:rPr>
            </w:pPr>
          </w:p>
        </w:tc>
        <w:tc>
          <w:tcPr>
            <w:tcW w:w="36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860" w:type="dxa"/>
            <w:vAlign w:val="bottom"/>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86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300" w:type="dxa"/>
            <w:vAlign w:val="bottom"/>
            <w:gridSpan w:val="2"/>
            <w:shd w:val="clear" w:color="auto" w:fill="CFF0FC"/>
          </w:tcPr>
          <w:p>
            <w:pPr>
              <w:spacing w:after="0"/>
              <w:rPr>
                <w:sz w:val="13"/>
                <w:szCs w:val="13"/>
                <w:color w:val="auto"/>
              </w:rPr>
            </w:pPr>
          </w:p>
        </w:tc>
        <w:tc>
          <w:tcPr>
            <w:tcW w:w="840" w:type="dxa"/>
            <w:vAlign w:val="bottom"/>
            <w:shd w:val="clear" w:color="auto" w:fill="CFF0FC"/>
          </w:tcPr>
          <w:p>
            <w:pPr>
              <w:spacing w:after="0"/>
              <w:rPr>
                <w:sz w:val="13"/>
                <w:szCs w:val="13"/>
                <w:color w:val="auto"/>
              </w:rPr>
            </w:pPr>
          </w:p>
        </w:tc>
        <w:tc>
          <w:tcPr>
            <w:tcW w:w="3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90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r>
      <w:tr>
        <w:trPr>
          <w:trHeight w:val="176"/>
        </w:trPr>
        <w:tc>
          <w:tcPr>
            <w:tcW w:w="3420" w:type="dxa"/>
            <w:vAlign w:val="bottom"/>
            <w:gridSpan w:val="3"/>
          </w:tcPr>
          <w:p>
            <w:pPr>
              <w:ind w:left="20"/>
              <w:spacing w:after="0"/>
              <w:rPr>
                <w:sz w:val="20"/>
                <w:szCs w:val="20"/>
                <w:color w:val="auto"/>
              </w:rPr>
            </w:pPr>
            <w:r>
              <w:rPr>
                <w:rFonts w:ascii="Arial" w:cs="Arial" w:eastAsia="Arial" w:hAnsi="Arial"/>
                <w:sz w:val="14"/>
                <w:szCs w:val="14"/>
                <w:color w:val="auto"/>
              </w:rPr>
              <w:t>Sales</w:t>
            </w: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133.5</w:t>
            </w:r>
          </w:p>
        </w:tc>
        <w:tc>
          <w:tcPr>
            <w:tcW w:w="34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100.1</w:t>
            </w:r>
          </w:p>
        </w:tc>
        <w:tc>
          <w:tcPr>
            <w:tcW w:w="36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131.2</w:t>
            </w:r>
          </w:p>
        </w:tc>
        <w:tc>
          <w:tcPr>
            <w:tcW w:w="28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505.0</w:t>
            </w:r>
          </w:p>
        </w:tc>
        <w:tc>
          <w:tcPr>
            <w:tcW w:w="140" w:type="dxa"/>
            <w:vAlign w:val="bottom"/>
          </w:tcPr>
          <w:p>
            <w:pPr>
              <w:spacing w:after="0"/>
              <w:rPr>
                <w:sz w:val="15"/>
                <w:szCs w:val="15"/>
                <w:color w:val="auto"/>
              </w:rPr>
            </w:pPr>
          </w:p>
        </w:tc>
        <w:tc>
          <w:tcPr>
            <w:tcW w:w="30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318.9</w:t>
            </w:r>
          </w:p>
        </w:tc>
        <w:tc>
          <w:tcPr>
            <w:tcW w:w="38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474.0</w:t>
            </w:r>
          </w:p>
        </w:tc>
        <w:tc>
          <w:tcPr>
            <w:tcW w:w="200" w:type="dxa"/>
            <w:vAlign w:val="bottom"/>
          </w:tcPr>
          <w:p>
            <w:pPr>
              <w:spacing w:after="0"/>
              <w:rPr>
                <w:sz w:val="15"/>
                <w:szCs w:val="15"/>
                <w:color w:val="auto"/>
              </w:rPr>
            </w:pPr>
          </w:p>
        </w:tc>
      </w:tr>
      <w:tr>
        <w:trPr>
          <w:trHeight w:val="143"/>
        </w:trPr>
        <w:tc>
          <w:tcPr>
            <w:tcW w:w="3420" w:type="dxa"/>
            <w:vAlign w:val="bottom"/>
            <w:gridSpan w:val="3"/>
            <w:shd w:val="clear" w:color="auto" w:fill="CFF0FC"/>
          </w:tcPr>
          <w:p>
            <w:pPr>
              <w:ind w:left="20"/>
              <w:spacing w:after="0" w:line="143" w:lineRule="exact"/>
              <w:rPr>
                <w:sz w:val="20"/>
                <w:szCs w:val="20"/>
                <w:color w:val="auto"/>
              </w:rPr>
            </w:pPr>
            <w:r>
              <w:rPr>
                <w:rFonts w:ascii="Arial" w:cs="Arial" w:eastAsia="Arial" w:hAnsi="Arial"/>
                <w:sz w:val="14"/>
                <w:szCs w:val="14"/>
                <w:color w:val="auto"/>
              </w:rPr>
              <w:t>Adjusted EBITDA margin (non-GAAP), as a</w:t>
            </w:r>
          </w:p>
        </w:tc>
        <w:tc>
          <w:tcPr>
            <w:tcW w:w="120" w:type="dxa"/>
            <w:vAlign w:val="bottom"/>
            <w:shd w:val="clear" w:color="auto" w:fill="CFF0FC"/>
          </w:tcPr>
          <w:p>
            <w:pPr>
              <w:spacing w:after="0"/>
              <w:rPr>
                <w:sz w:val="12"/>
                <w:szCs w:val="12"/>
                <w:color w:val="auto"/>
              </w:rPr>
            </w:pPr>
          </w:p>
        </w:tc>
        <w:tc>
          <w:tcPr>
            <w:tcW w:w="900" w:type="dxa"/>
            <w:vAlign w:val="bottom"/>
            <w:shd w:val="clear" w:color="auto" w:fill="CFF0FC"/>
          </w:tcPr>
          <w:p>
            <w:pPr>
              <w:spacing w:after="0"/>
              <w:rPr>
                <w:sz w:val="12"/>
                <w:szCs w:val="12"/>
                <w:color w:val="auto"/>
              </w:rPr>
            </w:pPr>
          </w:p>
        </w:tc>
        <w:tc>
          <w:tcPr>
            <w:tcW w:w="3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8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6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6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40" w:type="dxa"/>
            <w:vAlign w:val="bottom"/>
            <w:shd w:val="clear" w:color="auto" w:fill="CFF0FC"/>
          </w:tcPr>
          <w:p>
            <w:pPr>
              <w:spacing w:after="0"/>
              <w:rPr>
                <w:sz w:val="12"/>
                <w:szCs w:val="12"/>
                <w:color w:val="auto"/>
              </w:rPr>
            </w:pPr>
          </w:p>
        </w:tc>
        <w:tc>
          <w:tcPr>
            <w:tcW w:w="3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90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r>
      <w:tr>
        <w:trPr>
          <w:trHeight w:val="181"/>
        </w:trPr>
        <w:tc>
          <w:tcPr>
            <w:tcW w:w="3420" w:type="dxa"/>
            <w:vAlign w:val="bottom"/>
            <w:gridSpan w:val="3"/>
            <w:shd w:val="clear" w:color="auto" w:fill="CFF0FC"/>
          </w:tcPr>
          <w:p>
            <w:pPr>
              <w:ind w:left="20"/>
              <w:spacing w:after="0"/>
              <w:rPr>
                <w:sz w:val="20"/>
                <w:szCs w:val="20"/>
                <w:color w:val="auto"/>
              </w:rPr>
            </w:pPr>
            <w:r>
              <w:rPr>
                <w:rFonts w:ascii="Arial" w:cs="Arial" w:eastAsia="Arial" w:hAnsi="Arial"/>
                <w:sz w:val="14"/>
                <w:szCs w:val="14"/>
                <w:color w:val="auto"/>
              </w:rPr>
              <w:t>percentage of sales</w:t>
            </w:r>
          </w:p>
        </w:tc>
        <w:tc>
          <w:tcPr>
            <w:tcW w:w="120" w:type="dxa"/>
            <w:vAlign w:val="bottom"/>
            <w:shd w:val="clear" w:color="auto" w:fill="CFF0FC"/>
          </w:tcPr>
          <w:p>
            <w:pPr>
              <w:spacing w:after="0"/>
              <w:rPr>
                <w:sz w:val="15"/>
                <w:szCs w:val="15"/>
                <w:color w:val="auto"/>
              </w:rPr>
            </w:pPr>
          </w:p>
        </w:tc>
        <w:tc>
          <w:tcPr>
            <w:tcW w:w="1240" w:type="dxa"/>
            <w:vAlign w:val="bottom"/>
            <w:gridSpan w:val="2"/>
            <w:shd w:val="clear" w:color="auto" w:fill="CFF0FC"/>
          </w:tcPr>
          <w:p>
            <w:pPr>
              <w:jc w:val="right"/>
              <w:ind w:right="148"/>
              <w:spacing w:after="0"/>
              <w:rPr>
                <w:sz w:val="20"/>
                <w:szCs w:val="20"/>
                <w:color w:val="auto"/>
              </w:rPr>
            </w:pPr>
            <w:r>
              <w:rPr>
                <w:rFonts w:ascii="Arial" w:cs="Arial" w:eastAsia="Arial" w:hAnsi="Arial"/>
                <w:sz w:val="14"/>
                <w:szCs w:val="14"/>
                <w:color w:val="auto"/>
              </w:rPr>
              <w:t>10.7 %</w:t>
            </w:r>
          </w:p>
        </w:tc>
        <w:tc>
          <w:tcPr>
            <w:tcW w:w="120" w:type="dxa"/>
            <w:vAlign w:val="bottom"/>
            <w:shd w:val="clear" w:color="auto" w:fill="CFF0FC"/>
          </w:tcPr>
          <w:p>
            <w:pPr>
              <w:spacing w:after="0"/>
              <w:rPr>
                <w:sz w:val="15"/>
                <w:szCs w:val="15"/>
                <w:color w:val="auto"/>
              </w:rPr>
            </w:pPr>
          </w:p>
        </w:tc>
        <w:tc>
          <w:tcPr>
            <w:tcW w:w="124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0.7 %</w:t>
            </w:r>
          </w:p>
        </w:tc>
        <w:tc>
          <w:tcPr>
            <w:tcW w:w="120" w:type="dxa"/>
            <w:vAlign w:val="bottom"/>
            <w:shd w:val="clear" w:color="auto" w:fill="CFF0FC"/>
          </w:tcPr>
          <w:p>
            <w:pPr>
              <w:spacing w:after="0"/>
              <w:rPr>
                <w:sz w:val="15"/>
                <w:szCs w:val="15"/>
                <w:color w:val="auto"/>
              </w:rPr>
            </w:pPr>
          </w:p>
        </w:tc>
        <w:tc>
          <w:tcPr>
            <w:tcW w:w="114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7.6 %</w:t>
            </w:r>
          </w:p>
        </w:tc>
        <w:tc>
          <w:tcPr>
            <w:tcW w:w="100" w:type="dxa"/>
            <w:vAlign w:val="bottom"/>
            <w:shd w:val="clear" w:color="auto" w:fill="CFF0FC"/>
          </w:tcPr>
          <w:p>
            <w:pPr>
              <w:spacing w:after="0"/>
              <w:rPr>
                <w:sz w:val="15"/>
                <w:szCs w:val="15"/>
                <w:color w:val="auto"/>
              </w:rPr>
            </w:pPr>
          </w:p>
        </w:tc>
        <w:tc>
          <w:tcPr>
            <w:tcW w:w="100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15.2 %</w:t>
            </w:r>
          </w:p>
        </w:tc>
        <w:tc>
          <w:tcPr>
            <w:tcW w:w="1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220" w:type="dxa"/>
            <w:vAlign w:val="bottom"/>
            <w:gridSpan w:val="2"/>
            <w:shd w:val="clear" w:color="auto" w:fill="CFF0FC"/>
          </w:tcPr>
          <w:p>
            <w:pPr>
              <w:jc w:val="right"/>
              <w:ind w:right="128"/>
              <w:spacing w:after="0"/>
              <w:rPr>
                <w:sz w:val="20"/>
                <w:szCs w:val="20"/>
                <w:color w:val="auto"/>
              </w:rPr>
            </w:pPr>
            <w:r>
              <w:rPr>
                <w:rFonts w:ascii="Arial" w:cs="Arial" w:eastAsia="Arial" w:hAnsi="Arial"/>
                <w:sz w:val="14"/>
                <w:szCs w:val="14"/>
                <w:color w:val="auto"/>
              </w:rPr>
              <w:t>(7.6 %)</w:t>
            </w:r>
          </w:p>
        </w:tc>
        <w:tc>
          <w:tcPr>
            <w:tcW w:w="120" w:type="dxa"/>
            <w:vAlign w:val="bottom"/>
            <w:shd w:val="clear" w:color="auto" w:fill="CFF0FC"/>
          </w:tcPr>
          <w:p>
            <w:pPr>
              <w:spacing w:after="0"/>
              <w:rPr>
                <w:sz w:val="15"/>
                <w:szCs w:val="15"/>
                <w:color w:val="auto"/>
              </w:rPr>
            </w:pPr>
          </w:p>
        </w:tc>
        <w:tc>
          <w:tcPr>
            <w:tcW w:w="110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5.0 %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2816860</wp:posOffset>
            </wp:positionH>
            <wp:positionV relativeFrom="paragraph">
              <wp:posOffset>-570865</wp:posOffset>
            </wp:positionV>
            <wp:extent cx="137160" cy="571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137160" cy="5715"/>
                    </a:xfrm>
                    <a:prstGeom prst="rect">
                      <a:avLst/>
                    </a:prstGeom>
                    <a:noFill/>
                  </pic:spPr>
                </pic:pic>
              </a:graphicData>
            </a:graphic>
          </wp:anchor>
        </w:drawing>
        <w:drawing>
          <wp:anchor simplePos="0" relativeHeight="251657728" behindDoc="1" locked="0" layoutInCell="0" allowOverlap="1">
            <wp:simplePos x="0" y="0"/>
            <wp:positionH relativeFrom="column">
              <wp:posOffset>3674110</wp:posOffset>
            </wp:positionH>
            <wp:positionV relativeFrom="paragraph">
              <wp:posOffset>-570865</wp:posOffset>
            </wp:positionV>
            <wp:extent cx="137160" cy="571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137160" cy="5715"/>
                    </a:xfrm>
                    <a:prstGeom prst="rect">
                      <a:avLst/>
                    </a:prstGeom>
                    <a:noFill/>
                  </pic:spPr>
                </pic:pic>
              </a:graphicData>
            </a:graphic>
          </wp:anchor>
        </w:drawing>
        <w:drawing>
          <wp:anchor simplePos="0" relativeHeight="251657728" behindDoc="1" locked="0" layoutInCell="0" allowOverlap="1">
            <wp:simplePos x="0" y="0"/>
            <wp:positionH relativeFrom="column">
              <wp:posOffset>4522470</wp:posOffset>
            </wp:positionH>
            <wp:positionV relativeFrom="paragraph">
              <wp:posOffset>-570865</wp:posOffset>
            </wp:positionV>
            <wp:extent cx="128905" cy="571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128905" cy="5715"/>
                    </a:xfrm>
                    <a:prstGeom prst="rect">
                      <a:avLst/>
                    </a:prstGeom>
                    <a:noFill/>
                  </pic:spPr>
                </pic:pic>
              </a:graphicData>
            </a:graphic>
          </wp:anchor>
        </w:drawing>
        <w:drawing>
          <wp:anchor simplePos="0" relativeHeight="251657728" behindDoc="1" locked="0" layoutInCell="0" allowOverlap="1">
            <wp:simplePos x="0" y="0"/>
            <wp:positionH relativeFrom="column">
              <wp:posOffset>5311140</wp:posOffset>
            </wp:positionH>
            <wp:positionV relativeFrom="paragraph">
              <wp:posOffset>-570865</wp:posOffset>
            </wp:positionV>
            <wp:extent cx="128905" cy="571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128905" cy="5715"/>
                    </a:xfrm>
                    <a:prstGeom prst="rect">
                      <a:avLst/>
                    </a:prstGeom>
                    <a:noFill/>
                  </pic:spPr>
                </pic:pic>
              </a:graphicData>
            </a:graphic>
          </wp:anchor>
        </w:drawing>
        <w:drawing>
          <wp:anchor simplePos="0" relativeHeight="251657728" behindDoc="1" locked="0" layoutInCell="0" allowOverlap="1">
            <wp:simplePos x="0" y="0"/>
            <wp:positionH relativeFrom="column">
              <wp:posOffset>6116955</wp:posOffset>
            </wp:positionH>
            <wp:positionV relativeFrom="paragraph">
              <wp:posOffset>-570865</wp:posOffset>
            </wp:positionV>
            <wp:extent cx="179705" cy="571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179705" cy="5715"/>
                    </a:xfrm>
                    <a:prstGeom prst="rect">
                      <a:avLst/>
                    </a:prstGeom>
                    <a:noFill/>
                  </pic:spPr>
                </pic:pic>
              </a:graphicData>
            </a:graphic>
          </wp:anchor>
        </w:drawing>
        <w:drawing>
          <wp:anchor simplePos="0" relativeHeight="251657728" behindDoc="1" locked="0" layoutInCell="0" allowOverlap="1">
            <wp:simplePos x="0" y="0"/>
            <wp:positionH relativeFrom="column">
              <wp:posOffset>7008495</wp:posOffset>
            </wp:positionH>
            <wp:positionV relativeFrom="paragraph">
              <wp:posOffset>-570865</wp:posOffset>
            </wp:positionV>
            <wp:extent cx="128905" cy="571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128905" cy="5715"/>
                    </a:xfrm>
                    <a:prstGeom prst="rect">
                      <a:avLst/>
                    </a:prstGeom>
                    <a:noFill/>
                  </pic:spPr>
                </pic:pic>
              </a:graphicData>
            </a:graphic>
          </wp:anchor>
        </w:drawing>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GAAP TO NON-GAAP RECONCILIATION OF FREE CASH FLOW</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(Unaudited)</w:t>
      </w:r>
    </w:p>
    <w:p>
      <w:pPr>
        <w:spacing w:after="0" w:line="381"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59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760" w:type="dxa"/>
            <w:vAlign w:val="bottom"/>
            <w:gridSpan w:val="3"/>
          </w:tcPr>
          <w:p>
            <w:pPr>
              <w:jc w:val="right"/>
              <w:ind w:right="208"/>
              <w:spacing w:after="0"/>
              <w:rPr>
                <w:sz w:val="20"/>
                <w:szCs w:val="20"/>
                <w:color w:val="auto"/>
              </w:rPr>
            </w:pPr>
            <w:r>
              <w:rPr>
                <w:rFonts w:ascii="Arial" w:cs="Arial" w:eastAsia="Arial" w:hAnsi="Arial"/>
                <w:sz w:val="14"/>
                <w:szCs w:val="14"/>
                <w:color w:val="auto"/>
                <w:w w:val="94"/>
              </w:rPr>
              <w:t>For the fiscal year ended</w:t>
            </w:r>
          </w:p>
        </w:tc>
        <w:tc>
          <w:tcPr>
            <w:tcW w:w="280" w:type="dxa"/>
            <w:vAlign w:val="bottom"/>
          </w:tcPr>
          <w:p>
            <w:pPr>
              <w:spacing w:after="0"/>
              <w:rPr>
                <w:sz w:val="15"/>
                <w:szCs w:val="15"/>
                <w:color w:val="auto"/>
              </w:rPr>
            </w:pPr>
          </w:p>
        </w:tc>
        <w:tc>
          <w:tcPr>
            <w:tcW w:w="1420" w:type="dxa"/>
            <w:vAlign w:val="bottom"/>
            <w:gridSpan w:val="2"/>
            <w:vMerge w:val="restart"/>
          </w:tcPr>
          <w:p>
            <w:pPr>
              <w:jc w:val="right"/>
              <w:ind w:right="580"/>
              <w:spacing w:after="0"/>
              <w:rPr>
                <w:sz w:val="20"/>
                <w:szCs w:val="20"/>
                <w:color w:val="auto"/>
              </w:rPr>
            </w:pPr>
            <w:r>
              <w:rPr>
                <w:rFonts w:ascii="Arial" w:cs="Arial" w:eastAsia="Arial" w:hAnsi="Arial"/>
                <w:sz w:val="14"/>
                <w:szCs w:val="14"/>
                <w:color w:val="auto"/>
              </w:rPr>
              <w:t>February 1,</w:t>
            </w:r>
          </w:p>
        </w:tc>
        <w:tc>
          <w:tcPr>
            <w:tcW w:w="0" w:type="dxa"/>
            <w:vAlign w:val="bottom"/>
          </w:tcPr>
          <w:p>
            <w:pPr>
              <w:spacing w:after="0"/>
              <w:rPr>
                <w:sz w:val="1"/>
                <w:szCs w:val="1"/>
                <w:color w:val="auto"/>
              </w:rPr>
            </w:pPr>
          </w:p>
        </w:tc>
      </w:tr>
      <w:tr>
        <w:trPr>
          <w:trHeight w:val="142"/>
        </w:trPr>
        <w:tc>
          <w:tcPr>
            <w:tcW w:w="59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5920" w:type="dxa"/>
            <w:vAlign w:val="bottom"/>
          </w:tcPr>
          <w:p>
            <w:pPr>
              <w:ind w:left="20"/>
              <w:spacing w:after="0"/>
              <w:rPr>
                <w:sz w:val="20"/>
                <w:szCs w:val="20"/>
                <w:color w:val="auto"/>
              </w:rPr>
            </w:pPr>
            <w:r>
              <w:rPr>
                <w:rFonts w:ascii="Arial" w:cs="Arial" w:eastAsia="Arial" w:hAnsi="Arial"/>
                <w:sz w:val="14"/>
                <w:szCs w:val="14"/>
                <w:i w:val="1"/>
                <w:iCs w:val="1"/>
                <w:color w:val="auto"/>
              </w:rPr>
              <w:t>(in millions)</w:t>
            </w:r>
          </w:p>
        </w:tc>
        <w:tc>
          <w:tcPr>
            <w:tcW w:w="200" w:type="dxa"/>
            <w:vAlign w:val="bottom"/>
          </w:tcPr>
          <w:p>
            <w:pPr>
              <w:spacing w:after="0"/>
              <w:rPr>
                <w:sz w:val="15"/>
                <w:szCs w:val="15"/>
                <w:color w:val="auto"/>
              </w:rPr>
            </w:pPr>
          </w:p>
        </w:tc>
        <w:tc>
          <w:tcPr>
            <w:tcW w:w="1660" w:type="dxa"/>
            <w:vAlign w:val="bottom"/>
            <w:gridSpan w:val="2"/>
          </w:tcPr>
          <w:p>
            <w:pPr>
              <w:jc w:val="right"/>
              <w:ind w:right="560"/>
              <w:spacing w:after="0"/>
              <w:rPr>
                <w:sz w:val="20"/>
                <w:szCs w:val="20"/>
                <w:color w:val="auto"/>
              </w:rPr>
            </w:pPr>
            <w:r>
              <w:rPr>
                <w:rFonts w:ascii="Arial" w:cs="Arial" w:eastAsia="Arial" w:hAnsi="Arial"/>
                <w:sz w:val="14"/>
                <w:szCs w:val="14"/>
                <w:color w:val="auto"/>
                <w:w w:val="99"/>
              </w:rPr>
              <w:t>January 29, 2022</w:t>
            </w:r>
          </w:p>
        </w:tc>
        <w:tc>
          <w:tcPr>
            <w:tcW w:w="180" w:type="dxa"/>
            <w:vAlign w:val="bottom"/>
          </w:tcPr>
          <w:p>
            <w:pPr>
              <w:spacing w:after="0"/>
              <w:rPr>
                <w:sz w:val="15"/>
                <w:szCs w:val="15"/>
                <w:color w:val="auto"/>
              </w:rPr>
            </w:pPr>
          </w:p>
        </w:tc>
        <w:tc>
          <w:tcPr>
            <w:tcW w:w="1580" w:type="dxa"/>
            <w:vAlign w:val="bottom"/>
            <w:gridSpan w:val="2"/>
          </w:tcPr>
          <w:p>
            <w:pPr>
              <w:jc w:val="right"/>
              <w:ind w:right="428"/>
              <w:spacing w:after="0"/>
              <w:rPr>
                <w:sz w:val="20"/>
                <w:szCs w:val="20"/>
                <w:color w:val="auto"/>
              </w:rPr>
            </w:pPr>
            <w:r>
              <w:rPr>
                <w:rFonts w:ascii="Arial" w:cs="Arial" w:eastAsia="Arial" w:hAnsi="Arial"/>
                <w:sz w:val="14"/>
                <w:szCs w:val="14"/>
                <w:color w:val="auto"/>
                <w:w w:val="97"/>
              </w:rPr>
              <w:t>January 30, 2021</w:t>
            </w:r>
          </w:p>
        </w:tc>
        <w:tc>
          <w:tcPr>
            <w:tcW w:w="280" w:type="dxa"/>
            <w:vAlign w:val="bottom"/>
          </w:tcPr>
          <w:p>
            <w:pPr>
              <w:spacing w:after="0"/>
              <w:rPr>
                <w:sz w:val="15"/>
                <w:szCs w:val="15"/>
                <w:color w:val="auto"/>
              </w:rPr>
            </w:pPr>
          </w:p>
        </w:tc>
        <w:tc>
          <w:tcPr>
            <w:tcW w:w="1340" w:type="dxa"/>
            <w:vAlign w:val="bottom"/>
          </w:tcPr>
          <w:p>
            <w:pPr>
              <w:jc w:val="right"/>
              <w:ind w:right="588"/>
              <w:spacing w:after="0"/>
              <w:rPr>
                <w:sz w:val="20"/>
                <w:szCs w:val="20"/>
                <w:color w:val="auto"/>
              </w:rPr>
            </w:pPr>
            <w:r>
              <w:rPr>
                <w:rFonts w:ascii="Arial" w:cs="Arial" w:eastAsia="Arial" w:hAnsi="Arial"/>
                <w:sz w:val="14"/>
                <w:szCs w:val="14"/>
                <w:color w:val="auto"/>
              </w:rPr>
              <w:t>2020</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5920" w:type="dxa"/>
            <w:vAlign w:val="bottom"/>
          </w:tcPr>
          <w:p>
            <w:pPr>
              <w:ind w:left="20"/>
              <w:spacing w:after="0"/>
              <w:rPr>
                <w:sz w:val="20"/>
                <w:szCs w:val="20"/>
                <w:color w:val="auto"/>
              </w:rPr>
            </w:pPr>
            <w:r>
              <w:rPr>
                <w:rFonts w:ascii="Arial" w:cs="Arial" w:eastAsia="Arial" w:hAnsi="Arial"/>
                <w:sz w:val="14"/>
                <w:szCs w:val="14"/>
                <w:color w:val="auto"/>
              </w:rPr>
              <w:t>Cash flow from operating activities (GAAP basis)</w:t>
            </w:r>
          </w:p>
        </w:tc>
        <w:tc>
          <w:tcPr>
            <w:tcW w:w="20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color w:val="auto"/>
                <w:w w:val="76"/>
              </w:rPr>
              <w:t>$</w:t>
            </w:r>
          </w:p>
        </w:tc>
        <w:tc>
          <w:tcPr>
            <w:tcW w:w="14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75.5</w:t>
            </w:r>
          </w:p>
        </w:tc>
        <w:tc>
          <w:tcPr>
            <w:tcW w:w="260" w:type="dxa"/>
            <w:vAlign w:val="bottom"/>
          </w:tcPr>
          <w:p>
            <w:pPr>
              <w:spacing w:after="0"/>
              <w:rPr>
                <w:sz w:val="14"/>
                <w:szCs w:val="14"/>
                <w:color w:val="auto"/>
              </w:rPr>
            </w:pPr>
          </w:p>
        </w:tc>
        <w:tc>
          <w:tcPr>
            <w:tcW w:w="18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w w:val="76"/>
              </w:rPr>
              <w:t>$</w:t>
            </w:r>
          </w:p>
        </w:tc>
        <w:tc>
          <w:tcPr>
            <w:tcW w:w="13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(1.2</w:t>
            </w:r>
          </w:p>
        </w:tc>
        <w:tc>
          <w:tcPr>
            <w:tcW w:w="200" w:type="dxa"/>
            <w:vAlign w:val="bottom"/>
          </w:tcPr>
          <w:p>
            <w:pPr>
              <w:jc w:val="right"/>
              <w:ind w:right="68"/>
              <w:spacing w:after="0"/>
              <w:rPr>
                <w:sz w:val="20"/>
                <w:szCs w:val="20"/>
                <w:color w:val="auto"/>
              </w:rPr>
            </w:pPr>
            <w:r>
              <w:rPr>
                <w:rFonts w:ascii="Arial" w:cs="Arial" w:eastAsia="Arial" w:hAnsi="Arial"/>
                <w:sz w:val="14"/>
                <w:szCs w:val="14"/>
                <w:color w:val="auto"/>
                <w:w w:val="84"/>
              </w:rPr>
              <w:t>)</w:t>
            </w:r>
          </w:p>
        </w:tc>
        <w:tc>
          <w:tcPr>
            <w:tcW w:w="280" w:type="dxa"/>
            <w:vAlign w:val="bottom"/>
            <w:tcBorders>
              <w:top w:val="single" w:sz="8" w:color="auto"/>
            </w:tcBorders>
          </w:tcPr>
          <w:p>
            <w:pPr>
              <w:jc w:val="right"/>
              <w:ind w:right="128"/>
              <w:spacing w:after="0"/>
              <w:rPr>
                <w:sz w:val="20"/>
                <w:szCs w:val="20"/>
                <w:color w:val="auto"/>
              </w:rPr>
            </w:pPr>
            <w:r>
              <w:rPr>
                <w:rFonts w:ascii="Arial" w:cs="Arial" w:eastAsia="Arial" w:hAnsi="Arial"/>
                <w:sz w:val="14"/>
                <w:szCs w:val="14"/>
                <w:color w:val="auto"/>
                <w:w w:val="76"/>
              </w:rPr>
              <w:t>$</w:t>
            </w: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15.8</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5920" w:type="dxa"/>
            <w:vAlign w:val="bottom"/>
            <w:shd w:val="clear" w:color="auto" w:fill="CFF0FC"/>
          </w:tcPr>
          <w:p>
            <w:pPr>
              <w:ind w:left="20"/>
              <w:spacing w:after="0"/>
              <w:rPr>
                <w:sz w:val="20"/>
                <w:szCs w:val="20"/>
                <w:color w:val="auto"/>
              </w:rPr>
            </w:pPr>
            <w:r>
              <w:rPr>
                <w:rFonts w:ascii="Arial" w:cs="Arial" w:eastAsia="Arial" w:hAnsi="Arial"/>
                <w:sz w:val="14"/>
                <w:szCs w:val="14"/>
                <w:color w:val="auto"/>
              </w:rPr>
              <w:t>Capital expenditures</w:t>
            </w:r>
          </w:p>
        </w:tc>
        <w:tc>
          <w:tcPr>
            <w:tcW w:w="200" w:type="dxa"/>
            <w:vAlign w:val="bottom"/>
            <w:shd w:val="clear" w:color="auto" w:fill="CFF0FC"/>
          </w:tcPr>
          <w:p>
            <w:pPr>
              <w:spacing w:after="0"/>
              <w:rPr>
                <w:sz w:val="15"/>
                <w:szCs w:val="15"/>
                <w:color w:val="auto"/>
              </w:rPr>
            </w:pPr>
          </w:p>
        </w:tc>
        <w:tc>
          <w:tcPr>
            <w:tcW w:w="1660" w:type="dxa"/>
            <w:vAlign w:val="bottom"/>
            <w:gridSpan w:val="2"/>
            <w:shd w:val="clear" w:color="auto" w:fill="CFF0FC"/>
          </w:tcPr>
          <w:p>
            <w:pPr>
              <w:jc w:val="right"/>
              <w:ind w:right="200"/>
              <w:spacing w:after="0"/>
              <w:rPr>
                <w:sz w:val="20"/>
                <w:szCs w:val="20"/>
                <w:color w:val="auto"/>
              </w:rPr>
            </w:pPr>
            <w:r>
              <w:rPr>
                <w:rFonts w:ascii="Arial" w:cs="Arial" w:eastAsia="Arial" w:hAnsi="Arial"/>
                <w:sz w:val="14"/>
                <w:szCs w:val="14"/>
                <w:color w:val="auto"/>
              </w:rPr>
              <w:t>(5.3 )</w:t>
            </w:r>
          </w:p>
        </w:tc>
        <w:tc>
          <w:tcPr>
            <w:tcW w:w="180" w:type="dxa"/>
            <w:vAlign w:val="bottom"/>
            <w:shd w:val="clear" w:color="auto" w:fill="CFF0FC"/>
          </w:tcPr>
          <w:p>
            <w:pPr>
              <w:spacing w:after="0"/>
              <w:rPr>
                <w:sz w:val="15"/>
                <w:szCs w:val="15"/>
                <w:color w:val="auto"/>
              </w:rPr>
            </w:pPr>
          </w:p>
        </w:tc>
        <w:tc>
          <w:tcPr>
            <w:tcW w:w="1580" w:type="dxa"/>
            <w:vAlign w:val="bottom"/>
            <w:gridSpan w:val="2"/>
            <w:shd w:val="clear" w:color="auto" w:fill="CFF0FC"/>
          </w:tcPr>
          <w:p>
            <w:pPr>
              <w:jc w:val="right"/>
              <w:ind w:right="68"/>
              <w:spacing w:after="0"/>
              <w:rPr>
                <w:sz w:val="20"/>
                <w:szCs w:val="20"/>
                <w:color w:val="auto"/>
              </w:rPr>
            </w:pPr>
            <w:r>
              <w:rPr>
                <w:rFonts w:ascii="Arial" w:cs="Arial" w:eastAsia="Arial" w:hAnsi="Arial"/>
                <w:sz w:val="14"/>
                <w:szCs w:val="14"/>
                <w:color w:val="auto"/>
              </w:rPr>
              <w:t>(4.2 )</w:t>
            </w:r>
          </w:p>
        </w:tc>
        <w:tc>
          <w:tcPr>
            <w:tcW w:w="280" w:type="dxa"/>
            <w:vAlign w:val="bottom"/>
            <w:shd w:val="clear" w:color="auto" w:fill="CFF0FC"/>
          </w:tcPr>
          <w:p>
            <w:pPr>
              <w:jc w:val="right"/>
              <w:ind w:right="128"/>
              <w:spacing w:after="0"/>
              <w:rPr>
                <w:sz w:val="20"/>
                <w:szCs w:val="20"/>
                <w:color w:val="auto"/>
              </w:rPr>
            </w:pPr>
            <w:r>
              <w:rPr>
                <w:rFonts w:ascii="Arial" w:cs="Arial" w:eastAsia="Arial" w:hAnsi="Arial"/>
                <w:sz w:val="14"/>
                <w:szCs w:val="14"/>
                <w:color w:val="auto"/>
                <w:w w:val="76"/>
              </w:rPr>
              <w:t>$</w:t>
            </w:r>
          </w:p>
        </w:tc>
        <w:tc>
          <w:tcPr>
            <w:tcW w:w="1420" w:type="dxa"/>
            <w:vAlign w:val="bottom"/>
            <w:gridSpan w:val="2"/>
            <w:shd w:val="clear" w:color="auto" w:fill="CFF0FC"/>
          </w:tcPr>
          <w:p>
            <w:pPr>
              <w:jc w:val="right"/>
              <w:ind w:right="20"/>
              <w:spacing w:after="0"/>
              <w:rPr>
                <w:sz w:val="20"/>
                <w:szCs w:val="20"/>
                <w:color w:val="auto"/>
              </w:rPr>
            </w:pPr>
            <w:r>
              <w:rPr>
                <w:rFonts w:ascii="Arial" w:cs="Arial" w:eastAsia="Arial" w:hAnsi="Arial"/>
                <w:sz w:val="14"/>
                <w:szCs w:val="14"/>
                <w:color w:val="auto"/>
              </w:rPr>
              <w:t>(13.4 )</w:t>
            </w:r>
          </w:p>
        </w:tc>
        <w:tc>
          <w:tcPr>
            <w:tcW w:w="0" w:type="dxa"/>
            <w:vAlign w:val="bottom"/>
          </w:tcPr>
          <w:p>
            <w:pPr>
              <w:spacing w:after="0"/>
              <w:rPr>
                <w:sz w:val="1"/>
                <w:szCs w:val="1"/>
                <w:color w:val="auto"/>
              </w:rPr>
            </w:pPr>
          </w:p>
        </w:tc>
      </w:tr>
      <w:tr>
        <w:trPr>
          <w:trHeight w:val="20"/>
        </w:trPr>
        <w:tc>
          <w:tcPr>
            <w:tcW w:w="592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5920" w:type="dxa"/>
            <w:vAlign w:val="bottom"/>
          </w:tcPr>
          <w:p>
            <w:pPr>
              <w:ind w:left="20"/>
              <w:spacing w:after="0" w:line="155" w:lineRule="exact"/>
              <w:rPr>
                <w:sz w:val="20"/>
                <w:szCs w:val="20"/>
                <w:color w:val="auto"/>
              </w:rPr>
            </w:pPr>
            <w:r>
              <w:rPr>
                <w:rFonts w:ascii="Arial" w:cs="Arial" w:eastAsia="Arial" w:hAnsi="Arial"/>
                <w:sz w:val="14"/>
                <w:szCs w:val="14"/>
                <w:color w:val="auto"/>
              </w:rPr>
              <w:t>Free cash flow (non-GAAP)</w:t>
            </w:r>
          </w:p>
        </w:tc>
        <w:tc>
          <w:tcPr>
            <w:tcW w:w="200" w:type="dxa"/>
            <w:vAlign w:val="bottom"/>
          </w:tcPr>
          <w:p>
            <w:pPr>
              <w:jc w:val="right"/>
              <w:ind w:right="48"/>
              <w:spacing w:after="0" w:line="155" w:lineRule="exact"/>
              <w:rPr>
                <w:sz w:val="20"/>
                <w:szCs w:val="20"/>
                <w:color w:val="auto"/>
              </w:rPr>
            </w:pPr>
            <w:r>
              <w:rPr>
                <w:rFonts w:ascii="Arial" w:cs="Arial" w:eastAsia="Arial" w:hAnsi="Arial"/>
                <w:sz w:val="14"/>
                <w:szCs w:val="14"/>
                <w:color w:val="auto"/>
                <w:w w:val="76"/>
              </w:rPr>
              <w:t>$</w:t>
            </w:r>
          </w:p>
        </w:tc>
        <w:tc>
          <w:tcPr>
            <w:tcW w:w="1400" w:type="dxa"/>
            <w:vAlign w:val="bottom"/>
          </w:tcPr>
          <w:p>
            <w:pPr>
              <w:jc w:val="right"/>
              <w:spacing w:after="0" w:line="155" w:lineRule="exact"/>
              <w:rPr>
                <w:sz w:val="20"/>
                <w:szCs w:val="20"/>
                <w:color w:val="auto"/>
              </w:rPr>
            </w:pPr>
            <w:r>
              <w:rPr>
                <w:rFonts w:ascii="Arial" w:cs="Arial" w:eastAsia="Arial" w:hAnsi="Arial"/>
                <w:sz w:val="14"/>
                <w:szCs w:val="14"/>
                <w:color w:val="auto"/>
              </w:rPr>
              <w:t>70.3</w:t>
            </w:r>
          </w:p>
        </w:tc>
        <w:tc>
          <w:tcPr>
            <w:tcW w:w="260" w:type="dxa"/>
            <w:vAlign w:val="bottom"/>
          </w:tcPr>
          <w:p>
            <w:pPr>
              <w:spacing w:after="0"/>
              <w:rPr>
                <w:sz w:val="14"/>
                <w:szCs w:val="14"/>
                <w:color w:val="auto"/>
              </w:rPr>
            </w:pPr>
          </w:p>
        </w:tc>
        <w:tc>
          <w:tcPr>
            <w:tcW w:w="180" w:type="dxa"/>
            <w:vAlign w:val="bottom"/>
          </w:tcPr>
          <w:p>
            <w:pPr>
              <w:jc w:val="right"/>
              <w:ind w:right="28"/>
              <w:spacing w:after="0" w:line="155" w:lineRule="exact"/>
              <w:rPr>
                <w:sz w:val="20"/>
                <w:szCs w:val="20"/>
                <w:color w:val="auto"/>
              </w:rPr>
            </w:pPr>
            <w:r>
              <w:rPr>
                <w:rFonts w:ascii="Arial" w:cs="Arial" w:eastAsia="Arial" w:hAnsi="Arial"/>
                <w:sz w:val="14"/>
                <w:szCs w:val="14"/>
                <w:color w:val="auto"/>
                <w:w w:val="76"/>
              </w:rPr>
              <w:t>$</w:t>
            </w:r>
          </w:p>
        </w:tc>
        <w:tc>
          <w:tcPr>
            <w:tcW w:w="1580" w:type="dxa"/>
            <w:vAlign w:val="bottom"/>
            <w:gridSpan w:val="2"/>
          </w:tcPr>
          <w:p>
            <w:pPr>
              <w:jc w:val="right"/>
              <w:ind w:right="68"/>
              <w:spacing w:after="0" w:line="155" w:lineRule="exact"/>
              <w:rPr>
                <w:sz w:val="20"/>
                <w:szCs w:val="20"/>
                <w:color w:val="auto"/>
              </w:rPr>
            </w:pPr>
            <w:r>
              <w:rPr>
                <w:rFonts w:ascii="Arial" w:cs="Arial" w:eastAsia="Arial" w:hAnsi="Arial"/>
                <w:sz w:val="14"/>
                <w:szCs w:val="14"/>
                <w:color w:val="auto"/>
              </w:rPr>
              <w:t>(5.5 )</w:t>
            </w:r>
          </w:p>
        </w:tc>
        <w:tc>
          <w:tcPr>
            <w:tcW w:w="280" w:type="dxa"/>
            <w:vAlign w:val="bottom"/>
          </w:tcPr>
          <w:p>
            <w:pPr>
              <w:jc w:val="right"/>
              <w:ind w:right="128"/>
              <w:spacing w:after="0" w:line="155" w:lineRule="exact"/>
              <w:rPr>
                <w:sz w:val="20"/>
                <w:szCs w:val="20"/>
                <w:color w:val="auto"/>
              </w:rPr>
            </w:pPr>
            <w:r>
              <w:rPr>
                <w:rFonts w:ascii="Arial" w:cs="Arial" w:eastAsia="Arial" w:hAnsi="Arial"/>
                <w:sz w:val="14"/>
                <w:szCs w:val="14"/>
                <w:color w:val="auto"/>
                <w:w w:val="76"/>
              </w:rPr>
              <w:t>$</w:t>
            </w:r>
          </w:p>
        </w:tc>
        <w:tc>
          <w:tcPr>
            <w:tcW w:w="1340" w:type="dxa"/>
            <w:vAlign w:val="bottom"/>
          </w:tcPr>
          <w:p>
            <w:pPr>
              <w:jc w:val="right"/>
              <w:spacing w:after="0" w:line="155" w:lineRule="exact"/>
              <w:rPr>
                <w:sz w:val="20"/>
                <w:szCs w:val="20"/>
                <w:color w:val="auto"/>
              </w:rPr>
            </w:pPr>
            <w:r>
              <w:rPr>
                <w:rFonts w:ascii="Arial" w:cs="Arial" w:eastAsia="Arial" w:hAnsi="Arial"/>
                <w:sz w:val="14"/>
                <w:szCs w:val="14"/>
                <w:color w:val="auto"/>
              </w:rPr>
              <w:t>2.4</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59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4771390</wp:posOffset>
            </wp:positionH>
            <wp:positionV relativeFrom="paragraph">
              <wp:posOffset>-142240</wp:posOffset>
            </wp:positionV>
            <wp:extent cx="68580" cy="571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5928360</wp:posOffset>
            </wp:positionH>
            <wp:positionV relativeFrom="paragraph">
              <wp:posOffset>-142240</wp:posOffset>
            </wp:positionV>
            <wp:extent cx="60325" cy="571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0325" cy="571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-142240</wp:posOffset>
            </wp:positionV>
            <wp:extent cx="51435" cy="571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51435" cy="5715"/>
                    </a:xfrm>
                    <a:prstGeom prst="rect">
                      <a:avLst/>
                    </a:prstGeom>
                    <a:noFill/>
                  </pic:spPr>
                </pic:pic>
              </a:graphicData>
            </a:graphic>
          </wp:anchor>
        </w:drawing>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194945</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9" w:right="339" w:bottom="1440" w:gutter="0" w:footer="0" w:header="0"/>
        </w:sectPr>
      </w:pPr>
    </w:p>
    <w:bookmarkStart w:id="14" w:name="page15"/>
    <w:bookmarkEnd w:id="14"/>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
      <w:numFmt w:val="bullet"/>
      <w:start w:val="1"/>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2022-03-17T07:29:26Z</dcterms:created>
  <dcterms:modified xsi:type="dcterms:W3CDTF">2022-03-17T07:29:26Z</dcterms:modified>
</cp:coreProperties>
</file>