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08/23/2022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08/23/2022</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73,031</w:t>
            </w:r>
            <w:r>
              <w:rPr>
                <w:rFonts w:ascii="Times New Roman" w:cs="Times New Roman" w:eastAsia="Times New Roman" w:hAnsi="Times New Roman"/>
                <w:sz w:val="22"/>
                <w:szCs w:val="22"/>
                <w:color w:val="008000"/>
                <w:vertAlign w:val="superscript"/>
              </w:rPr>
              <w:t>(2)</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4.3678</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9,970,434</w:t>
            </w:r>
            <w:r>
              <w:rPr>
                <w:rFonts w:ascii="Times New Roman" w:cs="Times New Roman" w:eastAsia="Times New Roman" w:hAnsi="Times New Roman"/>
                <w:sz w:val="22"/>
                <w:szCs w:val="22"/>
                <w:color w:val="008000"/>
                <w:vertAlign w:val="superscript"/>
              </w:rPr>
              <w:t>(2)</w:t>
            </w: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240" w:type="dxa"/>
            <w:vAlign w:val="bottom"/>
          </w:tcPr>
          <w:p>
            <w:pPr>
              <w:spacing w:after="0"/>
              <w:rPr>
                <w:sz w:val="21"/>
                <w:szCs w:val="21"/>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08/24/2022</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2"/>
                <w:szCs w:val="22"/>
                <w:color w:val="008000"/>
                <w:vertAlign w:val="superscript"/>
              </w:rPr>
              <w:t>(2)</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4.2247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9,870,434</w:t>
            </w:r>
            <w:r>
              <w:rPr>
                <w:rFonts w:ascii="Times New Roman" w:cs="Times New Roman" w:eastAsia="Times New Roman" w:hAnsi="Times New Roman"/>
                <w:sz w:val="22"/>
                <w:szCs w:val="22"/>
                <w:color w:val="008000"/>
                <w:w w:val="95"/>
                <w:vertAlign w:val="superscript"/>
              </w:rPr>
              <w:t>(2)(3)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(2)(3)</w:t>
            </w:r>
          </w:p>
        </w:tc>
        <w:tc>
          <w:tcPr>
            <w:tcW w:w="240" w:type="dxa"/>
            <w:vAlign w:val="bottom"/>
          </w:tcPr>
          <w:p>
            <w:pPr>
              <w:spacing w:after="0"/>
              <w:rPr>
                <w:sz w:val="21"/>
                <w:szCs w:val="21"/>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4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40" w:type="dxa"/>
            <w:vAlign w:val="bottom"/>
            <w:gridSpan w:val="14"/>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ind w:left="46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average price transaction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5,918,525 shares of Common Stock of the Issuer (the Shares) held by SSFQP, 2,007,880 Shares held by Cay and 1,944,029 Shares held by SSPE.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08/25/2022</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David Greenhouse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08/25/2022</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2022-08-25T16:01:08Z</dcterms:created>
  <dcterms:modified xsi:type="dcterms:W3CDTF">2022-08-25T16:01:08Z</dcterms:modified>
</cp:coreProperties>
</file>