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820"/>
        <w:spacing w:after="0"/>
        <w:rPr>
          <w:sz w:val="20"/>
          <w:szCs w:val="20"/>
          <w:color w:val="auto"/>
        </w:rPr>
      </w:pPr>
      <w:r>
        <w:rPr>
          <w:rFonts w:ascii="Arial" w:cs="Arial" w:eastAsia="Arial" w:hAnsi="Arial"/>
          <w:sz w:val="21"/>
          <w:szCs w:val="21"/>
          <w:b w:val="1"/>
          <w:bCs w:val="1"/>
          <w:color w:val="auto"/>
        </w:rPr>
        <w:t>Date of Report (Date of earliest event reported): March 5, 2014</w:t>
      </w:r>
    </w:p>
    <w:p>
      <w:pPr>
        <w:spacing w:after="0" w:line="218" w:lineRule="exact"/>
        <w:rPr>
          <w:sz w:val="24"/>
          <w:szCs w:val="24"/>
          <w:color w:val="auto"/>
        </w:rPr>
      </w:pPr>
    </w:p>
    <w:p>
      <w:pPr>
        <w:ind w:left="5300"/>
        <w:spacing w:after="0"/>
        <w:rPr>
          <w:sz w:val="20"/>
          <w:szCs w:val="20"/>
          <w:color w:val="auto"/>
        </w:rPr>
      </w:pPr>
      <w:r>
        <w:rPr>
          <w:rFonts w:ascii="Arial" w:cs="Arial" w:eastAsia="Arial" w:hAnsi="Arial"/>
          <w:sz w:val="22"/>
          <w:szCs w:val="22"/>
          <w:b w:val="1"/>
          <w:bCs w:val="1"/>
          <w:color w:val="auto"/>
        </w:rPr>
        <w:t>01-34219</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04-2623104</w:t>
      </w:r>
    </w:p>
    <w:p>
      <w:pPr>
        <w:spacing w:after="0" w:line="31" w:lineRule="exact"/>
        <w:rPr>
          <w:sz w:val="24"/>
          <w:szCs w:val="24"/>
          <w:color w:val="auto"/>
        </w:rPr>
      </w:pPr>
    </w:p>
    <w:p>
      <w:pPr>
        <w:sectPr>
          <w:pgSz w:w="11900" w:h="16838" w:orient="portrait"/>
          <w:cols w:equalWidth="0" w:num="2">
            <w:col w:w="7500" w:space="720"/>
            <w:col w:w="3080"/>
          </w:cols>
          <w:pgMar w:left="240" w:top="368" w:right="359" w:bottom="1440" w:gutter="0" w:footer="0" w:header="0"/>
          <w:type w:val="continuous"/>
        </w:sectPr>
      </w:pPr>
    </w:p>
    <w:p>
      <w:pPr>
        <w:spacing w:after="0" w:line="19" w:lineRule="exact"/>
        <w:rPr>
          <w:sz w:val="24"/>
          <w:szCs w:val="24"/>
          <w:color w:val="auto"/>
        </w:rPr>
      </w:pPr>
    </w:p>
    <w:p>
      <w:pPr>
        <w:ind w:left="216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4"/>
          <w:szCs w:val="14"/>
          <w:b w:val="1"/>
          <w:bCs w:val="1"/>
          <w:color w:val="auto"/>
        </w:rPr>
        <w:t>(IRS Employer</w:t>
      </w:r>
    </w:p>
    <w:p>
      <w:pPr>
        <w:jc w:val="center"/>
        <w:ind w:right="194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7220" w:space="720"/>
            <w:col w:w="3360"/>
          </w:cols>
          <w:pgMar w:left="240" w:top="368" w:right="359" w:bottom="1440" w:gutter="0" w:footer="0" w:header="0"/>
          <w:type w:val="continuous"/>
        </w:sectPr>
      </w:pP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555 Turnpike Street, Canton, Massachusetts 02021</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ind w:right="3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Compensatory Arrangements of Certain Officers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March 5, 2014, Destination XL Group, Inc. (the “Company”) entered into a temporary employment agreement, effective as of February 2, 2014, with John E. Kyees, the Company’s interim Chief Financial Officer. Mr. Kyees, a director of the Company since May 2010, will continue to serve on the Board of Directors as a non-independent director. A copy of the temporary employment agreement is attached hereto as Exhibit 10.1.</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jc w:val="right"/>
              <w:spacing w:after="0"/>
              <w:rPr>
                <w:sz w:val="20"/>
                <w:szCs w:val="20"/>
                <w:color w:val="auto"/>
              </w:rPr>
            </w:pPr>
            <w:r>
              <w:rPr>
                <w:rFonts w:ascii="Arial" w:cs="Arial" w:eastAsia="Arial" w:hAnsi="Arial"/>
                <w:sz w:val="14"/>
                <w:szCs w:val="14"/>
                <w:color w:val="auto"/>
                <w:w w:val="99"/>
              </w:rPr>
              <w:t>Exhibit</w:t>
            </w:r>
          </w:p>
        </w:tc>
        <w:tc>
          <w:tcPr>
            <w:tcW w:w="5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67"/>
        </w:trPr>
        <w:tc>
          <w:tcPr>
            <w:tcW w:w="440" w:type="dxa"/>
            <w:vAlign w:val="bottom"/>
          </w:tcPr>
          <w:p>
            <w:pPr>
              <w:jc w:val="right"/>
              <w:ind w:right="42"/>
              <w:spacing w:after="0"/>
              <w:rPr>
                <w:sz w:val="20"/>
                <w:szCs w:val="20"/>
                <w:color w:val="auto"/>
              </w:rPr>
            </w:pPr>
            <w:r>
              <w:rPr>
                <w:rFonts w:ascii="Arial" w:cs="Arial" w:eastAsia="Arial" w:hAnsi="Arial"/>
                <w:sz w:val="14"/>
                <w:szCs w:val="14"/>
                <w:color w:val="auto"/>
              </w:rPr>
              <w:t>No.</w:t>
            </w:r>
          </w:p>
        </w:tc>
        <w:tc>
          <w:tcPr>
            <w:tcW w:w="5420" w:type="dxa"/>
            <w:vAlign w:val="bottom"/>
          </w:tcPr>
          <w:p>
            <w:pPr>
              <w:spacing w:after="0"/>
              <w:rPr>
                <w:sz w:val="14"/>
                <w:szCs w:val="14"/>
                <w:color w:val="auto"/>
              </w:rPr>
            </w:pPr>
          </w:p>
        </w:tc>
        <w:tc>
          <w:tcPr>
            <w:tcW w:w="3260" w:type="dxa"/>
            <w:vAlign w:val="bottom"/>
            <w:gridSpan w:val="2"/>
          </w:tcPr>
          <w:p>
            <w:pPr>
              <w:ind w:left="20"/>
              <w:spacing w:after="0"/>
              <w:rPr>
                <w:sz w:val="20"/>
                <w:szCs w:val="20"/>
                <w:color w:val="auto"/>
              </w:rPr>
            </w:pPr>
            <w:r>
              <w:rPr>
                <w:rFonts w:ascii="Arial" w:cs="Arial" w:eastAsia="Arial" w:hAnsi="Arial"/>
                <w:sz w:val="14"/>
                <w:szCs w:val="14"/>
                <w:color w:val="auto"/>
              </w:rPr>
              <w:t>Description</w:t>
            </w:r>
          </w:p>
        </w:tc>
      </w:tr>
      <w:tr>
        <w:trPr>
          <w:trHeight w:val="20"/>
        </w:trPr>
        <w:tc>
          <w:tcPr>
            <w:tcW w:w="44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318"/>
        </w:trPr>
        <w:tc>
          <w:tcPr>
            <w:tcW w:w="440" w:type="dxa"/>
            <w:vAlign w:val="bottom"/>
          </w:tcPr>
          <w:p>
            <w:pPr>
              <w:jc w:val="right"/>
              <w:ind w:right="42"/>
              <w:spacing w:after="0"/>
              <w:rPr>
                <w:sz w:val="20"/>
                <w:szCs w:val="20"/>
                <w:color w:val="auto"/>
              </w:rPr>
            </w:pPr>
            <w:r>
              <w:rPr>
                <w:rFonts w:ascii="Arial" w:cs="Arial" w:eastAsia="Arial" w:hAnsi="Arial"/>
                <w:sz w:val="18"/>
                <w:szCs w:val="18"/>
                <w:color w:val="auto"/>
                <w:w w:val="85"/>
              </w:rPr>
              <w:t>10.1</w:t>
            </w:r>
          </w:p>
        </w:tc>
        <w:tc>
          <w:tcPr>
            <w:tcW w:w="8680" w:type="dxa"/>
            <w:vAlign w:val="bottom"/>
            <w:gridSpan w:val="3"/>
          </w:tcPr>
          <w:p>
            <w:pPr>
              <w:ind w:left="560"/>
              <w:spacing w:after="0"/>
              <w:rPr>
                <w:sz w:val="20"/>
                <w:szCs w:val="20"/>
                <w:color w:val="auto"/>
              </w:rPr>
            </w:pPr>
            <w:r>
              <w:rPr>
                <w:rFonts w:ascii="Arial" w:cs="Arial" w:eastAsia="Arial" w:hAnsi="Arial"/>
                <w:sz w:val="18"/>
                <w:szCs w:val="18"/>
                <w:color w:val="auto"/>
                <w:w w:val="90"/>
              </w:rPr>
              <w:t>Temporary Employment Agreement, effective as of February 2, 2014, between the Company and John E. Kyees.</w:t>
            </w:r>
          </w:p>
        </w:tc>
      </w:tr>
    </w:tbl>
    <w:p>
      <w:pPr>
        <w:sectPr>
          <w:pgSz w:w="11900" w:h="16838" w:orient="portrait"/>
          <w:cols w:equalWidth="0" w:num="1">
            <w:col w:w="11320"/>
          </w:cols>
          <w:pgMar w:left="240" w:top="27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S. Molloy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Robert S. Molloy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and General Counsel</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2014</w:t>
      </w:r>
    </w:p>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TEMPORARY EMPLOYMENT AGREEMENT</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Temporary Employment Agreement (this “Agreement”) is effective as of February 2, 2014 (the “Effective Date”), by and between Destination XL Group, Inc., a Delaware corporation (the “Company”), with its principal executive offices located at 555 Turnpike Street, Canton, Massachusetts 02021, and John E. Kyees (the “Interim Executive”), having an address of 7300 Lee Road, Westerville, OH 43081.</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225" w:lineRule="exact"/>
        <w:rPr>
          <w:sz w:val="20"/>
          <w:szCs w:val="20"/>
          <w:color w:val="auto"/>
        </w:rPr>
      </w:pPr>
    </w:p>
    <w:p>
      <w:pPr>
        <w:ind w:right="20" w:firstLine="913"/>
        <w:spacing w:after="0" w:line="308" w:lineRule="auto"/>
        <w:rPr>
          <w:sz w:val="20"/>
          <w:szCs w:val="20"/>
          <w:color w:val="auto"/>
        </w:rPr>
      </w:pPr>
      <w:r>
        <w:rPr>
          <w:rFonts w:ascii="Arial" w:cs="Arial" w:eastAsia="Arial" w:hAnsi="Arial"/>
          <w:sz w:val="17"/>
          <w:szCs w:val="17"/>
          <w:color w:val="auto"/>
        </w:rPr>
        <w:t>WHEREAS, the Interim Executive has agreed to come out of retirement to assist the Company as a result of the resignation of its Chief Financial Officer and to serve as the Interim Chief Financial Officer while the Company performs a search for a new Chief Financial Officer;</w:t>
      </w:r>
    </w:p>
    <w:p>
      <w:pPr>
        <w:spacing w:after="0" w:line="147"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319" w:lineRule="exact"/>
        <w:rPr>
          <w:sz w:val="20"/>
          <w:szCs w:val="20"/>
          <w:color w:val="auto"/>
        </w:rPr>
      </w:pPr>
    </w:p>
    <w:p>
      <w:pPr>
        <w:ind w:left="1920" w:hanging="440"/>
        <w:spacing w:after="0"/>
        <w:tabs>
          <w:tab w:leader="none" w:pos="19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117" w:lineRule="exact"/>
        <w:rPr>
          <w:sz w:val="20"/>
          <w:szCs w:val="20"/>
          <w:color w:val="auto"/>
        </w:rPr>
      </w:pPr>
    </w:p>
    <w:p>
      <w:pPr>
        <w:ind w:right="240" w:firstLine="1484"/>
        <w:spacing w:after="0" w:line="264" w:lineRule="auto"/>
        <w:rPr>
          <w:sz w:val="20"/>
          <w:szCs w:val="20"/>
          <w:color w:val="auto"/>
        </w:rPr>
      </w:pPr>
      <w:r>
        <w:rPr>
          <w:rFonts w:ascii="Arial" w:cs="Arial" w:eastAsia="Arial" w:hAnsi="Arial"/>
          <w:sz w:val="18"/>
          <w:szCs w:val="18"/>
          <w:color w:val="auto"/>
        </w:rPr>
        <w:t>The Company hereby employs Interim Executive and Interim Executive hereby accepts such employment, subject to the terms and conditions herein set forth. Interim Executive shall hold the office of Interim Chief Financial Officer reporting to the President and Chief Executive Officer (“CEO”).</w:t>
      </w:r>
    </w:p>
    <w:p>
      <w:pPr>
        <w:spacing w:after="0" w:line="330" w:lineRule="exact"/>
        <w:rPr>
          <w:sz w:val="20"/>
          <w:szCs w:val="20"/>
          <w:color w:val="auto"/>
        </w:rPr>
      </w:pPr>
    </w:p>
    <w:p>
      <w:pPr>
        <w:ind w:left="1920" w:hanging="440"/>
        <w:spacing w:after="0"/>
        <w:tabs>
          <w:tab w:leader="none" w:pos="19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117"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term of employment under this Agreement (the “Term of Employment”) shall run month-to-month, effective as of February 2, 2014 (the “Effective Date”), and shall continue until the Company determines that the Interim Executive’s duties are no longer required (the “Termination Date”).</w:t>
      </w:r>
    </w:p>
    <w:p>
      <w:pPr>
        <w:spacing w:after="0" w:line="272" w:lineRule="exact"/>
        <w:rPr>
          <w:sz w:val="20"/>
          <w:szCs w:val="20"/>
          <w:color w:val="auto"/>
        </w:rPr>
      </w:pPr>
    </w:p>
    <w:p>
      <w:pPr>
        <w:ind w:left="1920" w:hanging="440"/>
        <w:spacing w:after="0"/>
        <w:tabs>
          <w:tab w:leader="none" w:pos="19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p>
    <w:p>
      <w:pPr>
        <w:spacing w:after="0" w:line="117" w:lineRule="exact"/>
        <w:rPr>
          <w:rFonts w:ascii="Arial" w:cs="Arial" w:eastAsia="Arial" w:hAnsi="Arial"/>
          <w:sz w:val="18"/>
          <w:szCs w:val="18"/>
          <w:color w:val="auto"/>
        </w:rPr>
      </w:pPr>
    </w:p>
    <w:p>
      <w:pPr>
        <w:ind w:right="40" w:firstLine="2404"/>
        <w:spacing w:after="0" w:line="259" w:lineRule="auto"/>
        <w:tabs>
          <w:tab w:leader="none" w:pos="2641" w:val="left"/>
        </w:tabs>
        <w:numPr>
          <w:ilvl w:val="1"/>
          <w:numId w:val="4"/>
        </w:numPr>
        <w:rPr>
          <w:rFonts w:ascii="Arial" w:cs="Arial" w:eastAsia="Arial" w:hAnsi="Arial"/>
          <w:sz w:val="18"/>
          <w:szCs w:val="18"/>
          <w:color w:val="auto"/>
        </w:rPr>
      </w:pPr>
      <w:r>
        <w:rPr>
          <w:rFonts w:ascii="Arial" w:cs="Arial" w:eastAsia="Arial" w:hAnsi="Arial"/>
          <w:sz w:val="18"/>
          <w:szCs w:val="18"/>
          <w:color w:val="auto"/>
        </w:rPr>
        <w:t>Subject to the provisions of this Section 3, the consideration to be furnished to the Interim Executive by the Company for the employment services to be rendered by the Interim Executive under this Agreement shall consist of: (i) $3,000 per day; (ii) a rental car; (iii) temporary living quarters; and (iv) the reimbursement of actual and direct out-of-pocket expenses incurred by the Interim Executive in the rendering of services under this Agreement.</w:t>
      </w:r>
    </w:p>
    <w:p>
      <w:pPr>
        <w:spacing w:after="0" w:line="186" w:lineRule="exact"/>
        <w:rPr>
          <w:rFonts w:ascii="Arial" w:cs="Arial" w:eastAsia="Arial" w:hAnsi="Arial"/>
          <w:sz w:val="18"/>
          <w:szCs w:val="18"/>
          <w:color w:val="auto"/>
        </w:rPr>
      </w:pPr>
    </w:p>
    <w:p>
      <w:pPr>
        <w:ind w:right="100" w:firstLine="2404"/>
        <w:spacing w:after="0" w:line="279" w:lineRule="auto"/>
        <w:tabs>
          <w:tab w:leader="none" w:pos="2651" w:val="left"/>
        </w:tabs>
        <w:numPr>
          <w:ilvl w:val="1"/>
          <w:numId w:val="4"/>
        </w:numPr>
        <w:rPr>
          <w:rFonts w:ascii="Arial" w:cs="Arial" w:eastAsia="Arial" w:hAnsi="Arial"/>
          <w:sz w:val="17"/>
          <w:szCs w:val="17"/>
          <w:color w:val="auto"/>
        </w:rPr>
      </w:pPr>
      <w:r>
        <w:rPr>
          <w:rFonts w:ascii="Arial" w:cs="Arial" w:eastAsia="Arial" w:hAnsi="Arial"/>
          <w:sz w:val="17"/>
          <w:szCs w:val="17"/>
          <w:color w:val="auto"/>
        </w:rPr>
        <w:t>During the Term of Employment, Executive shall be entitled to participate in and receive any other benefits customarily provided by the Company to its management (including any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ectPr>
          <w:pgSz w:w="11900" w:h="16838" w:orient="portrait"/>
          <w:cols w:equalWidth="0" w:num="1">
            <w:col w:w="11420"/>
          </w:cols>
          <w:pgMar w:left="240" w:top="121" w:right="239" w:bottom="1440" w:gutter="0" w:footer="0" w:header="0"/>
        </w:sectPr>
      </w:pPr>
    </w:p>
    <w:bookmarkStart w:id="4" w:name="page5"/>
    <w:bookmarkEnd w:id="4"/>
    <w:p>
      <w:pPr>
        <w:ind w:firstLine="2404"/>
        <w:spacing w:after="0" w:line="264" w:lineRule="auto"/>
        <w:tabs>
          <w:tab w:leader="none" w:pos="2641" w:val="left"/>
        </w:tabs>
        <w:numPr>
          <w:ilvl w:val="1"/>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maintain directors and officers liability insurance coverage (which shall include employment practices liability coverage) in a commercially reasonable amount, consistent with prior practice, to indemnify Interim Executive from any claims made against him in his capacity as Interim Chief Financial Officer.</w:t>
      </w:r>
    </w:p>
    <w:p>
      <w:pPr>
        <w:spacing w:after="0" w:line="181" w:lineRule="exact"/>
        <w:rPr>
          <w:rFonts w:ascii="Arial" w:cs="Arial" w:eastAsia="Arial" w:hAnsi="Arial"/>
          <w:sz w:val="18"/>
          <w:szCs w:val="18"/>
          <w:color w:val="auto"/>
        </w:rPr>
      </w:pPr>
    </w:p>
    <w:p>
      <w:pPr>
        <w:ind w:right="20" w:firstLine="2404"/>
        <w:spacing w:after="0" w:line="270" w:lineRule="auto"/>
        <w:tabs>
          <w:tab w:leader="none" w:pos="2651" w:val="left"/>
        </w:tabs>
        <w:numPr>
          <w:ilvl w:val="1"/>
          <w:numId w:val="5"/>
        </w:numPr>
        <w:rPr>
          <w:rFonts w:ascii="Arial" w:cs="Arial" w:eastAsia="Arial" w:hAnsi="Arial"/>
          <w:sz w:val="17"/>
          <w:szCs w:val="17"/>
          <w:color w:val="auto"/>
        </w:rPr>
      </w:pPr>
      <w:r>
        <w:rPr>
          <w:rFonts w:ascii="Arial" w:cs="Arial" w:eastAsia="Arial" w:hAnsi="Arial"/>
          <w:sz w:val="17"/>
          <w:szCs w:val="17"/>
          <w:color w:val="auto"/>
        </w:rPr>
        <w:t>It being the intent of the Company to provide maximum protection available under the law to its officers and directors, the Company shall indemnify the Interim Executive for any of his actions or omissions in his capacity as an officer or director of the Company or any subsidiary or affiliate of the Company, to the full extent the Company is permitted or required to do so by the General Company Law of Delaware as the same exists or hereafter may be amended. Such indemnification shall include payment by the Company, in advance of the final disposition of a civil or criminal action, suit or proceedings, of expenses incurred by Interim Executive, in his capacity as an officer or director of the Company or any subsidiary or affiliate of the Company, in defending any such action, suit or proceeding upon receipt of any undertaking by or on behalf of Interim Executive to repay such payment if it shall ultimately be determined that he is not entitled to be indemnified by the Company. The Company may accept any such undertaking without reference to the financial ability of the Interim Executive to make such repayment. As used in this paragraph, the terms “director” and “officer” include their respective heirs, executors, and administrators.</w:t>
      </w:r>
    </w:p>
    <w:p>
      <w:pPr>
        <w:spacing w:after="0" w:line="330" w:lineRule="exact"/>
        <w:rPr>
          <w:rFonts w:ascii="Arial" w:cs="Arial" w:eastAsia="Arial" w:hAnsi="Arial"/>
          <w:sz w:val="17"/>
          <w:szCs w:val="17"/>
          <w:color w:val="auto"/>
        </w:rPr>
      </w:pPr>
    </w:p>
    <w:p>
      <w:pPr>
        <w:ind w:left="1920" w:hanging="440"/>
        <w:spacing w:after="0"/>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117" w:lineRule="exact"/>
        <w:rPr>
          <w:sz w:val="20"/>
          <w:szCs w:val="20"/>
          <w:color w:val="auto"/>
        </w:rPr>
      </w:pPr>
    </w:p>
    <w:p>
      <w:pPr>
        <w:ind w:firstLine="1940"/>
        <w:spacing w:after="0" w:line="257" w:lineRule="auto"/>
        <w:rPr>
          <w:sz w:val="20"/>
          <w:szCs w:val="20"/>
          <w:color w:val="auto"/>
        </w:rPr>
      </w:pPr>
      <w:r>
        <w:rPr>
          <w:rFonts w:ascii="Arial" w:cs="Arial" w:eastAsia="Arial" w:hAnsi="Arial"/>
          <w:sz w:val="18"/>
          <w:szCs w:val="18"/>
          <w:color w:val="auto"/>
        </w:rPr>
        <w:t>The Company shall pay or reimburse Interim Executive, in accordance with the Company’s policies and procedures and upon presentment of suitable vouchers, for all reasonable business and travel expenses, which may be incurred or paid by Interim Executive during his term of employment in connection with his employment hereunder. Interim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337" w:lineRule="exact"/>
        <w:rPr>
          <w:sz w:val="20"/>
          <w:szCs w:val="20"/>
          <w:color w:val="auto"/>
        </w:rPr>
      </w:pPr>
    </w:p>
    <w:p>
      <w:pPr>
        <w:ind w:left="1920" w:hanging="440"/>
        <w:spacing w:after="0"/>
        <w:tabs>
          <w:tab w:leader="none" w:pos="19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117" w:lineRule="exact"/>
        <w:rPr>
          <w:rFonts w:ascii="Arial" w:cs="Arial" w:eastAsia="Arial" w:hAnsi="Arial"/>
          <w:sz w:val="18"/>
          <w:szCs w:val="18"/>
          <w:color w:val="auto"/>
        </w:rPr>
      </w:pPr>
    </w:p>
    <w:p>
      <w:pPr>
        <w:ind w:right="160" w:firstLine="2404"/>
        <w:spacing w:after="0" w:line="264" w:lineRule="auto"/>
        <w:tabs>
          <w:tab w:leader="none" w:pos="2641" w:val="left"/>
        </w:tabs>
        <w:numPr>
          <w:ilvl w:val="1"/>
          <w:numId w:val="7"/>
        </w:numPr>
        <w:rPr>
          <w:rFonts w:ascii="Arial" w:cs="Arial" w:eastAsia="Arial" w:hAnsi="Arial"/>
          <w:sz w:val="18"/>
          <w:szCs w:val="18"/>
          <w:color w:val="auto"/>
        </w:rPr>
      </w:pPr>
      <w:r>
        <w:rPr>
          <w:rFonts w:ascii="Arial" w:cs="Arial" w:eastAsia="Arial" w:hAnsi="Arial"/>
          <w:sz w:val="18"/>
          <w:szCs w:val="18"/>
          <w:color w:val="auto"/>
        </w:rPr>
        <w:t>Interim Executive shall perform such duties and functions consistent with the position of Chief Financial Officer and/or as the Company shall from time to time determine and Executive shall comply in the performance of his duties with the policies of, and be subject to the direction of, the Company.</w:t>
      </w:r>
    </w:p>
    <w:p>
      <w:pPr>
        <w:spacing w:after="0" w:line="181" w:lineRule="exact"/>
        <w:rPr>
          <w:rFonts w:ascii="Arial" w:cs="Arial" w:eastAsia="Arial" w:hAnsi="Arial"/>
          <w:sz w:val="18"/>
          <w:szCs w:val="18"/>
          <w:color w:val="auto"/>
        </w:rPr>
      </w:pPr>
    </w:p>
    <w:p>
      <w:pPr>
        <w:ind w:right="60" w:firstLine="2404"/>
        <w:spacing w:after="0" w:line="312" w:lineRule="auto"/>
        <w:tabs>
          <w:tab w:leader="none" w:pos="2651" w:val="left"/>
        </w:tabs>
        <w:numPr>
          <w:ilvl w:val="1"/>
          <w:numId w:val="7"/>
        </w:numPr>
        <w:rPr>
          <w:rFonts w:ascii="Arial" w:cs="Arial" w:eastAsia="Arial" w:hAnsi="Arial"/>
          <w:sz w:val="16"/>
          <w:szCs w:val="16"/>
          <w:color w:val="auto"/>
        </w:rPr>
      </w:pPr>
      <w:r>
        <w:rPr>
          <w:rFonts w:ascii="Arial" w:cs="Arial" w:eastAsia="Arial" w:hAnsi="Arial"/>
          <w:sz w:val="16"/>
          <w:szCs w:val="16"/>
          <w:color w:val="auto"/>
        </w:rPr>
        <w:t>During the Term of Employment, Interim Executive shall perform the duties assigned to him with fidelity and to the best of his ability. Notwithstanding anything herein to the contrary, and subject to the foregoing, Interim Executive may engage in other activities so long as such activities do not unreasonably interfere with Interim Executive’s performance of his duties hereunder and do not violate paragraph 6 hereof.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 w:name="page6"/>
    <w:bookmarkEnd w:id="5"/>
    <w:p>
      <w:pPr>
        <w:ind w:left="-40" w:right="180" w:firstLine="2404"/>
        <w:spacing w:after="0" w:line="259" w:lineRule="auto"/>
        <w:tabs>
          <w:tab w:leader="none" w:pos="2601" w:val="left"/>
        </w:tabs>
        <w:numPr>
          <w:ilvl w:val="2"/>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principal location at which the Interim Executive shall perform his duties hereunder shall be at the Company’s offices in Canton, Massachusetts or at such other location as may be temporarily designated from time to time by the Company. Notwithstanding the foregoing, Interim Executive shall perform such services at such other locations as may be required for the proper performance of his duties hereunder, and Interim Executive recognizes that such duties may involve travel.</w:t>
      </w:r>
    </w:p>
    <w:p>
      <w:pPr>
        <w:spacing w:after="0" w:line="186" w:lineRule="exact"/>
        <w:rPr>
          <w:rFonts w:ascii="Arial" w:cs="Arial" w:eastAsia="Arial" w:hAnsi="Arial"/>
          <w:sz w:val="18"/>
          <w:szCs w:val="18"/>
          <w:color w:val="auto"/>
        </w:rPr>
      </w:pPr>
    </w:p>
    <w:p>
      <w:pPr>
        <w:ind w:left="-40" w:right="340" w:firstLine="2404"/>
        <w:spacing w:after="0" w:line="312" w:lineRule="auto"/>
        <w:tabs>
          <w:tab w:leader="none" w:pos="2611" w:val="left"/>
        </w:tabs>
        <w:numPr>
          <w:ilvl w:val="2"/>
          <w:numId w:val="8"/>
        </w:numPr>
        <w:rPr>
          <w:rFonts w:ascii="Arial" w:cs="Arial" w:eastAsia="Arial" w:hAnsi="Arial"/>
          <w:sz w:val="16"/>
          <w:szCs w:val="16"/>
          <w:color w:val="auto"/>
        </w:rPr>
      </w:pPr>
      <w:r>
        <w:rPr>
          <w:rFonts w:ascii="Arial" w:cs="Arial" w:eastAsia="Arial" w:hAnsi="Arial"/>
          <w:sz w:val="16"/>
          <w:szCs w:val="16"/>
          <w:color w:val="auto"/>
        </w:rPr>
        <w:t>Nothing in this paragraph 5 or elsewhere in this Agreement shall be construed to prevent Interim Executive from investing or trading in nonconflicting investments as he sees fit for his own account, including real estate, stocks, bonds, securities, commodities or other forms of investments, provided such activities do not unreasonably interfere with Interim Executive’s performance of his duties hereunder.</w:t>
      </w:r>
    </w:p>
    <w:p>
      <w:pPr>
        <w:spacing w:after="0" w:line="295" w:lineRule="exact"/>
        <w:rPr>
          <w:rFonts w:ascii="Arial" w:cs="Arial" w:eastAsia="Arial" w:hAnsi="Arial"/>
          <w:sz w:val="16"/>
          <w:szCs w:val="16"/>
          <w:color w:val="auto"/>
        </w:rPr>
      </w:pPr>
    </w:p>
    <w:p>
      <w:pPr>
        <w:ind w:left="1880" w:hanging="440"/>
        <w:spacing w:after="0"/>
        <w:tabs>
          <w:tab w:leader="none" w:pos="18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117" w:lineRule="exact"/>
        <w:rPr>
          <w:rFonts w:ascii="Arial" w:cs="Arial" w:eastAsia="Arial" w:hAnsi="Arial"/>
          <w:sz w:val="18"/>
          <w:szCs w:val="18"/>
          <w:color w:val="auto"/>
        </w:rPr>
      </w:pPr>
    </w:p>
    <w:p>
      <w:pPr>
        <w:ind w:left="-40" w:firstLine="1492"/>
        <w:spacing w:after="0" w:line="287" w:lineRule="auto"/>
        <w:tabs>
          <w:tab w:leader="none" w:pos="1688" w:val="left"/>
        </w:tabs>
        <w:numPr>
          <w:ilvl w:val="1"/>
          <w:numId w:val="9"/>
        </w:numPr>
        <w:rPr>
          <w:rFonts w:ascii="Arial" w:cs="Arial" w:eastAsia="Arial" w:hAnsi="Arial"/>
          <w:sz w:val="16"/>
          <w:szCs w:val="16"/>
          <w:color w:val="auto"/>
        </w:rPr>
      </w:pPr>
      <w:r>
        <w:rPr>
          <w:rFonts w:ascii="Arial" w:cs="Arial" w:eastAsia="Arial" w:hAnsi="Arial"/>
          <w:sz w:val="16"/>
          <w:szCs w:val="16"/>
          <w:color w:val="auto"/>
        </w:rPr>
        <w:t>Interim Executive agrees that during the Term of Employment and during the one (1) year period immediately following the Termination Date (the “Non-Competitive Period”), Interim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or affiliates, in any geographic area in which the Company or any of its subsidiaries or affiliates are then conducting or proposing to conduct business, including, without limitation, the United States of America and its possessions, Canada and Europe; provided, however, that Interim Executive may own any securities of any corporation which is engaged in such business and is publicly owned and traded but in an amount not to exceed at any one time one percent (1%) of any class of stock or securities of such corporation. In addition, Interim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for less than 12 months) of the Company or any of its subsidiaries or affiliates.</w:t>
      </w:r>
    </w:p>
    <w:p>
      <w:pPr>
        <w:spacing w:after="0" w:line="168" w:lineRule="exact"/>
        <w:rPr>
          <w:rFonts w:ascii="Arial" w:cs="Arial" w:eastAsia="Arial" w:hAnsi="Arial"/>
          <w:sz w:val="16"/>
          <w:szCs w:val="16"/>
          <w:color w:val="auto"/>
        </w:rPr>
      </w:pPr>
    </w:p>
    <w:p>
      <w:pPr>
        <w:ind w:left="-40" w:right="60" w:firstLine="2404"/>
        <w:spacing w:after="0" w:line="257" w:lineRule="auto"/>
        <w:tabs>
          <w:tab w:leader="none" w:pos="2611" w:val="left"/>
        </w:tabs>
        <w:numPr>
          <w:ilvl w:val="2"/>
          <w:numId w:val="9"/>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paragraph 6 should, for any reason whatsoever, be declared invalid by a court of competent jurisdiction, the validity or enforceability of the remainder of such restrictions shall not thereby be adversely affected. For the purposes of this paragraph 6, a business competitive with the products and services of the Company (or such subsidiaries or affiliates) is limited to a specialty retailer which primarily distributes, sells or markets so-called “big and tall” apparel of any kind for men or which utilizes the “big and tall” retail or wholesale marketing concept as part of its business.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74" w:right="279" w:bottom="1440" w:gutter="0" w:footer="0" w:header="0"/>
        </w:sectPr>
      </w:pPr>
    </w:p>
    <w:bookmarkStart w:id="6" w:name="page7"/>
    <w:bookmarkEnd w:id="6"/>
    <w:p>
      <w:pPr>
        <w:ind w:left="1920" w:hanging="440"/>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NON-DISCLOSURE OF CONFIDENTIAL INFORMATION</w:t>
      </w:r>
    </w:p>
    <w:p>
      <w:pPr>
        <w:spacing w:after="0" w:line="117" w:lineRule="exact"/>
        <w:rPr>
          <w:rFonts w:ascii="Arial" w:cs="Arial" w:eastAsia="Arial" w:hAnsi="Arial"/>
          <w:sz w:val="18"/>
          <w:szCs w:val="18"/>
          <w:color w:val="auto"/>
        </w:rPr>
      </w:pPr>
    </w:p>
    <w:p>
      <w:pPr>
        <w:ind w:firstLine="2404"/>
        <w:spacing w:after="0" w:line="286" w:lineRule="auto"/>
        <w:tabs>
          <w:tab w:leader="none" w:pos="2641" w:val="left"/>
        </w:tabs>
        <w:numPr>
          <w:ilvl w:val="1"/>
          <w:numId w:val="10"/>
        </w:numPr>
        <w:rPr>
          <w:rFonts w:ascii="Arial" w:cs="Arial" w:eastAsia="Arial" w:hAnsi="Arial"/>
          <w:sz w:val="16"/>
          <w:szCs w:val="16"/>
          <w:color w:val="auto"/>
        </w:rPr>
      </w:pPr>
      <w:r>
        <w:rPr>
          <w:rFonts w:ascii="Arial" w:cs="Arial" w:eastAsia="Arial" w:hAnsi="Arial"/>
          <w:sz w:val="16"/>
          <w:szCs w:val="16"/>
          <w:color w:val="auto"/>
        </w:rPr>
        <w:t>Interim Executive acknowledges that the Company possesses certain confidential and propriety information that has been or may be revealed to him or learned by Interim Executive during the course of Interim Executive’s employment with the Company and that it would be unfair to use that information or knowledge to compete with or to otherwise disadvantage the Company. Interim 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as required by law (in which case Interim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7(a) by Interim Executive.</w:t>
      </w:r>
    </w:p>
    <w:p>
      <w:pPr>
        <w:spacing w:after="0" w:line="168" w:lineRule="exact"/>
        <w:rPr>
          <w:rFonts w:ascii="Arial" w:cs="Arial" w:eastAsia="Arial" w:hAnsi="Arial"/>
          <w:sz w:val="16"/>
          <w:szCs w:val="16"/>
          <w:color w:val="auto"/>
        </w:rPr>
      </w:pPr>
    </w:p>
    <w:p>
      <w:pPr>
        <w:ind w:right="120" w:firstLine="2404"/>
        <w:spacing w:after="0" w:line="257" w:lineRule="auto"/>
        <w:tabs>
          <w:tab w:leader="none" w:pos="2651"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information and documents relating to the Company and its subsidiaries or affiliates as herein above described (or other business affairs) shall be the exclusive property of the Company, and Interim Executive shall use commercially reasonable best efforts to prevent any unauthorized publication or disclosure thereof. Upon termination of Interim Executive’s employment with the Company, all documents, records, reports, writings and other similar documents containing confidential information, including copies thereof then in Interim Executive’s possession or control shall be returned and left with the Company.</w:t>
      </w:r>
    </w:p>
    <w:p>
      <w:pPr>
        <w:spacing w:after="0" w:line="336" w:lineRule="exact"/>
        <w:rPr>
          <w:rFonts w:ascii="Arial" w:cs="Arial" w:eastAsia="Arial" w:hAnsi="Arial"/>
          <w:sz w:val="18"/>
          <w:szCs w:val="18"/>
          <w:color w:val="auto"/>
        </w:rPr>
      </w:pPr>
    </w:p>
    <w:p>
      <w:pPr>
        <w:ind w:left="1920" w:hanging="440"/>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Interim Executive agrees that if he breaches, or threatens to commit a breach of, any enforceable provision of paragraphs 6 or 7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Interim Executive of his right to contest whether such a breach or threatened breach of any Restrictive Covenant has occurred. In the event of litigation between the parties to this Agreement regarding their respective rights and obligations under paragraphs 6 or 7 hereof, the prevailing party shall be entitled to recover from the other all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7" w:name="page8"/>
    <w:bookmarkEnd w:id="7"/>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319" w:lineRule="exact"/>
        <w:rPr>
          <w:sz w:val="20"/>
          <w:szCs w:val="20"/>
          <w:color w:val="auto"/>
        </w:rPr>
      </w:pPr>
    </w:p>
    <w:p>
      <w:pPr>
        <w:ind w:left="1920" w:hanging="440"/>
        <w:spacing w:after="0"/>
        <w:tabs>
          <w:tab w:leader="none" w:pos="19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w:t>
      </w:r>
    </w:p>
    <w:p>
      <w:pPr>
        <w:spacing w:after="0" w:line="374" w:lineRule="exact"/>
        <w:rPr>
          <w:sz w:val="20"/>
          <w:szCs w:val="20"/>
          <w:color w:val="auto"/>
        </w:rPr>
      </w:pPr>
    </w:p>
    <w:p>
      <w:pPr>
        <w:ind w:left="1920" w:hanging="440"/>
        <w:spacing w:after="0"/>
        <w:tabs>
          <w:tab w:leader="none" w:pos="19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117" w:lineRule="exact"/>
        <w:rPr>
          <w:sz w:val="20"/>
          <w:szCs w:val="20"/>
          <w:color w:val="auto"/>
        </w:rPr>
      </w:pPr>
    </w:p>
    <w:p>
      <w:pPr>
        <w:ind w:right="320" w:firstLine="1484"/>
        <w:spacing w:after="0" w:line="277"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319" w:lineRule="exact"/>
        <w:rPr>
          <w:sz w:val="20"/>
          <w:szCs w:val="20"/>
          <w:color w:val="auto"/>
        </w:rPr>
      </w:pPr>
    </w:p>
    <w:p>
      <w:pPr>
        <w:ind w:left="1920" w:hanging="440"/>
        <w:spacing w:after="0"/>
        <w:tabs>
          <w:tab w:leader="none" w:pos="19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117" w:lineRule="exact"/>
        <w:rPr>
          <w:sz w:val="20"/>
          <w:szCs w:val="20"/>
          <w:color w:val="auto"/>
        </w:rPr>
      </w:pPr>
    </w:p>
    <w:p>
      <w:pPr>
        <w:ind w:right="200" w:firstLine="1484"/>
        <w:spacing w:after="0" w:line="277"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319" w:lineRule="exact"/>
        <w:rPr>
          <w:sz w:val="20"/>
          <w:szCs w:val="20"/>
          <w:color w:val="auto"/>
        </w:rPr>
      </w:pPr>
    </w:p>
    <w:p>
      <w:pPr>
        <w:ind w:left="1920" w:hanging="440"/>
        <w:spacing w:after="0"/>
        <w:tabs>
          <w:tab w:leader="none" w:pos="19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117" w:lineRule="exact"/>
        <w:rPr>
          <w:sz w:val="20"/>
          <w:szCs w:val="20"/>
          <w:color w:val="auto"/>
        </w:rPr>
      </w:pPr>
    </w:p>
    <w:p>
      <w:pPr>
        <w:ind w:right="60" w:firstLine="1484"/>
        <w:spacing w:after="0" w:line="264"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event mail.</w:t>
      </w:r>
    </w:p>
    <w:p>
      <w:pPr>
        <w:spacing w:after="0" w:line="330" w:lineRule="exact"/>
        <w:rPr>
          <w:sz w:val="20"/>
          <w:szCs w:val="20"/>
          <w:color w:val="auto"/>
        </w:rPr>
      </w:pPr>
    </w:p>
    <w:p>
      <w:pPr>
        <w:ind w:left="1920" w:hanging="440"/>
        <w:spacing w:after="0"/>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117" w:lineRule="exact"/>
        <w:rPr>
          <w:sz w:val="20"/>
          <w:szCs w:val="20"/>
          <w:color w:val="auto"/>
        </w:rPr>
      </w:pPr>
    </w:p>
    <w:p>
      <w:pPr>
        <w:ind w:right="120" w:firstLine="1484"/>
        <w:spacing w:after="0" w:line="277" w:lineRule="auto"/>
        <w:rPr>
          <w:sz w:val="20"/>
          <w:szCs w:val="20"/>
          <w:color w:val="auto"/>
        </w:rPr>
      </w:pPr>
      <w:r>
        <w:rPr>
          <w:rFonts w:ascii="Arial" w:cs="Arial" w:eastAsia="Arial" w:hAnsi="Arial"/>
          <w:sz w:val="18"/>
          <w:szCs w:val="18"/>
          <w:color w:val="auto"/>
        </w:rPr>
        <w:t>It is agreed that a waiver by either party of a breach of any provision of this Agreement shall not operate, or be construed as a waiver of any subsequent breach by that same party.</w:t>
      </w:r>
    </w:p>
    <w:p>
      <w:pPr>
        <w:spacing w:after="0" w:line="319" w:lineRule="exact"/>
        <w:rPr>
          <w:sz w:val="20"/>
          <w:szCs w:val="20"/>
          <w:color w:val="auto"/>
        </w:rPr>
      </w:pPr>
    </w:p>
    <w:p>
      <w:pPr>
        <w:ind w:left="1920" w:hanging="440"/>
        <w:spacing w:after="0"/>
        <w:tabs>
          <w:tab w:leader="none" w:pos="19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117" w:lineRule="exact"/>
        <w:rPr>
          <w:sz w:val="20"/>
          <w:szCs w:val="20"/>
          <w:color w:val="auto"/>
        </w:rPr>
      </w:pPr>
    </w:p>
    <w:p>
      <w:pPr>
        <w:ind w:right="20" w:firstLine="1484"/>
        <w:spacing w:after="0" w:line="264" w:lineRule="auto"/>
        <w:rPr>
          <w:sz w:val="20"/>
          <w:szCs w:val="20"/>
          <w:color w:val="auto"/>
        </w:rPr>
      </w:pPr>
      <w:r>
        <w:rPr>
          <w:rFonts w:ascii="Arial" w:cs="Arial" w:eastAsia="Arial" w:hAnsi="Arial"/>
          <w:sz w:val="18"/>
          <w:szCs w:val="18"/>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8" w:name="page9"/>
    <w:bookmarkEnd w:id="8"/>
    <w:p>
      <w:pPr>
        <w:ind w:left="1500" w:right="6720" w:hanging="20"/>
        <w:spacing w:after="0" w:line="397" w:lineRule="auto"/>
        <w:tabs>
          <w:tab w:leader="none" w:pos="1934"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SUBSIDIARIES AND AFFILIATES </w:t>
      </w:r>
      <w:r>
        <w:rPr>
          <w:rFonts w:ascii="Arial" w:cs="Arial" w:eastAsia="Arial" w:hAnsi="Arial"/>
          <w:sz w:val="17"/>
          <w:szCs w:val="17"/>
          <w:color w:val="auto"/>
        </w:rPr>
        <w:t>For purposes of this Agreement:</w:t>
      </w:r>
    </w:p>
    <w:p>
      <w:pPr>
        <w:spacing w:after="0" w:line="1" w:lineRule="exact"/>
        <w:rPr>
          <w:rFonts w:ascii="Arial" w:cs="Arial" w:eastAsia="Arial" w:hAnsi="Arial"/>
          <w:sz w:val="17"/>
          <w:szCs w:val="17"/>
          <w:color w:val="auto"/>
        </w:rPr>
      </w:pPr>
    </w:p>
    <w:p>
      <w:pPr>
        <w:jc w:val="both"/>
        <w:ind w:firstLine="2404"/>
        <w:spacing w:after="0" w:line="264" w:lineRule="auto"/>
        <w:tabs>
          <w:tab w:leader="none" w:pos="264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181" w:lineRule="exact"/>
        <w:rPr>
          <w:rFonts w:ascii="Arial" w:cs="Arial" w:eastAsia="Arial" w:hAnsi="Arial"/>
          <w:sz w:val="18"/>
          <w:szCs w:val="18"/>
          <w:color w:val="auto"/>
        </w:rPr>
      </w:pPr>
    </w:p>
    <w:p>
      <w:pPr>
        <w:ind w:right="20" w:firstLine="2404"/>
        <w:spacing w:after="0" w:line="259" w:lineRule="auto"/>
        <w:tabs>
          <w:tab w:leader="none" w:pos="2651" w:val="left"/>
        </w:tabs>
        <w:numPr>
          <w:ilvl w:val="1"/>
          <w:numId w:val="17"/>
        </w:numPr>
        <w:rPr>
          <w:rFonts w:ascii="Arial" w:cs="Arial" w:eastAsia="Arial" w:hAnsi="Arial"/>
          <w:sz w:val="18"/>
          <w:szCs w:val="18"/>
          <w:color w:val="auto"/>
        </w:rPr>
      </w:pPr>
      <w:r>
        <w:rPr>
          <w:rFonts w:ascii="Arial" w:cs="Arial" w:eastAsia="Arial" w:hAnsi="Arial"/>
          <w:sz w:val="18"/>
          <w:szCs w:val="18"/>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335" w:lineRule="exact"/>
        <w:rPr>
          <w:rFonts w:ascii="Arial" w:cs="Arial" w:eastAsia="Arial" w:hAnsi="Arial"/>
          <w:sz w:val="18"/>
          <w:szCs w:val="18"/>
          <w:color w:val="auto"/>
        </w:rPr>
      </w:pPr>
    </w:p>
    <w:p>
      <w:pPr>
        <w:ind w:left="1920" w:hanging="440"/>
        <w:spacing w:after="0"/>
        <w:tabs>
          <w:tab w:leader="none" w:pos="19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117" w:lineRule="exact"/>
        <w:rPr>
          <w:sz w:val="20"/>
          <w:szCs w:val="20"/>
          <w:color w:val="auto"/>
        </w:rPr>
      </w:pPr>
    </w:p>
    <w:p>
      <w:pPr>
        <w:ind w:right="340" w:firstLine="1484"/>
        <w:spacing w:after="0" w:line="277" w:lineRule="auto"/>
        <w:rPr>
          <w:sz w:val="20"/>
          <w:szCs w:val="20"/>
          <w:color w:val="auto"/>
        </w:rPr>
      </w:pPr>
      <w:r>
        <w:rPr>
          <w:rFonts w:ascii="Arial" w:cs="Arial" w:eastAsia="Arial" w:hAnsi="Arial"/>
          <w:sz w:val="18"/>
          <w:szCs w:val="18"/>
          <w:color w:val="auto"/>
        </w:rPr>
        <w:t>The paragraph headings appearing in this Agreement are for the purposes of easy reference and shall not be considered a part of this Agreement or in any way modify, amend or affect its provisions.</w:t>
      </w:r>
    </w:p>
    <w:p>
      <w:pPr>
        <w:spacing w:after="0" w:line="319" w:lineRule="exact"/>
        <w:rPr>
          <w:sz w:val="20"/>
          <w:szCs w:val="20"/>
          <w:color w:val="auto"/>
        </w:rPr>
      </w:pPr>
    </w:p>
    <w:p>
      <w:pPr>
        <w:ind w:left="1920" w:hanging="440"/>
        <w:spacing w:after="0"/>
        <w:tabs>
          <w:tab w:leader="none" w:pos="19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117" w:lineRule="exact"/>
        <w:rPr>
          <w:sz w:val="20"/>
          <w:szCs w:val="20"/>
          <w:color w:val="auto"/>
        </w:rPr>
      </w:pPr>
    </w:p>
    <w:p>
      <w:pPr>
        <w:ind w:right="40" w:firstLine="1484"/>
        <w:spacing w:after="0" w:line="277"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319" w:lineRule="exact"/>
        <w:rPr>
          <w:sz w:val="20"/>
          <w:szCs w:val="20"/>
          <w:color w:val="auto"/>
        </w:rPr>
      </w:pPr>
    </w:p>
    <w:p>
      <w:pPr>
        <w:ind w:left="1920" w:hanging="440"/>
        <w:spacing w:after="0"/>
        <w:tabs>
          <w:tab w:leader="none" w:pos="19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117" w:lineRule="exact"/>
        <w:rPr>
          <w:sz w:val="20"/>
          <w:szCs w:val="20"/>
          <w:color w:val="auto"/>
        </w:rPr>
      </w:pPr>
    </w:p>
    <w:p>
      <w:pPr>
        <w:ind w:right="220" w:firstLine="1484"/>
        <w:spacing w:after="0" w:line="308" w:lineRule="auto"/>
        <w:rPr>
          <w:sz w:val="20"/>
          <w:szCs w:val="20"/>
          <w:color w:val="auto"/>
        </w:rPr>
      </w:pPr>
      <w:r>
        <w:rPr>
          <w:rFonts w:ascii="Arial" w:cs="Arial" w:eastAsia="Arial" w:hAnsi="Arial"/>
          <w:sz w:val="17"/>
          <w:szCs w:val="17"/>
          <w:color w:val="auto"/>
        </w:rPr>
        <w:t>Except as otherwise expressly provided herein, the termination of Interim Executive’s employment hereunder or the expiration of this Agreement shall not affect the enforceability of paragraphs 6 through 18 hereof, which shall survive such termination or expiration.</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74" w:right="31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Agreement, under seal, as of the date and year first above written.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T. PORTER, JR.</w:t>
            </w:r>
          </w:p>
        </w:tc>
        <w:tc>
          <w:tcPr>
            <w:tcW w:w="2280" w:type="dxa"/>
            <w:vAlign w:val="bottom"/>
          </w:tcPr>
          <w:p>
            <w:pPr>
              <w:ind w:left="780"/>
              <w:spacing w:after="0"/>
              <w:rPr>
                <w:sz w:val="20"/>
                <w:szCs w:val="20"/>
                <w:color w:val="auto"/>
              </w:rPr>
            </w:pPr>
            <w:r>
              <w:rPr>
                <w:rFonts w:ascii="Arial" w:cs="Arial" w:eastAsia="Arial" w:hAnsi="Arial"/>
                <w:sz w:val="18"/>
                <w:szCs w:val="18"/>
                <w:color w:val="auto"/>
                <w:w w:val="90"/>
              </w:rPr>
              <w:t>Date: March 5, 2014</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George T. Porter, Jr.</w:t>
            </w:r>
          </w:p>
        </w:tc>
        <w:tc>
          <w:tcPr>
            <w:tcW w:w="228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Its:</w:t>
            </w:r>
          </w:p>
        </w:tc>
        <w:tc>
          <w:tcPr>
            <w:tcW w:w="5020" w:type="dxa"/>
            <w:vAlign w:val="bottom"/>
          </w:tcPr>
          <w:p>
            <w:pPr>
              <w:spacing w:after="0"/>
              <w:rPr>
                <w:sz w:val="20"/>
                <w:szCs w:val="20"/>
                <w:color w:val="auto"/>
              </w:rPr>
            </w:pPr>
            <w:r>
              <w:rPr>
                <w:rFonts w:ascii="Arial" w:cs="Arial" w:eastAsia="Arial" w:hAnsi="Arial"/>
                <w:sz w:val="18"/>
                <w:szCs w:val="18"/>
                <w:color w:val="auto"/>
              </w:rPr>
              <w:t>Chairman of the Compensation Committee</w:t>
            </w:r>
          </w:p>
        </w:tc>
        <w:tc>
          <w:tcPr>
            <w:tcW w:w="2280" w:type="dxa"/>
            <w:vAlign w:val="bottom"/>
          </w:tcPr>
          <w:p>
            <w:pPr>
              <w:spacing w:after="0"/>
              <w:rPr>
                <w:sz w:val="20"/>
                <w:szCs w:val="20"/>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c>
          <w:tcPr>
            <w:tcW w:w="2280" w:type="dxa"/>
            <w:vAlign w:val="bottom"/>
          </w:tcPr>
          <w:p>
            <w:pPr>
              <w:ind w:left="780"/>
              <w:spacing w:after="0"/>
              <w:rPr>
                <w:sz w:val="20"/>
                <w:szCs w:val="20"/>
                <w:color w:val="auto"/>
              </w:rPr>
            </w:pPr>
            <w:r>
              <w:rPr>
                <w:rFonts w:ascii="Arial" w:cs="Arial" w:eastAsia="Arial" w:hAnsi="Arial"/>
                <w:sz w:val="18"/>
                <w:szCs w:val="18"/>
                <w:color w:val="auto"/>
                <w:w w:val="90"/>
              </w:rPr>
              <w:t>Date: March 4, 2014</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David A. Levin</w:t>
            </w:r>
          </w:p>
        </w:tc>
        <w:tc>
          <w:tcPr>
            <w:tcW w:w="228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Its:</w:t>
            </w:r>
          </w:p>
        </w:tc>
        <w:tc>
          <w:tcPr>
            <w:tcW w:w="5020" w:type="dxa"/>
            <w:vAlign w:val="bottom"/>
          </w:tcPr>
          <w:p>
            <w:pPr>
              <w:spacing w:after="0"/>
              <w:rPr>
                <w:sz w:val="20"/>
                <w:szCs w:val="20"/>
                <w:color w:val="auto"/>
              </w:rPr>
            </w:pPr>
            <w:r>
              <w:rPr>
                <w:rFonts w:ascii="Arial" w:cs="Arial" w:eastAsia="Arial" w:hAnsi="Arial"/>
                <w:sz w:val="18"/>
                <w:szCs w:val="18"/>
                <w:color w:val="auto"/>
              </w:rPr>
              <w:t>President, CEO</w:t>
            </w:r>
          </w:p>
        </w:tc>
        <w:tc>
          <w:tcPr>
            <w:tcW w:w="2280" w:type="dxa"/>
            <w:vAlign w:val="bottom"/>
          </w:tcPr>
          <w:p>
            <w:pPr>
              <w:spacing w:after="0"/>
              <w:rPr>
                <w:sz w:val="20"/>
                <w:szCs w:val="20"/>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INTERIM EXECUTIVE</w:t>
            </w:r>
          </w:p>
        </w:tc>
        <w:tc>
          <w:tcPr>
            <w:tcW w:w="2280" w:type="dxa"/>
            <w:vAlign w:val="bottom"/>
          </w:tcPr>
          <w:p>
            <w:pPr>
              <w:spacing w:after="0"/>
              <w:rPr>
                <w:sz w:val="24"/>
                <w:szCs w:val="24"/>
                <w:color w:val="auto"/>
              </w:rPr>
            </w:pPr>
          </w:p>
        </w:tc>
      </w:tr>
      <w:tr>
        <w:trPr>
          <w:trHeight w:val="432"/>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E. KYEES</w:t>
            </w:r>
          </w:p>
        </w:tc>
        <w:tc>
          <w:tcPr>
            <w:tcW w:w="2280" w:type="dxa"/>
            <w:vAlign w:val="bottom"/>
          </w:tcPr>
          <w:p>
            <w:pPr>
              <w:ind w:left="780"/>
              <w:spacing w:after="0"/>
              <w:rPr>
                <w:sz w:val="20"/>
                <w:szCs w:val="20"/>
                <w:color w:val="auto"/>
              </w:rPr>
            </w:pPr>
            <w:r>
              <w:rPr>
                <w:rFonts w:ascii="Arial" w:cs="Arial" w:eastAsia="Arial" w:hAnsi="Arial"/>
                <w:sz w:val="18"/>
                <w:szCs w:val="18"/>
                <w:color w:val="auto"/>
                <w:w w:val="90"/>
              </w:rPr>
              <w:t>Date: March 3, 2014</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John E. Kyees</w:t>
            </w:r>
          </w:p>
        </w:tc>
        <w:tc>
          <w:tcPr>
            <w:tcW w:w="2280" w:type="dxa"/>
            <w:vAlign w:val="bottom"/>
          </w:tcPr>
          <w:p>
            <w:pPr>
              <w:spacing w:after="0"/>
              <w:rPr>
                <w:sz w:val="19"/>
                <w:szCs w:val="19"/>
                <w:color w:val="auto"/>
              </w:rPr>
            </w:pPr>
          </w:p>
        </w:tc>
      </w:tr>
      <w:tr>
        <w:trPr>
          <w:trHeight w:val="364"/>
        </w:trPr>
        <w:tc>
          <w:tcPr>
            <w:tcW w:w="6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280" w:type="dxa"/>
            <w:vAlign w:val="bottom"/>
          </w:tcPr>
          <w:p>
            <w:pPr>
              <w:jc w:val="right"/>
              <w:ind w:right="2050"/>
              <w:spacing w:after="0"/>
              <w:rPr>
                <w:sz w:val="20"/>
                <w:szCs w:val="20"/>
                <w:color w:val="auto"/>
              </w:rPr>
            </w:pPr>
            <w:r>
              <w:rPr>
                <w:rFonts w:ascii="Arial" w:cs="Arial" w:eastAsia="Arial" w:hAnsi="Arial"/>
                <w:sz w:val="18"/>
                <w:szCs w:val="18"/>
                <w:color w:val="auto"/>
              </w:rPr>
              <w:t>7</w:t>
            </w:r>
          </w:p>
        </w:tc>
      </w:tr>
    </w:tbl>
    <w:p>
      <w:pPr>
        <w:spacing w:after="0" w:line="1" w:lineRule="exact"/>
        <w:rPr>
          <w:sz w:val="20"/>
          <w:szCs w:val="20"/>
          <w:color w:val="auto"/>
        </w:rPr>
      </w:pP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abstractNum>
  <w:abstractNum w:abstractNumId="3">
    <w:nsid w:val="1190CDE7"/>
    <w:multiLevelType w:val="hybridMultilevel"/>
    <w:lvl w:ilvl="0">
      <w:lvlJc w:val="left"/>
      <w:lvlText w:val="%1."/>
      <w:numFmt w:val="decimal"/>
      <w:start w:val="3"/>
    </w:lvl>
    <w:lvl w:ilvl="1">
      <w:lvlJc w:val="left"/>
      <w:lvlText w:val="(%2)"/>
      <w:numFmt w:val="lowerLetter"/>
      <w:start w:val="1"/>
    </w:lvl>
  </w:abstractNum>
  <w:abstractNum w:abstractNumId="4">
    <w:nsid w:val="66EF438D"/>
    <w:multiLevelType w:val="hybridMultilevel"/>
    <w:lvl w:ilvl="0">
      <w:lvlJc w:val="left"/>
      <w:lvlText w:val="%1"/>
      <w:numFmt w:val="decimal"/>
      <w:start w:val="1"/>
    </w:lvl>
    <w:lvl w:ilvl="1">
      <w:lvlJc w:val="left"/>
      <w:lvlText w:val="(%2)"/>
      <w:numFmt w:val="lowerLetter"/>
      <w:start w:val="3"/>
    </w:lvl>
  </w:abstractNum>
  <w:abstractNum w:abstractNumId="5">
    <w:nsid w:val="140E0F76"/>
    <w:multiLevelType w:val="hybridMultilevel"/>
    <w:lvl w:ilvl="0">
      <w:lvlJc w:val="left"/>
      <w:lvlText w:val="%1."/>
      <w:numFmt w:val="decimal"/>
      <w:start w:val="4"/>
    </w:lvl>
    <w:lvl w:ilvl="1">
      <w:lvlJc w:val="left"/>
      <w:lvlText w:val="%2"/>
      <w:numFmt w:val="lowerLetter"/>
      <w:start w:val="1"/>
    </w:lvl>
  </w:abstractNum>
  <w:abstractNum w:abstractNumId="6">
    <w:nsid w:val="3352255A"/>
    <w:multiLevelType w:val="hybridMultilevel"/>
    <w:lvl w:ilvl="0">
      <w:lvlJc w:val="left"/>
      <w:lvlText w:val="%1."/>
      <w:numFmt w:val="decimal"/>
      <w:start w:val="5"/>
    </w:lvl>
    <w:lvl w:ilvl="1">
      <w:lvlJc w:val="left"/>
      <w:lvlText w:val="(%2)"/>
      <w:numFmt w:val="lowerLetter"/>
      <w:start w:val="1"/>
    </w:lvl>
  </w:abstractNum>
  <w:abstractNum w:abstractNumId="7">
    <w:nsid w:val="109CF92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8">
    <w:nsid w:val="DED7263"/>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2"/>
    </w:lvl>
  </w:abstractNum>
  <w:abstractNum w:abstractNumId="9">
    <w:nsid w:val="7FDCC233"/>
    <w:multiLevelType w:val="hybridMultilevel"/>
    <w:lvl w:ilvl="0">
      <w:lvlJc w:val="left"/>
      <w:lvlText w:val="%1."/>
      <w:numFmt w:val="decimal"/>
      <w:start w:val="7"/>
    </w:lvl>
    <w:lvl w:ilvl="1">
      <w:lvlJc w:val="left"/>
      <w:lvlText w:val="(%2)"/>
      <w:numFmt w:val="lowerLetter"/>
      <w:start w:val="1"/>
    </w:lvl>
  </w:abstractNum>
  <w:abstractNum w:abstractNumId="10">
    <w:nsid w:val="1BEFD79F"/>
    <w:multiLevelType w:val="hybridMultilevel"/>
    <w:lvl w:ilvl="0">
      <w:lvlJc w:val="left"/>
      <w:lvlText w:val="%1."/>
      <w:numFmt w:val="decimal"/>
      <w:start w:val="9"/>
    </w:lvl>
  </w:abstractNum>
  <w:abstractNum w:abstractNumId="11">
    <w:nsid w:val="41A7C4C9"/>
    <w:multiLevelType w:val="hybridMultilevel"/>
    <w:lvl w:ilvl="0">
      <w:lvlJc w:val="left"/>
      <w:lvlText w:val="%1."/>
      <w:numFmt w:val="decimal"/>
      <w:start w:val="10"/>
    </w:lvl>
  </w:abstractNum>
  <w:abstractNum w:abstractNumId="12">
    <w:nsid w:val="6B68079A"/>
    <w:multiLevelType w:val="hybridMultilevel"/>
    <w:lvl w:ilvl="0">
      <w:lvlJc w:val="left"/>
      <w:lvlText w:val="%1."/>
      <w:numFmt w:val="decimal"/>
      <w:start w:val="11"/>
    </w:lvl>
  </w:abstractNum>
  <w:abstractNum w:abstractNumId="13">
    <w:nsid w:val="4E6AFB66"/>
    <w:multiLevelType w:val="hybridMultilevel"/>
    <w:lvl w:ilvl="0">
      <w:lvlJc w:val="left"/>
      <w:lvlText w:val="%1."/>
      <w:numFmt w:val="decimal"/>
      <w:start w:val="12"/>
    </w:lvl>
  </w:abstractNum>
  <w:abstractNum w:abstractNumId="14">
    <w:nsid w:val="25E45D32"/>
    <w:multiLevelType w:val="hybridMultilevel"/>
    <w:lvl w:ilvl="0">
      <w:lvlJc w:val="left"/>
      <w:lvlText w:val="%1."/>
      <w:numFmt w:val="decimal"/>
      <w:start w:val="13"/>
    </w:lvl>
  </w:abstractNum>
  <w:abstractNum w:abstractNumId="15">
    <w:nsid w:val="519B500D"/>
    <w:multiLevelType w:val="hybridMultilevel"/>
    <w:lvl w:ilvl="0">
      <w:lvlJc w:val="left"/>
      <w:lvlText w:val="%1."/>
      <w:numFmt w:val="decimal"/>
      <w:start w:val="14"/>
    </w:lvl>
  </w:abstractNum>
  <w:abstractNum w:abstractNumId="16">
    <w:nsid w:val="431BD7B7"/>
    <w:multiLevelType w:val="hybridMultilevel"/>
    <w:lvl w:ilvl="0">
      <w:lvlJc w:val="left"/>
      <w:lvlText w:val="%1."/>
      <w:numFmt w:val="decimal"/>
      <w:start w:val="15"/>
    </w:lvl>
    <w:lvl w:ilvl="1">
      <w:lvlJc w:val="left"/>
      <w:lvlText w:val="(%2)"/>
      <w:numFmt w:val="lowerLetter"/>
      <w:start w:val="1"/>
    </w:lvl>
  </w:abstractNum>
  <w:abstractNum w:abstractNumId="17">
    <w:nsid w:val="3F2DBA31"/>
    <w:multiLevelType w:val="hybridMultilevel"/>
    <w:lvl w:ilvl="0">
      <w:lvlJc w:val="left"/>
      <w:lvlText w:val="%1."/>
      <w:numFmt w:val="decimal"/>
      <w:start w:val="17"/>
    </w:lvl>
  </w:abstractNum>
  <w:abstractNum w:abstractNumId="18">
    <w:nsid w:val="7C83E458"/>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2019-12-05T23:26:55Z</dcterms:created>
  <dcterms:modified xsi:type="dcterms:W3CDTF">2019-12-05T23:26:55Z</dcterms:modified>
</cp:coreProperties>
</file>