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267335</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278765</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t>UNITED STATES</w:t>
      </w:r>
    </w:p>
    <w:p>
      <w:pPr>
        <w:spacing w:after="0" w:line="12"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437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70"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437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9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(Mark One)</w:t>
      </w:r>
    </w:p>
    <w:p>
      <w:pPr>
        <w:ind w:left="408" w:hanging="408"/>
        <w:spacing w:after="0"/>
        <w:tabs>
          <w:tab w:leader="none" w:pos="4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58420" cy="59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20" cy="59055"/>
                    </a:xfrm>
                    <a:prstGeom prst="rect">
                      <a:avLst/>
                    </a:prstGeom>
                    <a:noFill/>
                  </pic:spPr>
                </pic:pic>
              </a:graphicData>
            </a:graphic>
          </wp:anchor>
        </w:drawing>
      </w:r>
    </w:p>
    <w:p>
      <w:pPr>
        <w:spacing w:after="0" w:line="48" w:lineRule="exact"/>
        <w:rPr>
          <w:sz w:val="24"/>
          <w:szCs w:val="24"/>
          <w:color w:val="auto"/>
        </w:rPr>
      </w:pPr>
    </w:p>
    <w:p>
      <w:pPr>
        <w:ind w:left="4408"/>
        <w:spacing w:after="0"/>
        <w:rPr>
          <w:sz w:val="20"/>
          <w:szCs w:val="20"/>
          <w:color w:val="auto"/>
        </w:rPr>
      </w:pPr>
      <w:r>
        <w:rPr>
          <w:rFonts w:ascii="Times New Roman" w:cs="Times New Roman" w:eastAsia="Times New Roman" w:hAnsi="Times New Roman"/>
          <w:sz w:val="12"/>
          <w:szCs w:val="12"/>
          <w:b w:val="1"/>
          <w:bCs w:val="1"/>
          <w:color w:val="auto"/>
        </w:rPr>
        <w:t>For the quarterly period ended October 31, 2020</w:t>
      </w:r>
    </w:p>
    <w:p>
      <w:pPr>
        <w:spacing w:after="0" w:line="79" w:lineRule="exact"/>
        <w:rPr>
          <w:sz w:val="24"/>
          <w:szCs w:val="24"/>
          <w:color w:val="auto"/>
        </w:rPr>
      </w:pPr>
    </w:p>
    <w:p>
      <w:pPr>
        <w:ind w:left="5568"/>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63" w:lineRule="exact"/>
        <w:rPr>
          <w:sz w:val="24"/>
          <w:szCs w:val="24"/>
          <w:color w:val="auto"/>
        </w:rPr>
      </w:pPr>
    </w:p>
    <w:p>
      <w:pPr>
        <w:ind w:left="8"/>
        <w:spacing w:after="0"/>
        <w:tabs>
          <w:tab w:leader="none" w:pos="387"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58420" cy="59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20" cy="59055"/>
                    </a:xfrm>
                    <a:prstGeom prst="rect">
                      <a:avLst/>
                    </a:prstGeom>
                    <a:noFill/>
                  </pic:spPr>
                </pic:pic>
              </a:graphicData>
            </a:graphic>
          </wp:anchor>
        </w:drawing>
      </w:r>
    </w:p>
    <w:p>
      <w:pPr>
        <w:spacing w:after="0" w:line="76" w:lineRule="exact"/>
        <w:rPr>
          <w:sz w:val="24"/>
          <w:szCs w:val="24"/>
          <w:color w:val="auto"/>
        </w:rPr>
      </w:pPr>
    </w:p>
    <w:p>
      <w:pPr>
        <w:ind w:left="4728"/>
        <w:spacing w:after="0"/>
        <w:rPr>
          <w:sz w:val="20"/>
          <w:szCs w:val="20"/>
          <w:color w:val="auto"/>
        </w:rPr>
      </w:pPr>
      <w:r>
        <w:rPr>
          <w:rFonts w:ascii="Times New Roman" w:cs="Times New Roman" w:eastAsia="Times New Roman" w:hAnsi="Times New Roman"/>
          <w:sz w:val="12"/>
          <w:szCs w:val="12"/>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4376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249" w:lineRule="exact"/>
        <w:rPr>
          <w:sz w:val="24"/>
          <w:szCs w:val="24"/>
          <w:color w:val="auto"/>
        </w:rPr>
      </w:pPr>
    </w:p>
    <w:tbl>
      <w:tblPr>
        <w:tblLayout w:type="fixed"/>
        <w:tblInd w:w="2128" w:type="dxa"/>
        <w:tblCellMar>
          <w:top w:w="0" w:type="dxa"/>
          <w:left w:w="0" w:type="dxa"/>
          <w:bottom w:w="0" w:type="dxa"/>
          <w:right w:w="0" w:type="dxa"/>
        </w:tblCellMar>
      </w:tblPr>
      <w:tr>
        <w:trPr>
          <w:trHeight w:val="354"/>
        </w:trPr>
        <w:tc>
          <w:tcPr>
            <w:tcW w:w="5860" w:type="dxa"/>
            <w:vAlign w:val="bottom"/>
            <w:gridSpan w:val="3"/>
          </w:tcPr>
          <w:p>
            <w:pPr>
              <w:jc w:val="center"/>
              <w:ind w:left="1116"/>
              <w:spacing w:after="0"/>
              <w:rPr>
                <w:sz w:val="20"/>
                <w:szCs w:val="20"/>
                <w:color w:val="auto"/>
              </w:rPr>
            </w:pPr>
            <w:r>
              <w:rPr>
                <w:rFonts w:ascii="Times New Roman" w:cs="Times New Roman" w:eastAsia="Times New Roman" w:hAnsi="Times New Roman"/>
                <w:sz w:val="29"/>
                <w:szCs w:val="29"/>
                <w:b w:val="1"/>
                <w:bCs w:val="1"/>
                <w:color w:val="auto"/>
                <w:w w:val="98"/>
              </w:rPr>
              <w:t>DESTINATION XL GROUP, INC.</w:t>
            </w:r>
          </w:p>
        </w:tc>
        <w:tc>
          <w:tcPr>
            <w:tcW w:w="820" w:type="dxa"/>
            <w:vAlign w:val="bottom"/>
          </w:tcPr>
          <w:p>
            <w:pPr>
              <w:spacing w:after="0"/>
              <w:rPr>
                <w:sz w:val="24"/>
                <w:szCs w:val="24"/>
                <w:color w:val="auto"/>
              </w:rPr>
            </w:pPr>
          </w:p>
        </w:tc>
      </w:tr>
      <w:tr>
        <w:trPr>
          <w:trHeight w:val="160"/>
        </w:trPr>
        <w:tc>
          <w:tcPr>
            <w:tcW w:w="5860" w:type="dxa"/>
            <w:vAlign w:val="bottom"/>
            <w:gridSpan w:val="3"/>
          </w:tcPr>
          <w:p>
            <w:pPr>
              <w:jc w:val="center"/>
              <w:ind w:left="1136"/>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820" w:type="dxa"/>
            <w:vAlign w:val="bottom"/>
          </w:tcPr>
          <w:p>
            <w:pPr>
              <w:spacing w:after="0"/>
              <w:rPr>
                <w:sz w:val="13"/>
                <w:szCs w:val="13"/>
                <w:color w:val="auto"/>
              </w:rPr>
            </w:pPr>
          </w:p>
        </w:tc>
      </w:tr>
      <w:tr>
        <w:trPr>
          <w:trHeight w:val="136"/>
        </w:trPr>
        <w:tc>
          <w:tcPr>
            <w:tcW w:w="2400" w:type="dxa"/>
            <w:vAlign w:val="bottom"/>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329"/>
        </w:trPr>
        <w:tc>
          <w:tcPr>
            <w:tcW w:w="5860" w:type="dxa"/>
            <w:vAlign w:val="bottom"/>
            <w:gridSpan w:val="3"/>
          </w:tcPr>
          <w:p>
            <w:pPr>
              <w:jc w:val="center"/>
              <w:ind w:right="44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04-2623104</w:t>
            </w:r>
          </w:p>
        </w:tc>
      </w:tr>
      <w:tr>
        <w:trPr>
          <w:trHeight w:val="91"/>
        </w:trPr>
        <w:tc>
          <w:tcPr>
            <w:tcW w:w="5860" w:type="dxa"/>
            <w:vAlign w:val="bottom"/>
            <w:gridSpan w:val="3"/>
          </w:tcPr>
          <w:p>
            <w:pPr>
              <w:jc w:val="center"/>
              <w:ind w:right="4460"/>
              <w:spacing w:after="0" w:line="91" w:lineRule="exact"/>
              <w:rPr>
                <w:sz w:val="20"/>
                <w:szCs w:val="20"/>
                <w:color w:val="auto"/>
              </w:rPr>
            </w:pPr>
            <w:r>
              <w:rPr>
                <w:rFonts w:ascii="Times New Roman" w:cs="Times New Roman" w:eastAsia="Times New Roman" w:hAnsi="Times New Roman"/>
                <w:sz w:val="8"/>
                <w:szCs w:val="8"/>
                <w:b w:val="1"/>
                <w:bCs w:val="1"/>
                <w:color w:val="auto"/>
              </w:rPr>
              <w:t>(State or other jurisdiction of</w:t>
            </w:r>
          </w:p>
        </w:tc>
        <w:tc>
          <w:tcPr>
            <w:tcW w:w="820" w:type="dxa"/>
            <w:vAlign w:val="bottom"/>
          </w:tcPr>
          <w:p>
            <w:pPr>
              <w:jc w:val="center"/>
              <w:ind w:left="111"/>
              <w:spacing w:after="0" w:line="91" w:lineRule="exact"/>
              <w:rPr>
                <w:sz w:val="20"/>
                <w:szCs w:val="20"/>
                <w:color w:val="auto"/>
              </w:rPr>
            </w:pPr>
            <w:r>
              <w:rPr>
                <w:rFonts w:ascii="Times New Roman" w:cs="Times New Roman" w:eastAsia="Times New Roman" w:hAnsi="Times New Roman"/>
                <w:sz w:val="8"/>
                <w:szCs w:val="8"/>
                <w:b w:val="1"/>
                <w:bCs w:val="1"/>
                <w:color w:val="auto"/>
              </w:rPr>
              <w:t>(I.R.S. Employer</w:t>
            </w:r>
          </w:p>
        </w:tc>
      </w:tr>
      <w:tr>
        <w:trPr>
          <w:trHeight w:val="89"/>
        </w:trPr>
        <w:tc>
          <w:tcPr>
            <w:tcW w:w="5860" w:type="dxa"/>
            <w:vAlign w:val="bottom"/>
            <w:gridSpan w:val="3"/>
          </w:tcPr>
          <w:p>
            <w:pPr>
              <w:jc w:val="center"/>
              <w:ind w:right="4480"/>
              <w:spacing w:after="0" w:line="89" w:lineRule="exact"/>
              <w:rPr>
                <w:sz w:val="20"/>
                <w:szCs w:val="20"/>
                <w:color w:val="auto"/>
              </w:rPr>
            </w:pPr>
            <w:r>
              <w:rPr>
                <w:rFonts w:ascii="Times New Roman" w:cs="Times New Roman" w:eastAsia="Times New Roman" w:hAnsi="Times New Roman"/>
                <w:sz w:val="8"/>
                <w:szCs w:val="8"/>
                <w:b w:val="1"/>
                <w:bCs w:val="1"/>
                <w:color w:val="auto"/>
              </w:rPr>
              <w:t>incorporation or organization)</w:t>
            </w:r>
          </w:p>
        </w:tc>
        <w:tc>
          <w:tcPr>
            <w:tcW w:w="820" w:type="dxa"/>
            <w:vAlign w:val="bottom"/>
          </w:tcPr>
          <w:p>
            <w:pPr>
              <w:jc w:val="center"/>
              <w:ind w:left="111"/>
              <w:spacing w:after="0" w:line="89" w:lineRule="exact"/>
              <w:rPr>
                <w:sz w:val="20"/>
                <w:szCs w:val="20"/>
                <w:color w:val="auto"/>
              </w:rPr>
            </w:pPr>
            <w:r>
              <w:rPr>
                <w:rFonts w:ascii="Times New Roman" w:cs="Times New Roman" w:eastAsia="Times New Roman" w:hAnsi="Times New Roman"/>
                <w:sz w:val="8"/>
                <w:szCs w:val="8"/>
                <w:b w:val="1"/>
                <w:bCs w:val="1"/>
                <w:color w:val="auto"/>
              </w:rPr>
              <w:t>Identification No.)</w:t>
            </w:r>
          </w:p>
        </w:tc>
      </w:tr>
      <w:tr>
        <w:trPr>
          <w:trHeight w:val="145"/>
        </w:trPr>
        <w:tc>
          <w:tcPr>
            <w:tcW w:w="5860" w:type="dxa"/>
            <w:vAlign w:val="bottom"/>
            <w:gridSpan w:val="3"/>
          </w:tcPr>
          <w:p>
            <w:pPr>
              <w:jc w:val="center"/>
              <w:ind w:right="4460"/>
              <w:spacing w:after="0"/>
              <w:rPr>
                <w:sz w:val="20"/>
                <w:szCs w:val="20"/>
                <w:color w:val="auto"/>
              </w:rPr>
            </w:pPr>
            <w:r>
              <w:rPr>
                <w:rFonts w:ascii="Times New Roman" w:cs="Times New Roman" w:eastAsia="Times New Roman" w:hAnsi="Times New Roman"/>
                <w:sz w:val="12"/>
                <w:szCs w:val="12"/>
                <w:b w:val="1"/>
                <w:bCs w:val="1"/>
                <w:color w:val="auto"/>
              </w:rPr>
              <w:t>555 Turnpike Street</w:t>
            </w:r>
          </w:p>
        </w:tc>
        <w:tc>
          <w:tcPr>
            <w:tcW w:w="820" w:type="dxa"/>
            <w:vAlign w:val="bottom"/>
          </w:tcPr>
          <w:p>
            <w:pPr>
              <w:spacing w:after="0"/>
              <w:rPr>
                <w:sz w:val="12"/>
                <w:szCs w:val="12"/>
                <w:color w:val="auto"/>
              </w:rPr>
            </w:pPr>
          </w:p>
        </w:tc>
      </w:tr>
      <w:tr>
        <w:trPr>
          <w:trHeight w:val="147"/>
        </w:trPr>
        <w:tc>
          <w:tcPr>
            <w:tcW w:w="5860" w:type="dxa"/>
            <w:vAlign w:val="bottom"/>
            <w:gridSpan w:val="3"/>
          </w:tcPr>
          <w:p>
            <w:pPr>
              <w:jc w:val="center"/>
              <w:ind w:right="4460"/>
              <w:spacing w:after="0"/>
              <w:rPr>
                <w:sz w:val="20"/>
                <w:szCs w:val="20"/>
                <w:color w:val="auto"/>
              </w:rPr>
            </w:pPr>
            <w:r>
              <w:rPr>
                <w:rFonts w:ascii="Times New Roman" w:cs="Times New Roman" w:eastAsia="Times New Roman" w:hAnsi="Times New Roman"/>
                <w:sz w:val="12"/>
                <w:szCs w:val="12"/>
                <w:b w:val="1"/>
                <w:bCs w:val="1"/>
                <w:color w:val="auto"/>
                <w:w w:val="99"/>
              </w:rPr>
              <w:t>Canton, MA</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02021</w:t>
            </w:r>
          </w:p>
        </w:tc>
      </w:tr>
      <w:tr>
        <w:trPr>
          <w:trHeight w:val="109"/>
        </w:trPr>
        <w:tc>
          <w:tcPr>
            <w:tcW w:w="5860" w:type="dxa"/>
            <w:vAlign w:val="bottom"/>
            <w:gridSpan w:val="3"/>
          </w:tcPr>
          <w:p>
            <w:pPr>
              <w:jc w:val="center"/>
              <w:ind w:right="446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tc>
        <w:tc>
          <w:tcPr>
            <w:tcW w:w="820" w:type="dxa"/>
            <w:vAlign w:val="bottom"/>
          </w:tcPr>
          <w:p>
            <w:pPr>
              <w:jc w:val="center"/>
              <w:ind w:left="111"/>
              <w:spacing w:after="0"/>
              <w:rPr>
                <w:sz w:val="20"/>
                <w:szCs w:val="20"/>
                <w:color w:val="auto"/>
              </w:rPr>
            </w:pPr>
            <w:r>
              <w:rPr>
                <w:rFonts w:ascii="Times New Roman" w:cs="Times New Roman" w:eastAsia="Times New Roman" w:hAnsi="Times New Roman"/>
                <w:sz w:val="8"/>
                <w:szCs w:val="8"/>
                <w:b w:val="1"/>
                <w:bCs w:val="1"/>
                <w:color w:val="auto"/>
              </w:rPr>
              <w:t>(Zip Code)</w:t>
            </w:r>
          </w:p>
        </w:tc>
      </w:tr>
      <w:tr>
        <w:trPr>
          <w:trHeight w:val="211"/>
        </w:trPr>
        <w:tc>
          <w:tcPr>
            <w:tcW w:w="5860" w:type="dxa"/>
            <w:vAlign w:val="bottom"/>
            <w:gridSpan w:val="3"/>
          </w:tcPr>
          <w:p>
            <w:pPr>
              <w:jc w:val="center"/>
              <w:ind w:left="1116"/>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(781) 828-9300</w:t>
            </w:r>
          </w:p>
        </w:tc>
        <w:tc>
          <w:tcPr>
            <w:tcW w:w="8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80645</wp:posOffset>
            </wp:positionV>
            <wp:extent cx="14376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7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14" w:lineRule="exact"/>
        <w:rPr>
          <w:sz w:val="24"/>
          <w:szCs w:val="24"/>
          <w:color w:val="auto"/>
        </w:rPr>
      </w:pPr>
    </w:p>
    <w:tbl>
      <w:tblPr>
        <w:tblLayout w:type="fixed"/>
        <w:tblInd w:w="18" w:type="dxa"/>
        <w:tblCellMar>
          <w:top w:w="0" w:type="dxa"/>
          <w:left w:w="0" w:type="dxa"/>
          <w:bottom w:w="0" w:type="dxa"/>
          <w:right w:w="0" w:type="dxa"/>
        </w:tblCellMar>
      </w:tblPr>
      <w:tr>
        <w:trPr>
          <w:trHeight w:val="197"/>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Name of each exchange on which registered</w:t>
            </w:r>
          </w:p>
        </w:tc>
      </w:tr>
      <w:tr>
        <w:trPr>
          <w:trHeight w:val="22"/>
        </w:trPr>
        <w:tc>
          <w:tcPr>
            <w:tcW w:w="4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r>
      <w:tr>
        <w:trPr>
          <w:trHeight w:val="130"/>
        </w:trPr>
        <w:tc>
          <w:tcPr>
            <w:tcW w:w="4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Common Stock, $0.01 par value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DXLG</w:t>
            </w:r>
          </w:p>
        </w:tc>
        <w:tc>
          <w:tcPr>
            <w:tcW w:w="4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NASDAQ Stock Market LLC</w:t>
            </w:r>
          </w:p>
        </w:tc>
      </w:tr>
      <w:tr>
        <w:trPr>
          <w:trHeight w:val="40"/>
        </w:trPr>
        <w:tc>
          <w:tcPr>
            <w:tcW w:w="46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r>
    </w:tbl>
    <w:p>
      <w:pPr>
        <w:spacing w:after="0" w:line="63" w:lineRule="exact"/>
        <w:rPr>
          <w:sz w:val="24"/>
          <w:szCs w:val="24"/>
          <w:color w:val="auto"/>
        </w:rPr>
      </w:pPr>
    </w:p>
    <w:p>
      <w:pPr>
        <w:ind w:left="8" w:firstLine="602"/>
        <w:spacing w:after="0" w:line="15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left="8" w:right="280" w:firstLine="602"/>
        <w:spacing w:after="0" w:line="15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left="8" w:right="40" w:firstLine="602"/>
        <w:spacing w:after="0" w:line="28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8" w:type="dxa"/>
        <w:tblCellMar>
          <w:top w:w="0" w:type="dxa"/>
          <w:left w:w="0" w:type="dxa"/>
          <w:bottom w:w="0" w:type="dxa"/>
          <w:right w:w="0" w:type="dxa"/>
        </w:tblCellMar>
      </w:tblPr>
      <w:tr>
        <w:trPr>
          <w:trHeight w:val="169"/>
        </w:trPr>
        <w:tc>
          <w:tcPr>
            <w:tcW w:w="17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Times New Roman" w:cs="Times New Roman" w:eastAsia="Times New Roman" w:hAnsi="Times New Roman"/>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72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65" w:lineRule="exact"/>
        <w:rPr>
          <w:sz w:val="24"/>
          <w:szCs w:val="24"/>
          <w:color w:val="auto"/>
        </w:rPr>
      </w:pPr>
    </w:p>
    <w:p>
      <w:pPr>
        <w:ind w:left="8" w:right="360" w:firstLine="602"/>
        <w:spacing w:after="0" w:line="14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left="8" w:right="4900" w:firstLine="602"/>
        <w:spacing w:after="0" w:line="17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As of November 13, 2020, the registrant had 51,880,030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774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1774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451485</wp:posOffset>
            </wp:positionV>
            <wp:extent cx="717740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68"/>
          </w:cols>
          <w:pgMar w:left="292" w:top="45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auto"/>
        </w:rPr>
        <w:t>PART I. FINANCIAL INFORMATION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Item 1.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October 31, 2020</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color w:val="auto"/>
              </w:rPr>
              <w:t>February 1, 2020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0"/>
                <w:szCs w:val="10"/>
                <w:color w:val="auto"/>
              </w:rPr>
              <w:t>(Fiscal 2020)</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color w:val="auto"/>
              </w:rPr>
              <w:t>(Fiscal 2019)</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ASSETS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Current assets: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20" w:type="dxa"/>
            <w:vAlign w:val="bottom"/>
            <w:shd w:val="clear" w:color="auto" w:fill="CFF0FC"/>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21,417</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94,898</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102,420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5,535</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10,883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127,072</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123,860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Non-current assets: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Property and equipment, net of accumulated depreciation and amortization</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60,617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147,540</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186,413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1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74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2"/>
                <w:szCs w:val="12"/>
                <w:color w:val="auto"/>
              </w:rPr>
              <w:t>Total assets</w:t>
            </w:r>
          </w:p>
        </w:tc>
        <w:tc>
          <w:tcPr>
            <w:tcW w:w="1120" w:type="dxa"/>
            <w:vAlign w:val="bottom"/>
            <w:tcBorders>
              <w:bottom w:val="single" w:sz="8" w:color="auto"/>
            </w:tcBorders>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336,919</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390,917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7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STOCKHOLDERS' EQUITY</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Current liabilities: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1120" w:type="dxa"/>
            <w:vAlign w:val="bottom"/>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28,580</w:t>
            </w:r>
          </w:p>
        </w:tc>
        <w:tc>
          <w:tcPr>
            <w:tcW w:w="30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22,837</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leases, current</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45,616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Borrowings under credit facility</w:t>
            </w:r>
          </w:p>
        </w:tc>
        <w:tc>
          <w:tcPr>
            <w:tcW w:w="1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68,019</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39,301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165,052</w:t>
            </w:r>
          </w:p>
        </w:tc>
        <w:tc>
          <w:tcPr>
            <w:tcW w:w="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130,363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7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Long-term liabilities: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Long-term debt</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14,855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leases, non-current</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150,906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5,049</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2"/>
                <w:szCs w:val="12"/>
                <w:color w:val="auto"/>
              </w:rPr>
              <w:t>Total long-term liabilities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170,810</w:t>
            </w:r>
          </w:p>
        </w:tc>
        <w:tc>
          <w:tcPr>
            <w:tcW w:w="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202,131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7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7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Stockholders' equity:</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Preferred stock, $0.01 par value, 1,000,000 shares authorized, none issued</w:t>
            </w:r>
          </w:p>
        </w:tc>
        <w:tc>
          <w:tcPr>
            <w:tcW w:w="1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 $0.01 par value, 100,000,000 shares authorized, 64,323,455 and 63,297,598 shares issued at October 31, 2020 and February 1, 2020,</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respectively</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314,316</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312,933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stock at cost, 12,755,873 shares at October 31, 2020 and February 1, 2020</w:t>
            </w:r>
          </w:p>
        </w:tc>
        <w:tc>
          <w:tcPr>
            <w:tcW w:w="1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(92,658)</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(92,658)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1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w w:val="97"/>
              </w:rPr>
              <w:t>(215,516)</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(156,054)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(5,728)</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(6,431)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Borders>
              <w:top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12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1,057</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58,423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120" w:type="dxa"/>
            <w:vAlign w:val="bottom"/>
            <w:tcBorders>
              <w:bottom w:val="single" w:sz="8" w:color="auto"/>
            </w:tcBorders>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336,919</w:t>
            </w:r>
          </w:p>
        </w:tc>
        <w:tc>
          <w:tcPr>
            <w:tcW w:w="300" w:type="dxa"/>
            <w:vAlign w:val="bottom"/>
          </w:tcPr>
          <w:p>
            <w:pPr>
              <w:spacing w:after="0"/>
              <w:rPr>
                <w:sz w:val="13"/>
                <w:szCs w:val="13"/>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390,917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3220" w:type="dxa"/>
            <w:vAlign w:val="bottom"/>
            <w:gridSpan w:val="6"/>
          </w:tcPr>
          <w:p>
            <w:pPr>
              <w:jc w:val="right"/>
              <w:ind w:right="116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200" w:type="dxa"/>
            <w:vAlign w:val="bottom"/>
          </w:tcPr>
          <w:p>
            <w:pPr>
              <w:spacing w:after="0"/>
              <w:rPr>
                <w:sz w:val="10"/>
                <w:szCs w:val="10"/>
                <w:color w:val="auto"/>
              </w:rPr>
            </w:pPr>
          </w:p>
        </w:tc>
        <w:tc>
          <w:tcPr>
            <w:tcW w:w="2980" w:type="dxa"/>
            <w:vAlign w:val="bottom"/>
            <w:gridSpan w:val="5"/>
          </w:tcPr>
          <w:p>
            <w:pPr>
              <w:jc w:val="right"/>
              <w:ind w:right="112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October 31, 2020</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gridSpan w:val="2"/>
          </w:tcPr>
          <w:p>
            <w:pPr>
              <w:jc w:val="right"/>
              <w:ind w:right="500"/>
              <w:spacing w:after="0" w:line="109" w:lineRule="exact"/>
              <w:rPr>
                <w:sz w:val="20"/>
                <w:szCs w:val="20"/>
                <w:color w:val="auto"/>
              </w:rPr>
            </w:pPr>
            <w:r>
              <w:rPr>
                <w:rFonts w:ascii="Times New Roman" w:cs="Times New Roman" w:eastAsia="Times New Roman" w:hAnsi="Times New Roman"/>
                <w:sz w:val="10"/>
                <w:szCs w:val="10"/>
                <w:color w:val="auto"/>
              </w:rPr>
              <w:t>November 2, 2019</w:t>
            </w:r>
          </w:p>
        </w:tc>
        <w:tc>
          <w:tcPr>
            <w:tcW w:w="200" w:type="dxa"/>
            <w:vAlign w:val="bottom"/>
          </w:tcPr>
          <w:p>
            <w:pPr>
              <w:spacing w:after="0"/>
              <w:rPr>
                <w:sz w:val="9"/>
                <w:szCs w:val="9"/>
                <w:color w:val="auto"/>
              </w:rPr>
            </w:pPr>
          </w:p>
        </w:tc>
        <w:tc>
          <w:tcPr>
            <w:tcW w:w="1300" w:type="dxa"/>
            <w:vAlign w:val="bottom"/>
            <w:gridSpan w:val="2"/>
          </w:tcPr>
          <w:p>
            <w:pPr>
              <w:jc w:val="right"/>
              <w:ind w:right="460"/>
              <w:spacing w:after="0" w:line="109" w:lineRule="exact"/>
              <w:rPr>
                <w:sz w:val="20"/>
                <w:szCs w:val="20"/>
                <w:color w:val="auto"/>
              </w:rPr>
            </w:pPr>
            <w:r>
              <w:rPr>
                <w:rFonts w:ascii="Times New Roman" w:cs="Times New Roman" w:eastAsia="Times New Roman" w:hAnsi="Times New Roman"/>
                <w:sz w:val="10"/>
                <w:szCs w:val="10"/>
                <w:color w:val="auto"/>
              </w:rPr>
              <w:t>October 31, 2020</w:t>
            </w:r>
          </w:p>
        </w:tc>
        <w:tc>
          <w:tcPr>
            <w:tcW w:w="300" w:type="dxa"/>
            <w:vAlign w:val="bottom"/>
          </w:tcPr>
          <w:p>
            <w:pPr>
              <w:spacing w:after="0"/>
              <w:rPr>
                <w:sz w:val="9"/>
                <w:szCs w:val="9"/>
                <w:color w:val="auto"/>
              </w:rPr>
            </w:pPr>
          </w:p>
        </w:tc>
        <w:tc>
          <w:tcPr>
            <w:tcW w:w="1380" w:type="dxa"/>
            <w:vAlign w:val="bottom"/>
            <w:gridSpan w:val="2"/>
          </w:tcPr>
          <w:p>
            <w:pPr>
              <w:jc w:val="right"/>
              <w:ind w:right="500"/>
              <w:spacing w:after="0" w:line="109" w:lineRule="exact"/>
              <w:rPr>
                <w:sz w:val="20"/>
                <w:szCs w:val="20"/>
                <w:color w:val="auto"/>
              </w:rPr>
            </w:pPr>
            <w:r>
              <w:rPr>
                <w:rFonts w:ascii="Times New Roman" w:cs="Times New Roman" w:eastAsia="Times New Roman" w:hAnsi="Times New Roman"/>
                <w:sz w:val="10"/>
                <w:szCs w:val="10"/>
                <w:color w:val="auto"/>
              </w:rPr>
              <w:t>November 2, 2019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(Fiscal 2020)</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color w:val="auto"/>
              </w:rPr>
              <w:t>(Fiscal 2019)</w:t>
            </w:r>
          </w:p>
        </w:tc>
        <w:tc>
          <w:tcPr>
            <w:tcW w:w="200" w:type="dxa"/>
            <w:vAlign w:val="bottom"/>
          </w:tcPr>
          <w:p>
            <w:pPr>
              <w:spacing w:after="0"/>
              <w:rPr>
                <w:sz w:val="9"/>
                <w:szCs w:val="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color w:val="auto"/>
              </w:rPr>
              <w:t>(Fiscal 2020)</w:t>
            </w:r>
          </w:p>
        </w:tc>
        <w:tc>
          <w:tcPr>
            <w:tcW w:w="300" w:type="dxa"/>
            <w:vAlign w:val="bottom"/>
          </w:tcPr>
          <w:p>
            <w:pPr>
              <w:spacing w:after="0"/>
              <w:rPr>
                <w:sz w:val="9"/>
                <w:szCs w:val="9"/>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color w:val="auto"/>
              </w:rPr>
              <w:t>(Fiscal 2019)</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Sales</w:t>
            </w:r>
          </w:p>
        </w:tc>
        <w:tc>
          <w:tcPr>
            <w:tcW w:w="108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6"/>
              </w:rPr>
              <w:t>85,171</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106,581</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218,840</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342,799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Cost of goods sold including occupancy costs</w:t>
            </w:r>
          </w:p>
        </w:tc>
        <w:tc>
          <w:tcPr>
            <w:tcW w:w="10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54,099</w:t>
            </w: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62,776</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153,057</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195,012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0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6"/>
              </w:rPr>
              <w:t>31,072</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43,805</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65,783</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147,787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Expenses:</w:t>
            </w:r>
          </w:p>
        </w:tc>
        <w:tc>
          <w:tcPr>
            <w:tcW w:w="10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32,820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42,108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CEO transition costs</w:t>
            </w:r>
          </w:p>
        </w:tc>
        <w:tc>
          <w:tcPr>
            <w:tcW w:w="10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Impairment of assets</w:t>
            </w:r>
          </w:p>
        </w:tc>
        <w:tc>
          <w:tcPr>
            <w:tcW w:w="10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(1,135)</w:t>
            </w:r>
          </w:p>
        </w:tc>
        <w:tc>
          <w:tcPr>
            <w:tcW w:w="32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Exit costs associated with London operations</w:t>
            </w:r>
          </w:p>
        </w:tc>
        <w:tc>
          <w:tcPr>
            <w:tcW w:w="10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5,302</w:t>
            </w: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6,329</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16,374</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18,877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expenses</w:t>
            </w:r>
          </w:p>
        </w:tc>
        <w:tc>
          <w:tcPr>
            <w:tcW w:w="108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6"/>
              </w:rPr>
              <w:t>36,987</w:t>
            </w:r>
          </w:p>
        </w:tc>
        <w:tc>
          <w:tcPr>
            <w:tcW w:w="1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50,174</w:t>
            </w:r>
          </w:p>
        </w:tc>
        <w:tc>
          <w:tcPr>
            <w:tcW w:w="20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122,301</w:t>
            </w: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155,513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10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(5,915)</w:t>
            </w:r>
          </w:p>
        </w:tc>
        <w:tc>
          <w:tcPr>
            <w:tcW w:w="3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(6,369)</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(56,518)</w:t>
            </w:r>
          </w:p>
        </w:tc>
        <w:tc>
          <w:tcPr>
            <w:tcW w:w="3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(7,726)</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0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(1,080)</w:t>
            </w:r>
          </w:p>
        </w:tc>
        <w:tc>
          <w:tcPr>
            <w:tcW w:w="3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(870)</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(2,873)</w:t>
            </w:r>
          </w:p>
        </w:tc>
        <w:tc>
          <w:tcPr>
            <w:tcW w:w="3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(2,585)</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8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Loss before provision (benefit) for income taxes</w:t>
            </w:r>
          </w:p>
        </w:tc>
        <w:tc>
          <w:tcPr>
            <w:tcW w:w="10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(6,995)</w:t>
            </w:r>
          </w:p>
        </w:tc>
        <w:tc>
          <w:tcPr>
            <w:tcW w:w="3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(7,239)</w:t>
            </w:r>
          </w:p>
        </w:tc>
        <w:tc>
          <w:tcPr>
            <w:tcW w:w="2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(59,391)</w:t>
            </w:r>
          </w:p>
        </w:tc>
        <w:tc>
          <w:tcPr>
            <w:tcW w:w="3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(10,311)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Provision (benefit) for income taxes</w:t>
            </w:r>
          </w:p>
        </w:tc>
        <w:tc>
          <w:tcPr>
            <w:tcW w:w="10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(49)</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108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(7,022)</w:t>
            </w:r>
          </w:p>
        </w:tc>
        <w:tc>
          <w:tcPr>
            <w:tcW w:w="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(7,190)</w:t>
            </w: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(59,462)</w:t>
            </w:r>
          </w:p>
        </w:tc>
        <w:tc>
          <w:tcPr>
            <w:tcW w:w="3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(10,233)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8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share - basic and diluted</w:t>
            </w:r>
          </w:p>
        </w:tc>
        <w:tc>
          <w:tcPr>
            <w:tcW w:w="1080" w:type="dxa"/>
            <w:vAlign w:val="bottom"/>
          </w:tcPr>
          <w:p>
            <w:pPr>
              <w:jc w:val="right"/>
              <w:ind w:right="96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(0.14)</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(0.14)</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(1.16)</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(0.21)</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8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number of common shares outstanding:</w:t>
            </w: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Basic</w:t>
            </w:r>
          </w:p>
        </w:tc>
        <w:tc>
          <w:tcPr>
            <w:tcW w:w="10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6"/>
              </w:rPr>
              <w:t>51,545</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50,089</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51,127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49,853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Diluted</w:t>
            </w:r>
          </w:p>
        </w:tc>
        <w:tc>
          <w:tcPr>
            <w:tcW w:w="10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51,545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gridSpan w:val="5"/>
          </w:tcPr>
          <w:p>
            <w:pPr>
              <w:jc w:val="right"/>
              <w:ind w:right="102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180" w:type="dxa"/>
            <w:vAlign w:val="bottom"/>
          </w:tcPr>
          <w:p>
            <w:pPr>
              <w:spacing w:after="0"/>
              <w:rPr>
                <w:sz w:val="10"/>
                <w:szCs w:val="10"/>
                <w:color w:val="auto"/>
              </w:rPr>
            </w:pPr>
          </w:p>
        </w:tc>
        <w:tc>
          <w:tcPr>
            <w:tcW w:w="2840" w:type="dxa"/>
            <w:vAlign w:val="bottom"/>
            <w:gridSpan w:val="6"/>
          </w:tcPr>
          <w:p>
            <w:pPr>
              <w:jc w:val="right"/>
              <w:ind w:right="110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color w:val="auto"/>
                <w:w w:val="94"/>
              </w:rPr>
              <w:t>October 31, 2020</w:t>
            </w:r>
          </w:p>
        </w:tc>
        <w:tc>
          <w:tcPr>
            <w:tcW w:w="140" w:type="dxa"/>
            <w:vAlign w:val="bottom"/>
          </w:tcPr>
          <w:p>
            <w:pPr>
              <w:spacing w:after="0"/>
              <w:rPr>
                <w:sz w:val="10"/>
                <w:szCs w:val="1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November 2, 2019</w:t>
            </w:r>
          </w:p>
        </w:tc>
        <w:tc>
          <w:tcPr>
            <w:tcW w:w="180" w:type="dxa"/>
            <w:vAlign w:val="bottom"/>
          </w:tcPr>
          <w:p>
            <w:pPr>
              <w:spacing w:after="0"/>
              <w:rPr>
                <w:sz w:val="10"/>
                <w:szCs w:val="1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color w:val="auto"/>
              </w:rPr>
              <w:t>October 31, 2020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color w:val="auto"/>
              </w:rPr>
              <w:t>November 2, 2019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color w:val="auto"/>
                <w:w w:val="94"/>
              </w:rPr>
              <w:t>(Fiscal 2020)</w:t>
            </w:r>
          </w:p>
        </w:tc>
        <w:tc>
          <w:tcPr>
            <w:tcW w:w="140" w:type="dxa"/>
            <w:vAlign w:val="bottom"/>
          </w:tcPr>
          <w:p>
            <w:pPr>
              <w:spacing w:after="0"/>
              <w:rPr>
                <w:sz w:val="9"/>
                <w:szCs w:val="9"/>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color w:val="auto"/>
              </w:rPr>
              <w:t>(Fiscal 2019)</w:t>
            </w:r>
          </w:p>
        </w:tc>
        <w:tc>
          <w:tcPr>
            <w:tcW w:w="180" w:type="dxa"/>
            <w:vAlign w:val="bottom"/>
          </w:tcPr>
          <w:p>
            <w:pPr>
              <w:spacing w:after="0"/>
              <w:rPr>
                <w:sz w:val="9"/>
                <w:szCs w:val="9"/>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color w:val="auto"/>
              </w:rPr>
              <w:t>(Fiscal 2020)</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color w:val="auto"/>
              </w:rPr>
              <w:t>(Fiscal 2019)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9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(7,022)</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(7,190)</w:t>
            </w:r>
          </w:p>
        </w:tc>
        <w:tc>
          <w:tcPr>
            <w:tcW w:w="2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(59,462)</w:t>
            </w:r>
          </w:p>
        </w:tc>
        <w:tc>
          <w:tcPr>
            <w:tcW w:w="2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(10,233)</w:t>
            </w:r>
          </w:p>
        </w:tc>
        <w:tc>
          <w:tcPr>
            <w:tcW w:w="2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comprehensive income before taxes:</w:t>
            </w: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Recognition of accumulated foreign currency translation adjustment</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(39)</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Pension plans</w:t>
            </w:r>
          </w:p>
        </w:tc>
        <w:tc>
          <w:tcPr>
            <w:tcW w:w="9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Other comprehensive income before taxes</w:t>
            </w: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990</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Tax provision related to items of other comprehensive income</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w:t>
            </w:r>
          </w:p>
        </w:tc>
        <w:tc>
          <w:tcPr>
            <w:tcW w:w="18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9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2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2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2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980" w:type="dxa"/>
            <w:vAlign w:val="bottom"/>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(6,775)</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(6,270)</w:t>
            </w:r>
          </w:p>
        </w:tc>
        <w:tc>
          <w:tcPr>
            <w:tcW w:w="260" w:type="dxa"/>
            <w:vAlign w:val="bottom"/>
          </w:tcPr>
          <w:p>
            <w:pPr>
              <w:spacing w:after="0"/>
              <w:rPr>
                <w:sz w:val="13"/>
                <w:szCs w:val="13"/>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(58,759)</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(9,085)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color w:val="auto"/>
                <w:w w:val="97"/>
              </w:rPr>
              <w:t>Accumulated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60"/>
              <w:spacing w:after="0" w:line="109" w:lineRule="exact"/>
              <w:rPr>
                <w:sz w:val="20"/>
                <w:szCs w:val="20"/>
                <w:color w:val="auto"/>
              </w:rPr>
            </w:pPr>
            <w:r>
              <w:rPr>
                <w:rFonts w:ascii="Times New Roman" w:cs="Times New Roman" w:eastAsia="Times New Roman" w:hAnsi="Times New Roman"/>
                <w:sz w:val="10"/>
                <w:szCs w:val="10"/>
                <w:color w:val="auto"/>
              </w:rPr>
              <w:t>Additional</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0"/>
                <w:szCs w:val="10"/>
                <w:color w:val="auto"/>
                <w:w w:val="96"/>
              </w:rPr>
              <w:t>Other</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00" w:type="dxa"/>
            <w:vAlign w:val="bottom"/>
          </w:tcPr>
          <w:p>
            <w:pPr>
              <w:spacing w:after="0"/>
              <w:rPr>
                <w:sz w:val="9"/>
                <w:szCs w:val="9"/>
                <w:color w:val="auto"/>
              </w:rPr>
            </w:pPr>
          </w:p>
        </w:tc>
        <w:tc>
          <w:tcPr>
            <w:tcW w:w="1820" w:type="dxa"/>
            <w:vAlign w:val="bottom"/>
            <w:gridSpan w:val="5"/>
          </w:tcPr>
          <w:p>
            <w:pPr>
              <w:ind w:left="480"/>
              <w:spacing w:after="0" w:line="109" w:lineRule="exact"/>
              <w:rPr>
                <w:sz w:val="20"/>
                <w:szCs w:val="20"/>
                <w:color w:val="auto"/>
              </w:rPr>
            </w:pPr>
            <w:r>
              <w:rPr>
                <w:rFonts w:ascii="Times New Roman" w:cs="Times New Roman" w:eastAsia="Times New Roman" w:hAnsi="Times New Roman"/>
                <w:sz w:val="10"/>
                <w:szCs w:val="10"/>
                <w:color w:val="auto"/>
              </w:rPr>
              <w:t>Common Stock</w:t>
            </w:r>
          </w:p>
        </w:tc>
        <w:tc>
          <w:tcPr>
            <w:tcW w:w="80" w:type="dxa"/>
            <w:vAlign w:val="bottom"/>
          </w:tcPr>
          <w:p>
            <w:pPr>
              <w:spacing w:after="0"/>
              <w:rPr>
                <w:sz w:val="9"/>
                <w:szCs w:val="9"/>
                <w:color w:val="auto"/>
              </w:rPr>
            </w:pPr>
          </w:p>
        </w:tc>
        <w:tc>
          <w:tcPr>
            <w:tcW w:w="820" w:type="dxa"/>
            <w:vAlign w:val="bottom"/>
            <w:gridSpan w:val="2"/>
          </w:tcPr>
          <w:p>
            <w:pPr>
              <w:jc w:val="right"/>
              <w:ind w:right="440"/>
              <w:spacing w:after="0" w:line="109" w:lineRule="exact"/>
              <w:rPr>
                <w:sz w:val="20"/>
                <w:szCs w:val="20"/>
                <w:color w:val="auto"/>
              </w:rPr>
            </w:pPr>
            <w:r>
              <w:rPr>
                <w:rFonts w:ascii="Times New Roman" w:cs="Times New Roman" w:eastAsia="Times New Roman" w:hAnsi="Times New Roman"/>
                <w:sz w:val="10"/>
                <w:szCs w:val="10"/>
                <w:color w:val="auto"/>
              </w:rPr>
              <w:t>Paid-in</w:t>
            </w:r>
          </w:p>
        </w:tc>
        <w:tc>
          <w:tcPr>
            <w:tcW w:w="1740" w:type="dxa"/>
            <w:vAlign w:val="bottom"/>
            <w:gridSpan w:val="6"/>
          </w:tcPr>
          <w:p>
            <w:pPr>
              <w:ind w:left="460"/>
              <w:spacing w:after="0" w:line="109" w:lineRule="exact"/>
              <w:rPr>
                <w:sz w:val="20"/>
                <w:szCs w:val="20"/>
                <w:color w:val="auto"/>
              </w:rPr>
            </w:pPr>
            <w:r>
              <w:rPr>
                <w:rFonts w:ascii="Times New Roman" w:cs="Times New Roman" w:eastAsia="Times New Roman" w:hAnsi="Times New Roman"/>
                <w:sz w:val="10"/>
                <w:szCs w:val="10"/>
                <w:color w:val="auto"/>
              </w:rPr>
              <w:t>Treasury Stock</w:t>
            </w:r>
          </w:p>
        </w:tc>
        <w:tc>
          <w:tcPr>
            <w:tcW w:w="60" w:type="dxa"/>
            <w:vAlign w:val="bottom"/>
          </w:tcPr>
          <w:p>
            <w:pPr>
              <w:spacing w:after="0"/>
              <w:rPr>
                <w:sz w:val="9"/>
                <w:szCs w:val="9"/>
                <w:color w:val="auto"/>
              </w:rPr>
            </w:pPr>
          </w:p>
        </w:tc>
        <w:tc>
          <w:tcPr>
            <w:tcW w:w="72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0"/>
                <w:szCs w:val="10"/>
                <w:color w:val="auto"/>
                <w:w w:val="89"/>
              </w:rPr>
              <w:t>Accumulated</w:t>
            </w:r>
          </w:p>
        </w:tc>
        <w:tc>
          <w:tcPr>
            <w:tcW w:w="80" w:type="dxa"/>
            <w:vAlign w:val="bottom"/>
          </w:tcPr>
          <w:p>
            <w:pPr>
              <w:spacing w:after="0"/>
              <w:rPr>
                <w:sz w:val="9"/>
                <w:szCs w:val="9"/>
                <w:color w:val="auto"/>
              </w:rPr>
            </w:pPr>
          </w:p>
        </w:tc>
        <w:tc>
          <w:tcPr>
            <w:tcW w:w="880" w:type="dxa"/>
            <w:vAlign w:val="bottom"/>
            <w:gridSpan w:val="3"/>
          </w:tcPr>
          <w:p>
            <w:pPr>
              <w:jc w:val="center"/>
              <w:ind w:right="240"/>
              <w:spacing w:after="0" w:line="109" w:lineRule="exact"/>
              <w:rPr>
                <w:sz w:val="20"/>
                <w:szCs w:val="20"/>
                <w:color w:val="auto"/>
              </w:rPr>
            </w:pPr>
            <w:r>
              <w:rPr>
                <w:rFonts w:ascii="Times New Roman" w:cs="Times New Roman" w:eastAsia="Times New Roman" w:hAnsi="Times New Roman"/>
                <w:sz w:val="10"/>
                <w:szCs w:val="10"/>
                <w:color w:val="auto"/>
                <w:w w:val="95"/>
              </w:rPr>
              <w:t>Comprehensive</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4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Balance at February 1, 2020</w:t>
            </w:r>
          </w:p>
        </w:tc>
        <w:tc>
          <w:tcPr>
            <w:tcW w:w="680" w:type="dxa"/>
            <w:vAlign w:val="bottom"/>
          </w:tcPr>
          <w:p>
            <w:pPr>
              <w:jc w:val="right"/>
              <w:ind w:right="161"/>
              <w:spacing w:after="0"/>
              <w:rPr>
                <w:sz w:val="20"/>
                <w:szCs w:val="20"/>
                <w:color w:val="auto"/>
              </w:rPr>
            </w:pPr>
            <w:r>
              <w:rPr>
                <w:rFonts w:ascii="Times New Roman" w:cs="Times New Roman" w:eastAsia="Times New Roman" w:hAnsi="Times New Roman"/>
                <w:sz w:val="10"/>
                <w:szCs w:val="10"/>
                <w:color w:val="auto"/>
              </w:rPr>
              <w:t>Shares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Amounts</w:t>
            </w:r>
          </w:p>
        </w:tc>
        <w:tc>
          <w:tcPr>
            <w:tcW w:w="80" w:type="dxa"/>
            <w:vAlign w:val="bottom"/>
          </w:tcPr>
          <w:p>
            <w:pPr>
              <w:spacing w:after="0"/>
              <w:rPr>
                <w:sz w:val="9"/>
                <w:szCs w:val="9"/>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Capital</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Amounts</w:t>
            </w:r>
          </w:p>
        </w:tc>
        <w:tc>
          <w:tcPr>
            <w:tcW w:w="60" w:type="dxa"/>
            <w:vAlign w:val="bottom"/>
          </w:tcPr>
          <w:p>
            <w:pPr>
              <w:spacing w:after="0"/>
              <w:rPr>
                <w:sz w:val="9"/>
                <w:szCs w:val="9"/>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Deficit</w:t>
            </w:r>
          </w:p>
        </w:tc>
        <w:tc>
          <w:tcPr>
            <w:tcW w:w="80" w:type="dxa"/>
            <w:vAlign w:val="bottom"/>
          </w:tcPr>
          <w:p>
            <w:pPr>
              <w:spacing w:after="0"/>
              <w:rPr>
                <w:sz w:val="9"/>
                <w:szCs w:val="9"/>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color w:val="auto"/>
                <w:w w:val="96"/>
              </w:rPr>
              <w:t>Income (Loss)</w:t>
            </w:r>
          </w:p>
        </w:tc>
        <w:tc>
          <w:tcPr>
            <w:tcW w:w="140" w:type="dxa"/>
            <w:vAlign w:val="bottom"/>
          </w:tcPr>
          <w:p>
            <w:pPr>
              <w:spacing w:after="0"/>
              <w:rPr>
                <w:sz w:val="9"/>
                <w:szCs w:val="9"/>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143"/>
        </w:trPr>
        <w:tc>
          <w:tcPr>
            <w:tcW w:w="4400" w:type="dxa"/>
            <w:vAlign w:val="bottom"/>
            <w:vMerge w:val="continue"/>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63,297</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2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312,933</w:t>
            </w:r>
          </w:p>
        </w:tc>
        <w:tc>
          <w:tcPr>
            <w:tcW w:w="240" w:type="dxa"/>
            <w:vAlign w:val="bottom"/>
          </w:tcPr>
          <w:p>
            <w:pPr>
              <w:spacing w:after="0"/>
              <w:rPr>
                <w:sz w:val="12"/>
                <w:szCs w:val="12"/>
                <w:color w:val="auto"/>
              </w:rPr>
            </w:pPr>
          </w:p>
        </w:tc>
        <w:tc>
          <w:tcPr>
            <w:tcW w:w="6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w w:val="87"/>
              </w:rPr>
              <w:t>(12,755)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(156,054)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(6,431)</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58,423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(41,726)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(41,726)</w:t>
            </w:r>
          </w:p>
        </w:tc>
        <w:tc>
          <w:tcPr>
            <w:tcW w:w="0" w:type="dxa"/>
            <w:vAlign w:val="bottom"/>
          </w:tcPr>
          <w:p>
            <w:pPr>
              <w:spacing w:after="0"/>
              <w:rPr>
                <w:sz w:val="1"/>
                <w:szCs w:val="1"/>
                <w:color w:val="auto"/>
              </w:rPr>
            </w:pPr>
          </w:p>
        </w:tc>
      </w:tr>
      <w:tr>
        <w:trPr>
          <w:trHeight w:val="14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May 2, 2020</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63,833</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313,529</w:t>
            </w:r>
          </w:p>
        </w:tc>
        <w:tc>
          <w:tcPr>
            <w:tcW w:w="24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w w:val="87"/>
              </w:rPr>
              <w:t>(12,755)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(197,780)</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(6,223)</w:t>
            </w: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17,506</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(10,714)</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(10,714)</w:t>
            </w:r>
          </w:p>
        </w:tc>
        <w:tc>
          <w:tcPr>
            <w:tcW w:w="0" w:type="dxa"/>
            <w:vAlign w:val="bottom"/>
          </w:tcPr>
          <w:p>
            <w:pPr>
              <w:spacing w:after="0"/>
              <w:rPr>
                <w:sz w:val="1"/>
                <w:szCs w:val="1"/>
                <w:color w:val="auto"/>
              </w:rPr>
            </w:pPr>
          </w:p>
        </w:tc>
      </w:tr>
      <w:tr>
        <w:trPr>
          <w:trHeight w:val="14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Balance at August 1, 2020</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63,841</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2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313,874</w:t>
            </w:r>
          </w:p>
        </w:tc>
        <w:tc>
          <w:tcPr>
            <w:tcW w:w="240" w:type="dxa"/>
            <w:vAlign w:val="bottom"/>
          </w:tcPr>
          <w:p>
            <w:pPr>
              <w:spacing w:after="0"/>
              <w:rPr>
                <w:sz w:val="12"/>
                <w:szCs w:val="12"/>
                <w:color w:val="auto"/>
              </w:rPr>
            </w:pPr>
          </w:p>
        </w:tc>
        <w:tc>
          <w:tcPr>
            <w:tcW w:w="6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w w:val="87"/>
              </w:rPr>
              <w:t>(12,755)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(208,494)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(5,975)</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(7,022)</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(7,022)</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Balance at October 31, 2020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64,324</w:t>
            </w:r>
          </w:p>
        </w:tc>
        <w:tc>
          <w:tcPr>
            <w:tcW w:w="22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314,316</w:t>
            </w:r>
          </w:p>
        </w:tc>
        <w:tc>
          <w:tcPr>
            <w:tcW w:w="24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(12,755)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(92,658)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(215,516)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(5,728)</w:t>
            </w:r>
          </w:p>
        </w:tc>
        <w:tc>
          <w:tcPr>
            <w:tcW w:w="140" w:type="dxa"/>
            <w:vAlign w:val="bottom"/>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416" w:right="2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w w:val="93"/>
              </w:rPr>
              <w:t>Accumulated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9"/>
        </w:trPr>
        <w:tc>
          <w:tcPr>
            <w:tcW w:w="4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40"/>
              <w:spacing w:after="0" w:line="109" w:lineRule="exact"/>
              <w:rPr>
                <w:sz w:val="20"/>
                <w:szCs w:val="20"/>
                <w:color w:val="auto"/>
              </w:rPr>
            </w:pPr>
            <w:r>
              <w:rPr>
                <w:rFonts w:ascii="Times New Roman" w:cs="Times New Roman" w:eastAsia="Times New Roman" w:hAnsi="Times New Roman"/>
                <w:sz w:val="10"/>
                <w:szCs w:val="10"/>
                <w:color w:val="auto"/>
                <w:w w:val="98"/>
              </w:rPr>
              <w:t>Additional</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0"/>
                <w:szCs w:val="10"/>
                <w:color w:val="auto"/>
                <w:w w:val="96"/>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9"/>
        </w:trPr>
        <w:tc>
          <w:tcPr>
            <w:tcW w:w="4420" w:type="dxa"/>
            <w:vAlign w:val="bottom"/>
          </w:tcPr>
          <w:p>
            <w:pPr>
              <w:spacing w:after="0"/>
              <w:rPr>
                <w:sz w:val="9"/>
                <w:szCs w:val="9"/>
                <w:color w:val="auto"/>
              </w:rPr>
            </w:pPr>
          </w:p>
        </w:tc>
        <w:tc>
          <w:tcPr>
            <w:tcW w:w="1720" w:type="dxa"/>
            <w:vAlign w:val="bottom"/>
            <w:gridSpan w:val="5"/>
          </w:tcPr>
          <w:p>
            <w:pPr>
              <w:ind w:left="460"/>
              <w:spacing w:after="0" w:line="109" w:lineRule="exact"/>
              <w:rPr>
                <w:sz w:val="20"/>
                <w:szCs w:val="20"/>
                <w:color w:val="auto"/>
              </w:rPr>
            </w:pPr>
            <w:r>
              <w:rPr>
                <w:rFonts w:ascii="Times New Roman" w:cs="Times New Roman" w:eastAsia="Times New Roman" w:hAnsi="Times New Roman"/>
                <w:sz w:val="10"/>
                <w:szCs w:val="10"/>
                <w:color w:val="auto"/>
              </w:rPr>
              <w:t>Common Stock</w:t>
            </w:r>
          </w:p>
        </w:tc>
        <w:tc>
          <w:tcPr>
            <w:tcW w:w="100" w:type="dxa"/>
            <w:vAlign w:val="bottom"/>
          </w:tcPr>
          <w:p>
            <w:pPr>
              <w:spacing w:after="0"/>
              <w:rPr>
                <w:sz w:val="9"/>
                <w:szCs w:val="9"/>
                <w:color w:val="auto"/>
              </w:rPr>
            </w:pPr>
          </w:p>
        </w:tc>
        <w:tc>
          <w:tcPr>
            <w:tcW w:w="780" w:type="dxa"/>
            <w:vAlign w:val="bottom"/>
            <w:gridSpan w:val="2"/>
          </w:tcPr>
          <w:p>
            <w:pPr>
              <w:jc w:val="right"/>
              <w:ind w:right="420"/>
              <w:spacing w:after="0" w:line="109" w:lineRule="exact"/>
              <w:rPr>
                <w:sz w:val="20"/>
                <w:szCs w:val="20"/>
                <w:color w:val="auto"/>
              </w:rPr>
            </w:pPr>
            <w:r>
              <w:rPr>
                <w:rFonts w:ascii="Times New Roman" w:cs="Times New Roman" w:eastAsia="Times New Roman" w:hAnsi="Times New Roman"/>
                <w:sz w:val="10"/>
                <w:szCs w:val="10"/>
                <w:color w:val="auto"/>
              </w:rPr>
              <w:t>Paid-in</w:t>
            </w:r>
          </w:p>
        </w:tc>
        <w:tc>
          <w:tcPr>
            <w:tcW w:w="1740" w:type="dxa"/>
            <w:vAlign w:val="bottom"/>
            <w:gridSpan w:val="5"/>
          </w:tcPr>
          <w:p>
            <w:pPr>
              <w:jc w:val="right"/>
              <w:ind w:right="660"/>
              <w:spacing w:after="0" w:line="109" w:lineRule="exact"/>
              <w:rPr>
                <w:sz w:val="20"/>
                <w:szCs w:val="20"/>
                <w:color w:val="auto"/>
              </w:rPr>
            </w:pPr>
            <w:r>
              <w:rPr>
                <w:rFonts w:ascii="Times New Roman" w:cs="Times New Roman" w:eastAsia="Times New Roman" w:hAnsi="Times New Roman"/>
                <w:sz w:val="10"/>
                <w:szCs w:val="10"/>
                <w:color w:val="auto"/>
              </w:rPr>
              <w:t>Treasury Stock</w:t>
            </w:r>
          </w:p>
        </w:tc>
        <w:tc>
          <w:tcPr>
            <w:tcW w:w="60" w:type="dxa"/>
            <w:vAlign w:val="bottom"/>
          </w:tcPr>
          <w:p>
            <w:pPr>
              <w:spacing w:after="0"/>
              <w:rPr>
                <w:sz w:val="9"/>
                <w:szCs w:val="9"/>
                <w:color w:val="auto"/>
              </w:rPr>
            </w:pPr>
          </w:p>
        </w:tc>
        <w:tc>
          <w:tcPr>
            <w:tcW w:w="80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0"/>
                <w:szCs w:val="10"/>
                <w:color w:val="auto"/>
                <w:w w:val="93"/>
              </w:rPr>
              <w:t>Accumulated</w:t>
            </w:r>
          </w:p>
        </w:tc>
        <w:tc>
          <w:tcPr>
            <w:tcW w:w="88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0"/>
                <w:szCs w:val="10"/>
                <w:color w:val="auto"/>
                <w:w w:val="98"/>
              </w:rPr>
              <w:t>Comprehensive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4"/>
        </w:trPr>
        <w:tc>
          <w:tcPr>
            <w:tcW w:w="4420" w:type="dxa"/>
            <w:vAlign w:val="bottom"/>
          </w:tcPr>
          <w:p>
            <w:pPr>
              <w:spacing w:after="0"/>
              <w:rPr>
                <w:sz w:val="9"/>
                <w:szCs w:val="9"/>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color w:val="auto"/>
              </w:rPr>
              <w:t>Shares</w:t>
            </w:r>
          </w:p>
        </w:tc>
        <w:tc>
          <w:tcPr>
            <w:tcW w:w="10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Amounts</w:t>
            </w:r>
          </w:p>
        </w:tc>
        <w:tc>
          <w:tcPr>
            <w:tcW w:w="100" w:type="dxa"/>
            <w:vAlign w:val="bottom"/>
          </w:tcPr>
          <w:p>
            <w:pPr>
              <w:spacing w:after="0"/>
              <w:rPr>
                <w:sz w:val="9"/>
                <w:szCs w:val="9"/>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color w:val="auto"/>
              </w:rPr>
              <w:t>Capital</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Shares</w:t>
            </w:r>
          </w:p>
        </w:tc>
        <w:tc>
          <w:tcPr>
            <w:tcW w:w="100" w:type="dxa"/>
            <w:vAlign w:val="bottom"/>
          </w:tcPr>
          <w:p>
            <w:pPr>
              <w:spacing w:after="0"/>
              <w:rPr>
                <w:sz w:val="9"/>
                <w:szCs w:val="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Amounts</w:t>
            </w:r>
          </w:p>
        </w:tc>
        <w:tc>
          <w:tcPr>
            <w:tcW w:w="60" w:type="dxa"/>
            <w:vAlign w:val="bottom"/>
          </w:tcPr>
          <w:p>
            <w:pPr>
              <w:spacing w:after="0"/>
              <w:rPr>
                <w:sz w:val="9"/>
                <w:szCs w:val="9"/>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Deficit</w:t>
            </w: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color w:val="auto"/>
                <w:w w:val="96"/>
              </w:rPr>
              <w:t>Income (Loss)</w:t>
            </w:r>
          </w:p>
        </w:tc>
        <w:tc>
          <w:tcPr>
            <w:tcW w:w="140" w:type="dxa"/>
            <w:vAlign w:val="bottom"/>
          </w:tcPr>
          <w:p>
            <w:pPr>
              <w:spacing w:after="0"/>
              <w:rPr>
                <w:sz w:val="9"/>
                <w:szCs w:val="9"/>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Total</w:t>
            </w:r>
          </w:p>
        </w:tc>
      </w:tr>
      <w:tr>
        <w:trPr>
          <w:trHeight w:val="14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February 2, 2019</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62,242</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310,393</w:t>
            </w: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(153,534)</w:t>
            </w: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(6,183)</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58,640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120" w:type="dxa"/>
            <w:vAlign w:val="bottom"/>
            <w:shd w:val="clear" w:color="auto" w:fill="CFF0FC"/>
          </w:tcPr>
          <w:p>
            <w:pPr>
              <w:spacing w:after="0"/>
              <w:rPr>
                <w:sz w:val="13"/>
                <w:szCs w:val="13"/>
                <w:color w:val="auto"/>
              </w:rPr>
            </w:pPr>
          </w:p>
        </w:tc>
      </w:tr>
      <w:tr>
        <w:trPr>
          <w:trHeight w:val="141"/>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RSUs granted for achievement of performance-based compensation, reclassified from</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8"/>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liability to equity</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Shares withheld for taxes related to net share settlement of RSUs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(192)</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(192)</w:t>
            </w: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Change in accounting principle due to adoption of ASC 842</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5,276</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(24)</w:t>
            </w: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(3,081)</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(3,081)</w:t>
            </w:r>
          </w:p>
        </w:tc>
      </w:tr>
      <w:tr>
        <w:trPr>
          <w:trHeight w:val="14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May 4, 2019</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62,576</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311,057</w:t>
            </w: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(151,339)</w:t>
            </w: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(6,057)</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61,629</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Shares withheld for taxes related to net share settlement of RSUs</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(6)</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(40)</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w:t>
            </w: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w:t>
            </w:r>
          </w:p>
        </w:tc>
        <w:tc>
          <w:tcPr>
            <w:tcW w:w="6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0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shd w:val="clear" w:color="auto" w:fill="CFF0FC"/>
          </w:tcPr>
          <w:p>
            <w:pPr>
              <w:spacing w:after="0"/>
              <w:rPr>
                <w:sz w:val="13"/>
                <w:szCs w:val="13"/>
                <w:color w:val="auto"/>
              </w:rPr>
            </w:pPr>
          </w:p>
        </w:tc>
      </w:tr>
      <w:tr>
        <w:trPr>
          <w:trHeight w:val="143"/>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Balance at August 3, 2019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62,668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311,706</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(151,301)</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(5,955)</w:t>
            </w:r>
          </w:p>
        </w:tc>
        <w:tc>
          <w:tcPr>
            <w:tcW w:w="20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62,419</w:t>
            </w:r>
          </w:p>
        </w:tc>
        <w:tc>
          <w:tcPr>
            <w:tcW w:w="120" w:type="dxa"/>
            <w:vAlign w:val="bottom"/>
          </w:tcPr>
          <w:p>
            <w:pPr>
              <w:spacing w:after="0"/>
              <w:rPr>
                <w:sz w:val="12"/>
                <w:szCs w:val="12"/>
                <w:color w:val="auto"/>
              </w:rPr>
            </w:pP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Shares withheld for taxes related to net share settlement of RSUs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r>
      <w:tr>
        <w:trPr>
          <w:trHeight w:val="154"/>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w:t>
            </w:r>
          </w:p>
        </w:tc>
      </w:tr>
      <w:tr>
        <w:trPr>
          <w:trHeight w:val="154"/>
        </w:trPr>
        <w:tc>
          <w:tcPr>
            <w:tcW w:w="4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Recognition of accumulated foreign currency translation adjustment</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(7,190)</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(7,190)</w:t>
            </w:r>
          </w:p>
        </w:tc>
      </w:tr>
      <w:tr>
        <w:trPr>
          <w:trHeight w:val="150"/>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November 2, 2019</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63,044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312,293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w w:val="97"/>
              </w:rPr>
              <w:t>(92,658</w:t>
            </w:r>
          </w:p>
        </w:tc>
        <w:tc>
          <w:tcPr>
            <w:tcW w:w="22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(158,491</w:t>
            </w:r>
          </w:p>
        </w:tc>
        <w:tc>
          <w:tcPr>
            <w:tcW w:w="200" w:type="dxa"/>
            <w:vAlign w:val="bottom"/>
            <w:tcBorders>
              <w:top w:val="single" w:sz="8" w:color="CFF0FC"/>
              <w:bottom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(5,035)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56,739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October 31, 2020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w w:val="96"/>
              </w:rPr>
              <w:t>For the Nine Months Ended</w:t>
            </w:r>
          </w:p>
        </w:tc>
        <w:tc>
          <w:tcPr>
            <w:tcW w:w="12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0"/>
                <w:szCs w:val="10"/>
                <w:color w:val="auto"/>
                <w:w w:val="96"/>
              </w:rPr>
              <w:t>November 2, 2019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(Fiscal 2020)</w:t>
            </w: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color w:val="auto"/>
              </w:rPr>
              <w:t>(Fiscal 2019)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11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140" w:type="dxa"/>
            <w:vAlign w:val="bottom"/>
          </w:tcPr>
          <w:p>
            <w:pPr>
              <w:jc w:val="right"/>
              <w:ind w:right="102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(59,462)</w:t>
            </w:r>
          </w:p>
        </w:tc>
        <w:tc>
          <w:tcPr>
            <w:tcW w:w="400" w:type="dxa"/>
            <w:vAlign w:val="bottom"/>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(10,233)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Adjustments to reconcile net loss to net cash used for operating activities: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Recognition of accumulated foreign currency translation adjustment</w:t>
            </w:r>
          </w:p>
        </w:tc>
        <w:tc>
          <w:tcPr>
            <w:tcW w:w="114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Amortization of deferred debt issuance costs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Impairment of assets</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15,200</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16,374</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18,877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Stock compensation expense</w:t>
            </w:r>
          </w:p>
        </w:tc>
        <w:tc>
          <w:tcPr>
            <w:tcW w:w="1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Board of directors stock compensation</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Accounts receivable</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Inventories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7,522</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(13,374)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5,348</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Other assets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(352)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Accounts payable</w:t>
            </w:r>
          </w:p>
        </w:tc>
        <w:tc>
          <w:tcPr>
            <w:tcW w:w="114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(3,183)</w:t>
            </w:r>
          </w:p>
        </w:tc>
        <w:tc>
          <w:tcPr>
            <w:tcW w:w="4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(7,380)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Operating leases, net</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763</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(2,992)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5,631</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(2,138)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used for operating activities</w:t>
            </w:r>
          </w:p>
        </w:tc>
        <w:tc>
          <w:tcPr>
            <w:tcW w:w="114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(8,635)</w:t>
            </w:r>
          </w:p>
        </w:tc>
        <w:tc>
          <w:tcPr>
            <w:tcW w:w="30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bottom w:val="single" w:sz="8" w:color="auto"/>
            </w:tcBorders>
            <w:shd w:val="clear" w:color="auto" w:fill="CFF0FC"/>
          </w:tcPr>
          <w:p>
            <w:pPr>
              <w:spacing w:after="0"/>
              <w:rPr>
                <w:sz w:val="11"/>
                <w:szCs w:val="1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(14,404)</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Additions to property and equipment, net</w:t>
            </w:r>
          </w:p>
        </w:tc>
        <w:tc>
          <w:tcPr>
            <w:tcW w:w="114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(2,938)</w:t>
            </w:r>
          </w:p>
        </w:tc>
        <w:tc>
          <w:tcPr>
            <w:tcW w:w="4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(10,973)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used for investing activities</w:t>
            </w:r>
          </w:p>
        </w:tc>
        <w:tc>
          <w:tcPr>
            <w:tcW w:w="114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(2,938)</w:t>
            </w:r>
          </w:p>
        </w:tc>
        <w:tc>
          <w:tcPr>
            <w:tcW w:w="30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bottom w:val="single" w:sz="8" w:color="auto"/>
            </w:tcBorders>
            <w:shd w:val="clear" w:color="auto" w:fill="CFF0FC"/>
          </w:tcPr>
          <w:p>
            <w:pPr>
              <w:spacing w:after="0"/>
              <w:rPr>
                <w:sz w:val="11"/>
                <w:szCs w:val="1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(10,973)</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Net borrowings under credit facility</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28,677</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Debt issuance costs associated with credit facility amendment</w:t>
            </w:r>
          </w:p>
        </w:tc>
        <w:tc>
          <w:tcPr>
            <w:tcW w:w="1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(25)</w:t>
            </w:r>
          </w:p>
        </w:tc>
        <w:tc>
          <w:tcPr>
            <w:tcW w:w="4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Tax withholdings paid related to net share settlements of RSUs</w:t>
            </w:r>
          </w:p>
        </w:tc>
        <w:tc>
          <w:tcPr>
            <w:tcW w:w="114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(244)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7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114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28,652</w:t>
            </w:r>
          </w:p>
        </w:tc>
        <w:tc>
          <w:tcPr>
            <w:tcW w:w="30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bottom w:val="single" w:sz="8" w:color="auto"/>
            </w:tcBorders>
            <w:shd w:val="clear" w:color="auto" w:fill="CFF0FC"/>
          </w:tcPr>
          <w:p>
            <w:pPr>
              <w:spacing w:after="0"/>
              <w:rPr>
                <w:sz w:val="11"/>
                <w:szCs w:val="1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25,971</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1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17,079</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1"/>
                <w:szCs w:val="11"/>
                <w:color w:val="auto"/>
              </w:rPr>
              <w:t>Beginning of period</w:t>
            </w:r>
          </w:p>
        </w:tc>
        <w:tc>
          <w:tcPr>
            <w:tcW w:w="1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4,338</w:t>
            </w:r>
          </w:p>
        </w:tc>
        <w:tc>
          <w:tcPr>
            <w:tcW w:w="3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End of period</w:t>
            </w:r>
          </w:p>
        </w:tc>
        <w:tc>
          <w:tcPr>
            <w:tcW w:w="1140" w:type="dxa"/>
            <w:vAlign w:val="bottom"/>
            <w:tcBorders>
              <w:bottom w:val="single" w:sz="8" w:color="auto"/>
            </w:tcBorders>
            <w:shd w:val="clear" w:color="auto" w:fill="CFF0FC"/>
          </w:tcPr>
          <w:p>
            <w:pPr>
              <w:jc w:val="right"/>
              <w:ind w:right="102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21,417</w:t>
            </w:r>
          </w:p>
        </w:tc>
        <w:tc>
          <w:tcPr>
            <w:tcW w:w="3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5,462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t>DESTINATION XL GROUP, INC.</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Basis of Presentation</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2020 included in the Company’s Annual Report on Form 10-K, which was filed with the Securities and Exchange Commission on March 19, 2020.</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fiscal year is a 52- or 53- week period ending on the Saturday closest to January 31. Fiscal 2020 and fiscal 2019 are 52-week periods ending on January 30, 2021 and February 1, 2020,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Impact of COVID-19 Pandemic on Business</w:t>
      </w:r>
    </w:p>
    <w:p>
      <w:pPr>
        <w:spacing w:after="0" w:line="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 xml:space="preserve">On March 11, 2020, the World Health Organization declared the current outbreak of a novel coronavirus disease (“COVID-19”) as a global pandemic. </w:t>
      </w:r>
      <w:r>
        <w:rPr>
          <w:rFonts w:ascii="Times New Roman" w:cs="Times New Roman" w:eastAsia="Times New Roman" w:hAnsi="Times New Roman"/>
          <w:sz w:val="12"/>
          <w:szCs w:val="12"/>
          <w:color w:val="212121"/>
        </w:rPr>
        <w:t>The COVID-19 pandemic has had an adverse effect on the Company’s operations,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12121"/>
        </w:rPr>
        <w:t xml:space="preserve">employees, distribution and logistics, its vendors and customers. All of the Company’s store locations were closed temporarily on March 17, 2020. The Company began reopening stores in late April and by the end of June 2020 all retail stores had been reopened. </w:t>
      </w:r>
      <w:r>
        <w:rPr>
          <w:rFonts w:ascii="Times New Roman" w:cs="Times New Roman" w:eastAsia="Times New Roman" w:hAnsi="Times New Roman"/>
          <w:sz w:val="12"/>
          <w:szCs w:val="12"/>
          <w:color w:val="000000"/>
        </w:rPr>
        <w:t>While all of the Company’s stores are open, they are operating with reduced operating hours and it has been and may continue to be necessary to close and re-open stores in response to any ongoing</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000000"/>
        </w:rPr>
        <w:t>COVID concerns.</w:t>
      </w:r>
    </w:p>
    <w:p>
      <w:pPr>
        <w:spacing w:after="0" w:line="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In response to the uncertainty that exists relating to the COVID-19 pandemic, the Company has taken significant precautionary measures to reduce expenses, preserve liquidity, and mitigate the adverse impact of the pandemic to the Company. The majority of the Company’s workforce was furloughed in March 2020. As store locations were reopened, employees were gradually brought back, however, due to the reduced store traffic and sales, the Company’s field organization has been reduced by 1,078 associates, or 54%, since March 2020. For the safety of its employees, employees at the Company’s headquarters will continue to work from home, where possible, until at least July 2021. For store personnel and roles that require employees to be on-site, such as its distribution center, the Company is providing protective equipment, practicing social distancing and has increased sanitizing standards. The management team (director-level and above) took a temporary salary reduction ranging from 10%-20% during the period April 5, 2020 through August 2, 2020 and the Company’s non-employee directors suspended their second quarter fiscal 2020 compensation.</w:t>
      </w:r>
    </w:p>
    <w:p>
      <w:pPr>
        <w:spacing w:after="0" w:line="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In March 2020, as a proactive measure, the Company drew $30.0 million under its revolving facility in order to increase the Company’s cash position and preserve financial flexibility. In addition, in April 2020 the Company entered into an amendment to its credit facility to, among other things, increase its borrowing base availability and permit the Company the ability to enter into promissory notes with its merchandise vendors. See Note 3,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for a discussion of the amendment. During the second quarter of fiscal 2020, the Company entered into rent concessions with the majority of its landlords, in the form of rent abatements, rent deferments and, to a lesser extent, lease term extensions. See Note 4,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more discussion. Further, since early March, the Company has taken proactive steps to manage cash by substantially eliminating capital spend, negotiating deferred payment terms with vendors and, in limited cases, entering into short term notes, reducing operating expenses and cancelling purchase orders for merchandise, where possible.</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Subsequent to the end of the third quarter, on November 2, 2020 the Company implemented an additional corporate restructuring to further align its cost structure with the potential continuation of reduced sales levels. The Company eliminated an additional 45 corporate positions, terminated certain service agreements, eliminated certain professional services and reduced its marketing costs. In aggregate, the Company’s corporate workforce has been reduced by 101 positions, or 29%, since March 2020. The Company expects that these additional steps will result in annualized savings of $9.7 million, of which $3.8 million is related to the reduction in corporate payroll. The Company expects to incur an aggregate cash charge in the fourth quarter of fiscal 2020 of approximately $0.5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auto"/>
        </w:rPr>
        <w:t>million for employee severance and one-time termination benefits. The Company intends to proceed cautiously and continue to take proactive steps to manage its liquidity.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Information</w:t>
      </w:r>
    </w:p>
    <w:p>
      <w:pPr>
        <w:spacing w:after="0" w:line="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The Company has three principal operating segments: its stores, direct and wholesale businesses. The Company considers its stores and direct operating segments to be similar in terms of economic characteristics, production processes and operations, and has therefore aggregated them into one reportable segment, retail segment, consistent with its omni-channel business approach. Due to the immateriality of the wholesale segment’s revenues, profits and assets, its operating results are aggregated with the retail segment for both periods.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Intangibles</w:t>
      </w:r>
    </w:p>
    <w:p>
      <w:pPr>
        <w:spacing w:after="0" w:line="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2"/>
          <w:szCs w:val="12"/>
          <w:color w:val="auto"/>
        </w:rPr>
        <w:t>In fiscal 2018, the Company purchased the rights to the domain name “dxl.com.” The domain name has a carrying value of $1.2 million and is considered an indefinite-lived asset. Due to the significant impact of the COVID-19 pandemic on the Company’s business, the Company performed a qualitative review of the domain name as of May 2, 2020, August 1, 2020 and October 31, 2020, and concluded at each date that it was more likely than not that the intangible asset was not impaired and therefore no quantitative assessment was required. During the fourth quarter of fiscal 2020, the Company will perform a similar qualitative review as part of annual impairment testing.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Accounts Payable</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During the first nine months of fiscal 2020, the Company received extended payment terms with certain of its merchandise vendors, by entering into short-term notes. The short-term notes, totaling $3.5 million, have terms of less than one-year and accrue interest at an annual rate of 4.0%, with payments due monthly. At October 31, 2020, the outstanding balance of the notes was $1.3 million and is included in Accounts Payable on the Consolidated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 xml:space="preserve">ASC Topic 825, </w:t>
      </w:r>
      <w:r>
        <w:rPr>
          <w:rFonts w:ascii="Times New Roman" w:cs="Times New Roman" w:eastAsia="Times New Roman" w:hAnsi="Times New Roman"/>
          <w:sz w:val="12"/>
          <w:szCs w:val="12"/>
          <w:i w:val="1"/>
          <w:iCs w:val="1"/>
          <w:color w:val="auto"/>
        </w:rPr>
        <w:t>Financial Instruments</w:t>
      </w:r>
      <w:r>
        <w:rPr>
          <w:rFonts w:ascii="Times New Roman" w:cs="Times New Roman" w:eastAsia="Times New Roman" w:hAnsi="Times New Roman"/>
          <w:sz w:val="12"/>
          <w:szCs w:val="12"/>
          <w:color w:val="auto"/>
        </w:rPr>
        <w:t>, requires disclosure of the fair value of certain financial instruments. ASC Topic 820, “</w:t>
      </w:r>
      <w:r>
        <w:rPr>
          <w:rFonts w:ascii="Times New Roman" w:cs="Times New Roman" w:eastAsia="Times New Roman" w:hAnsi="Times New Roman"/>
          <w:sz w:val="12"/>
          <w:szCs w:val="12"/>
          <w:i w:val="1"/>
          <w:iCs w:val="1"/>
          <w:color w:val="auto"/>
        </w:rPr>
        <w:t>Fair Value Measurements and Disclosures</w:t>
      </w:r>
      <w:r>
        <w:rPr>
          <w:rFonts w:ascii="Times New Roman" w:cs="Times New Roman" w:eastAsia="Times New Roman" w:hAnsi="Times New Roman"/>
          <w:sz w:val="12"/>
          <w:szCs w:val="12"/>
          <w:color w:val="auto"/>
        </w:rPr>
        <w:t>,” defines fair value, establishes a framework for measuring fair value and enhances disclosures about fair value measurements.</w:t>
      </w:r>
    </w:p>
    <w:p>
      <w:pPr>
        <w:spacing w:after="0" w:line="1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Level 1 – Quoted prices in active markets for identical assets or liabilities.</w:t>
      </w:r>
    </w:p>
    <w:p>
      <w:pPr>
        <w:spacing w:after="0" w:line="79" w:lineRule="exact"/>
        <w:rPr>
          <w:sz w:val="20"/>
          <w:szCs w:val="20"/>
          <w:color w:val="auto"/>
        </w:rPr>
      </w:pPr>
    </w:p>
    <w:p>
      <w:pPr>
        <w:ind w:left="240"/>
        <w:spacing w:after="0" w:line="286" w:lineRule="auto"/>
        <w:rPr>
          <w:sz w:val="20"/>
          <w:szCs w:val="20"/>
          <w:color w:val="auto"/>
        </w:rPr>
      </w:pPr>
      <w:r>
        <w:rPr>
          <w:rFonts w:ascii="Times New Roman" w:cs="Times New Roman" w:eastAsia="Times New Roman" w:hAnsi="Times New Roman"/>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The fair value of long-term debt is classified within Level 2 of the valuation hierarchy. At October 31, 2020, the fair value approximated the carrying amount based upon terms available to the Company for borrowings with similar arrangements and remaining maturities.</w:t>
      </w:r>
    </w:p>
    <w:p>
      <w:pPr>
        <w:spacing w:after="0" w:line="1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The fair value of the “dxl.com” domain name, an indefinite-lived asset, is measured on a non-recurring basis in connection with the Company’s annual impairment test and is classified within Level 3 of the valuation hierarchy. See Intangibles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i w:val="1"/>
          <w:iCs w:val="1"/>
          <w:color w:val="auto"/>
        </w:rPr>
        <w:t>Accumulated Other Comprehensive Income (Loss) - (“AOCI”)</w:t>
      </w:r>
    </w:p>
    <w:p>
      <w:pPr>
        <w:spacing w:after="0" w:line="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Other comprehensive income (loss) includes amounts related to foreign currency and pension plans and is reported in the Consolidated Statements of Comprehensive Income (Loss). Other comprehensive income (loss) and reclassifications from AOCI for the three and nine months ended October 31, 2020 and November 2, 2019, respectively,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For the three months ended:</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0"/>
                <w:szCs w:val="10"/>
                <w:color w:val="auto"/>
                <w:w w:val="94"/>
              </w:rPr>
              <w:t>October 31, 2020</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0"/>
                <w:szCs w:val="10"/>
                <w:color w:val="auto"/>
                <w:w w:val="96"/>
              </w:rPr>
              <w:t>November 2, 2019</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color w:val="auto"/>
                <w:w w:val="94"/>
              </w:rPr>
              <w:t>Pension</w:t>
            </w:r>
          </w:p>
        </w:tc>
        <w:tc>
          <w:tcPr>
            <w:tcW w:w="14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color w:val="auto"/>
                <w:w w:val="96"/>
              </w:rPr>
              <w:t>Foreign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7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color w:val="auto"/>
              </w:rPr>
              <w:t>Pension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color w:val="auto"/>
                <w:w w:val="96"/>
              </w:rPr>
              <w:t>Foreign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Balance at beginning of the quarter</w:t>
            </w:r>
          </w:p>
        </w:tc>
        <w:tc>
          <w:tcPr>
            <w:tcW w:w="140" w:type="dxa"/>
            <w:vAlign w:val="bottom"/>
          </w:tcPr>
          <w:p>
            <w:pPr>
              <w:spacing w:after="0"/>
              <w:rPr>
                <w:sz w:val="9"/>
                <w:szCs w:val="9"/>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rPr>
              <w:t>Plans</w:t>
            </w:r>
          </w:p>
        </w:tc>
        <w:tc>
          <w:tcPr>
            <w:tcW w:w="140" w:type="dxa"/>
            <w:vAlign w:val="bottom"/>
          </w:tcPr>
          <w:p>
            <w:pPr>
              <w:spacing w:after="0"/>
              <w:rPr>
                <w:sz w:val="9"/>
                <w:szCs w:val="9"/>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w w:val="96"/>
              </w:rPr>
              <w:t>Currency</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Total</w:t>
            </w:r>
          </w:p>
        </w:tc>
        <w:tc>
          <w:tcPr>
            <w:tcW w:w="200" w:type="dxa"/>
            <w:vAlign w:val="bottom"/>
          </w:tcPr>
          <w:p>
            <w:pPr>
              <w:spacing w:after="0"/>
              <w:rPr>
                <w:sz w:val="9"/>
                <w:szCs w:val="9"/>
                <w:color w:val="auto"/>
              </w:rPr>
            </w:pP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2"/>
              </w:rPr>
              <w:t>Plans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w w:val="96"/>
              </w:rPr>
              <w:t>Currency</w:t>
            </w:r>
          </w:p>
        </w:tc>
        <w:tc>
          <w:tcPr>
            <w:tcW w:w="180" w:type="dxa"/>
            <w:vAlign w:val="bottom"/>
          </w:tcPr>
          <w:p>
            <w:pPr>
              <w:spacing w:after="0"/>
              <w:rPr>
                <w:sz w:val="9"/>
                <w:szCs w:val="9"/>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143"/>
        </w:trPr>
        <w:tc>
          <w:tcPr>
            <w:tcW w:w="5260" w:type="dxa"/>
            <w:vAlign w:val="bottom"/>
            <w:gridSpan w:val="2"/>
            <w:vMerge w:val="continue"/>
          </w:tcPr>
          <w:p>
            <w:pPr>
              <w:spacing w:after="0"/>
              <w:rPr>
                <w:sz w:val="12"/>
                <w:szCs w:val="12"/>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(5,983)</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(5,975)</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240" w:type="dxa"/>
            <w:vAlign w:val="bottom"/>
          </w:tcPr>
          <w:p>
            <w:pPr>
              <w:spacing w:after="0"/>
              <w:rPr>
                <w:sz w:val="12"/>
                <w:szCs w:val="12"/>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before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reclassifications, net of taxes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240" w:type="dxa"/>
            <w:vAlign w:val="bottom"/>
          </w:tcPr>
          <w:p>
            <w:pPr>
              <w:spacing w:after="0" w:line="154" w:lineRule="exact"/>
              <w:rPr>
                <w:sz w:val="20"/>
                <w:szCs w:val="20"/>
                <w:color w:val="auto"/>
              </w:rPr>
            </w:pPr>
            <w:r>
              <w:rPr>
                <w:rFonts w:ascii="Times New Roman" w:cs="Times New Roman" w:eastAsia="Times New Roman" w:hAnsi="Times New Roman"/>
                <w:sz w:val="11"/>
                <w:szCs w:val="11"/>
                <w:color w:val="auto"/>
              </w:rPr>
              <w:t xml:space="preserve">Recognition of accumulated foreign currency translation adjustment </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comprehensive income, net of taxes </w:t>
            </w:r>
            <w:r>
              <w:rPr>
                <w:rFonts w:ascii="Times New Roman" w:cs="Times New Roman" w:eastAsia="Times New Roman" w:hAnsi="Times New Roman"/>
                <w:sz w:val="10"/>
                <w:szCs w:val="10"/>
                <w:color w:val="auto"/>
              </w:rPr>
              <w:t>(2)</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for the period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end of quarter</w:t>
            </w: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(5,736)</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(5,728)</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(5,084)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For the nine months ended:</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0"/>
                <w:szCs w:val="10"/>
                <w:color w:val="auto"/>
                <w:w w:val="94"/>
              </w:rPr>
              <w:t>October 31,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0"/>
                <w:szCs w:val="10"/>
                <w:color w:val="auto"/>
                <w:w w:val="96"/>
              </w:rPr>
              <w:t>November 2, 2019</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color w:val="auto"/>
                <w:w w:val="94"/>
              </w:rPr>
              <w:t>Pension</w:t>
            </w:r>
          </w:p>
        </w:tc>
        <w:tc>
          <w:tcPr>
            <w:tcW w:w="14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color w:val="auto"/>
                <w:w w:val="96"/>
              </w:rPr>
              <w:t>Foreign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7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color w:val="auto"/>
              </w:rPr>
              <w:t>Pension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color w:val="auto"/>
                <w:w w:val="96"/>
              </w:rPr>
              <w:t>Foreign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Balance at beginning of fiscal year</w:t>
            </w:r>
          </w:p>
        </w:tc>
        <w:tc>
          <w:tcPr>
            <w:tcW w:w="140" w:type="dxa"/>
            <w:vAlign w:val="bottom"/>
          </w:tcPr>
          <w:p>
            <w:pPr>
              <w:spacing w:after="0"/>
              <w:rPr>
                <w:sz w:val="9"/>
                <w:szCs w:val="9"/>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rPr>
              <w:t>Plans</w:t>
            </w:r>
          </w:p>
        </w:tc>
        <w:tc>
          <w:tcPr>
            <w:tcW w:w="140" w:type="dxa"/>
            <w:vAlign w:val="bottom"/>
          </w:tcPr>
          <w:p>
            <w:pPr>
              <w:spacing w:after="0"/>
              <w:rPr>
                <w:sz w:val="9"/>
                <w:szCs w:val="9"/>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w w:val="96"/>
              </w:rPr>
              <w:t>Currency</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Total</w:t>
            </w:r>
          </w:p>
        </w:tc>
        <w:tc>
          <w:tcPr>
            <w:tcW w:w="200" w:type="dxa"/>
            <w:vAlign w:val="bottom"/>
          </w:tcPr>
          <w:p>
            <w:pPr>
              <w:spacing w:after="0"/>
              <w:rPr>
                <w:sz w:val="9"/>
                <w:szCs w:val="9"/>
                <w:color w:val="auto"/>
              </w:rPr>
            </w:pP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2"/>
              </w:rPr>
              <w:t>Plans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w w:val="96"/>
              </w:rPr>
              <w:t>Currency</w:t>
            </w:r>
          </w:p>
        </w:tc>
        <w:tc>
          <w:tcPr>
            <w:tcW w:w="180" w:type="dxa"/>
            <w:vAlign w:val="bottom"/>
          </w:tcPr>
          <w:p>
            <w:pPr>
              <w:spacing w:after="0"/>
              <w:rPr>
                <w:sz w:val="9"/>
                <w:szCs w:val="9"/>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143"/>
        </w:trPr>
        <w:tc>
          <w:tcPr>
            <w:tcW w:w="5260" w:type="dxa"/>
            <w:vAlign w:val="bottom"/>
            <w:gridSpan w:val="2"/>
            <w:vMerge w:val="continue"/>
          </w:tcPr>
          <w:p>
            <w:pPr>
              <w:spacing w:after="0"/>
              <w:rPr>
                <w:sz w:val="12"/>
                <w:szCs w:val="12"/>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(6,478)</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(6,431)</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240" w:type="dxa"/>
            <w:vAlign w:val="bottom"/>
          </w:tcPr>
          <w:p>
            <w:pPr>
              <w:spacing w:after="0"/>
              <w:rPr>
                <w:sz w:val="12"/>
                <w:szCs w:val="12"/>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before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reclassifications, net of taxes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Recognition of accumulated foreign currency translation adjustment </w:t>
            </w:r>
            <w:r>
              <w:rPr>
                <w:rFonts w:ascii="Times New Roman" w:cs="Times New Roman" w:eastAsia="Times New Roman" w:hAnsi="Times New Roman"/>
                <w:sz w:val="10"/>
                <w:szCs w:val="10"/>
                <w:color w:val="auto"/>
              </w:rPr>
              <w:t>(1)</w:t>
            </w:r>
          </w:p>
        </w:tc>
        <w:tc>
          <w:tcPr>
            <w:tcW w:w="14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comprehensive income, net of taxes </w:t>
            </w:r>
            <w:r>
              <w:rPr>
                <w:rFonts w:ascii="Times New Roman" w:cs="Times New Roman" w:eastAsia="Times New Roman" w:hAnsi="Times New Roman"/>
                <w:sz w:val="10"/>
                <w:szCs w:val="10"/>
                <w:color w:val="auto"/>
              </w:rPr>
              <w:t>(2)</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for the period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spacing w:after="0"/>
              <w:rPr>
                <w:sz w:val="13"/>
                <w:szCs w:val="13"/>
                <w:color w:val="auto"/>
              </w:rPr>
            </w:pPr>
          </w:p>
        </w:tc>
        <w:tc>
          <w:tcPr>
            <w:tcW w:w="840" w:type="dxa"/>
            <w:vAlign w:val="bottom"/>
            <w:gridSpan w:val="2"/>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spacing w:after="0"/>
              <w:rPr>
                <w:sz w:val="13"/>
                <w:szCs w:val="13"/>
                <w:color w:val="auto"/>
              </w:rPr>
            </w:pPr>
          </w:p>
        </w:tc>
        <w:tc>
          <w:tcPr>
            <w:tcW w:w="220" w:type="dxa"/>
            <w:vAlign w:val="bottom"/>
            <w:gridSpan w:val="2"/>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end of quarter</w:t>
            </w: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(5,736)</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(5,728)</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(5,084)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740" w:hanging="376"/>
        <w:spacing w:after="0" w:line="263" w:lineRule="auto"/>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Company’s closing its Rochester Clothing store in London, England and exiting its London operations, the Company recognized the accumulated foreign currency translation adjustment as an expense, which was included in “Exit costs associated with London operations” on the Consolidated Statement of Operations for the three and nine months ended November 2, 2019.</w:t>
      </w:r>
    </w:p>
    <w:p>
      <w:pPr>
        <w:jc w:val="both"/>
        <w:ind w:left="740" w:hanging="376"/>
        <w:spacing w:after="0" w:line="256" w:lineRule="auto"/>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$170,000 and $160,000 for the three-month period ended October 31, 2020 and November 2, 2019, respectively, and $511,000 and $481,000 for the nine-month period ended October 31, 2020 and November 2, 2019, respectively. As a result of the adoption of ASU 2019-12, as discussed below, there was no tax provision for the third quarter and first nine months of fiscal 2020. The tax effect for the third quarter and first nine months of fiscal 2019 was $42,000 and $126,000, respectively.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36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fair value of each stock option grant is estimated on the date of grant using the Black-Scholes option-pricing model based on the assumptions in the table below as it relates to stock options granted during the first nine months of fiscal 2020. There were no grants of stock options during the first nine months of fiscal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Pr>
          <w:p>
            <w:pPr>
              <w:spacing w:after="0"/>
              <w:rPr>
                <w:sz w:val="20"/>
                <w:szCs w:val="20"/>
                <w:color w:val="auto"/>
              </w:rPr>
            </w:pPr>
            <w:r>
              <w:rPr>
                <w:rFonts w:ascii="Times New Roman" w:cs="Times New Roman" w:eastAsia="Times New Roman" w:hAnsi="Times New Roman"/>
                <w:sz w:val="12"/>
                <w:szCs w:val="12"/>
                <w:color w:val="auto"/>
              </w:rPr>
              <w:t>For the nine months ended:</w:t>
            </w:r>
          </w:p>
        </w:tc>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October 31, 2020</w:t>
            </w:r>
          </w:p>
        </w:tc>
      </w:tr>
      <w:tr>
        <w:trPr>
          <w:trHeight w:val="143"/>
        </w:trPr>
        <w:tc>
          <w:tcPr>
            <w:tcW w:w="9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82.3% - 87.8%</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930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0.22% - 0.27%</w:t>
            </w:r>
          </w:p>
        </w:tc>
        <w:tc>
          <w:tcPr>
            <w:tcW w:w="120" w:type="dxa"/>
            <w:vAlign w:val="bottom"/>
          </w:tcPr>
          <w:p>
            <w:pPr>
              <w:spacing w:after="0"/>
              <w:rPr>
                <w:sz w:val="13"/>
                <w:szCs w:val="13"/>
                <w:color w:val="auto"/>
              </w:rPr>
            </w:pPr>
          </w:p>
        </w:tc>
      </w:tr>
      <w:tr>
        <w:trPr>
          <w:trHeight w:val="154"/>
        </w:trPr>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life</w:t>
            </w:r>
          </w:p>
        </w:tc>
        <w:tc>
          <w:tcPr>
            <w:tcW w:w="200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2"/>
                <w:szCs w:val="12"/>
                <w:color w:val="auto"/>
              </w:rPr>
              <w:t>3.0 - 4.0 yrs.</w:t>
            </w:r>
          </w:p>
        </w:tc>
      </w:tr>
      <w:tr>
        <w:trPr>
          <w:trHeight w:val="154"/>
        </w:trPr>
        <w:tc>
          <w:tcPr>
            <w:tcW w:w="9300" w:type="dxa"/>
            <w:vAlign w:val="bottom"/>
          </w:tcPr>
          <w:p>
            <w:pPr>
              <w:spacing w:after="0"/>
              <w:rPr>
                <w:sz w:val="20"/>
                <w:szCs w:val="20"/>
                <w:color w:val="auto"/>
              </w:rPr>
            </w:pPr>
            <w:r>
              <w:rPr>
                <w:rFonts w:ascii="Times New Roman" w:cs="Times New Roman" w:eastAsia="Times New Roman" w:hAnsi="Times New Roman"/>
                <w:sz w:val="12"/>
                <w:szCs w:val="12"/>
                <w:color w:val="auto"/>
              </w:rPr>
              <w:t>Dividend rate</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Weighted average fair value of options granted</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$0.32</w:t>
            </w:r>
          </w:p>
        </w:tc>
        <w:tc>
          <w:tcPr>
            <w:tcW w:w="120" w:type="dxa"/>
            <w:vAlign w:val="bottom"/>
            <w:shd w:val="clear" w:color="auto" w:fill="CFF0FC"/>
          </w:tcPr>
          <w:p>
            <w:pPr>
              <w:spacing w:after="0"/>
              <w:rPr>
                <w:sz w:val="13"/>
                <w:szCs w:val="13"/>
                <w:color w:val="auto"/>
              </w:rPr>
            </w:pPr>
          </w:p>
        </w:tc>
      </w:tr>
    </w:tbl>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a result of the significant impact of the COVID-19 pandemic on the Company’s business during the first quarter of fiscal 2020 and the continued uncertainty, the Company reassessed the recoverability of the carrying value for its long-lived assets as of May 2, 2020, assuming that its stores would gradually open throughout the second quarter of fiscal 2020 but that consumer retail spending will remain substantially curtailed for a period of time. Due to uncertainty around the duration and extent of the pandemic’s impact on future cash flows, the Company’s projections were based on multiple probability-weighted scenarios. Based on the results of that assessment, the Company recorded an impairment charge of $16.3 million in the first quarter of fiscal 2020. The impairment charge included approximately $12.5 million for the write-down of certain right-of-use assets and $3.8 million for the write-down of property and equipment, related to stores where the carrying value exceeded fair value.</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During the third quarter of fiscal 2020, the Company recorded a $1.2 million non-cash gain on the reduction of its operating lease liability in connection with its decision to close three retail stores, which resulted in a revaluation of the lease liability. Approximately $1.1 million of this gain related to two leases where the right-of-use assets had previously been impaired and, therefore, is included as a reduction in the impairment charge for the three and nine months ended October 31, 2020. The remaining gain of $0.1 million is included as an offset to store occupancy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was no material impairment of long-lived assets in the first nine months of fiscal 2019.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Company adopted ASU 2016-02,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in the first quarter of fiscal 2019 on a modified retrospective basis and applied the new standard to all leases through a cumulative-effect adjustment to beginning accumulated deficit.</w:t>
      </w:r>
    </w:p>
    <w:p>
      <w:pPr>
        <w:spacing w:after="0" w:line="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414" w:right="299" w:bottom="1440" w:gutter="0" w:footer="0" w:header="0"/>
        </w:sectPr>
      </w:pPr>
    </w:p>
    <w:bookmarkStart w:id="11" w:name="page12"/>
    <w:bookmarkEnd w:id="11"/>
    <w:p>
      <w:pPr>
        <w:jc w:val="both"/>
        <w:spacing w:after="0" w:line="269" w:lineRule="auto"/>
        <w:rPr>
          <w:sz w:val="20"/>
          <w:szCs w:val="20"/>
          <w:color w:val="auto"/>
        </w:rPr>
      </w:pPr>
      <w:r>
        <w:rPr>
          <w:rFonts w:ascii="Times New Roman" w:cs="Times New Roman" w:eastAsia="Times New Roman" w:hAnsi="Times New Roman"/>
          <w:sz w:val="12"/>
          <w:szCs w:val="12"/>
          <w:color w:val="auto"/>
        </w:rPr>
        <w:t>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October 31, 2020, the Company had no short-term leases.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4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additional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Adopted Accounting Pronouncements</w:t>
      </w:r>
    </w:p>
    <w:p>
      <w:pPr>
        <w:spacing w:after="0" w:line="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June 2016, the Financial Accounting Standards Board (“FASB”) issued ASU No. 2016-13, “</w:t>
      </w:r>
      <w:r>
        <w:rPr>
          <w:rFonts w:ascii="Times New Roman" w:cs="Times New Roman" w:eastAsia="Times New Roman" w:hAnsi="Times New Roman"/>
          <w:sz w:val="12"/>
          <w:szCs w:val="12"/>
          <w:i w:val="1"/>
          <w:iCs w:val="1"/>
          <w:color w:val="auto"/>
        </w:rPr>
        <w:t>Financial Instruments — Credit Losses (Topic 326) — Measurement of Credit Losses on Financial Instruments</w:t>
      </w:r>
      <w:r>
        <w:rPr>
          <w:rFonts w:ascii="Times New Roman" w:cs="Times New Roman" w:eastAsia="Times New Roman" w:hAnsi="Times New Roman"/>
          <w:sz w:val="12"/>
          <w:szCs w:val="12"/>
          <w:color w:val="auto"/>
        </w:rPr>
        <w:t>.” This guidance amends several aspects of the measurement of credit losses on financial instruments, including trade receivables. Topic 326 replaces the existing incurred credit loss model with an impairment model (known as the current expected credit loss ("CECL") model), which is based on expected losses rather than incurred losses. The amendments are effective for fiscal years, and interim periods within those fiscal years, beginning after December 15, 2019. The Company adopted this standard in the first quarter of fiscal 2020 and it did not have a material impact on the Company’s Consolidated Financial Statements.</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August 2018, the FASB issued ASU 2018-13, “</w:t>
      </w:r>
      <w:r>
        <w:rPr>
          <w:rFonts w:ascii="Times New Roman" w:cs="Times New Roman" w:eastAsia="Times New Roman" w:hAnsi="Times New Roman"/>
          <w:sz w:val="12"/>
          <w:szCs w:val="12"/>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2"/>
          <w:szCs w:val="12"/>
          <w:color w:val="auto"/>
        </w:rPr>
        <w:t xml:space="preserve"> This guidance modifies the disclosure requirements on fair value measurements in Topic 820 by removing disclosures regarding transfers between Level 1 and Level 2 of the fair value hierarchy, by modifying the measurement uncertainty disclosure, and by requiring additional disclosures for Level 3 fair value measurements, among others. </w:t>
      </w:r>
      <w:r>
        <w:rPr>
          <w:rFonts w:ascii="Times New Roman" w:cs="Times New Roman" w:eastAsia="Times New Roman" w:hAnsi="Times New Roman"/>
          <w:sz w:val="12"/>
          <w:szCs w:val="12"/>
          <w:color w:val="212121"/>
        </w:rPr>
        <w:t>The Company adopted this standard in the first quarter of fiscal 2020 with new disclosures adopted on a prospective basis. The adoption of this standard did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12121"/>
        </w:rPr>
        <w:t>not have a material impact on the Company’s Consolidated Financial Statements and related disclosures.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December 2019, the FASB issued ASU 2019-12, “</w:t>
      </w:r>
      <w:r>
        <w:rPr>
          <w:rFonts w:ascii="Times New Roman" w:cs="Times New Roman" w:eastAsia="Times New Roman" w:hAnsi="Times New Roman"/>
          <w:sz w:val="12"/>
          <w:szCs w:val="12"/>
          <w:i w:val="1"/>
          <w:iCs w:val="1"/>
          <w:color w:val="auto"/>
        </w:rPr>
        <w:t>Simplifying the Accounting for Income Taxes.”</w:t>
      </w:r>
      <w:r>
        <w:rPr>
          <w:rFonts w:ascii="Times New Roman" w:cs="Times New Roman" w:eastAsia="Times New Roman" w:hAnsi="Times New Roman"/>
          <w:sz w:val="12"/>
          <w:szCs w:val="12"/>
          <w:color w:val="auto"/>
        </w:rPr>
        <w:t xml:space="preserve"> This standard simplifies the accounting for income taxes by removing certain exceptions to the general principles in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while also clarifying and amending existing guidance, including interim-period accounting for enacted changes in tax law. This standard is effective for fiscal years, and for interim periods within those fiscal years,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beginning after December 15, 2020, with early adoption permitted. In the first quarter of fiscal 2020, the Company elected early adoption of ASU 2019-12. The provisions related to intra period tax allocation and interim recognition of enactment of tax laws are being adopted on a prospective basis. The effect of the adoption of ASU 2019-12 was not material to the Company's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Issued Accounting Pronouncements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 new accounting pronouncements, issued or effective during the first nine months of fiscal 2020, have had or are expected to have a significant impact on the Company’s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2. Revenue Recognition</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212121"/>
        </w:rPr>
        <w:t xml:space="preserve">The Company operates as a retailer of big and tall men’s clothing, which includes stores, direct and wholesale. </w:t>
      </w:r>
      <w:r>
        <w:rPr>
          <w:rFonts w:ascii="Times New Roman" w:cs="Times New Roman" w:eastAsia="Times New Roman" w:hAnsi="Times New Roman"/>
          <w:sz w:val="12"/>
          <w:szCs w:val="12"/>
          <w:color w:val="000000"/>
        </w:rPr>
        <w:t>Revenue is recognized by the operating segment that initiates a customer’s order. Store sales are defined as sales that</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000000"/>
        </w:rPr>
        <w:t xml:space="preserve">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Times New Roman" w:cs="Times New Roman" w:eastAsia="Times New Roman" w:hAnsi="Times New Roman"/>
          <w:sz w:val="12"/>
          <w:szCs w:val="12"/>
          <w:color w:val="212121"/>
        </w:rPr>
        <w:t>Generally, all revenues are recognized when control of the promised goods is transferred to customers, in an amount that reflects</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12121"/>
        </w:rPr>
        <w:t xml:space="preserve">the consideration in exchange for those goods. </w:t>
      </w:r>
      <w:r>
        <w:rPr>
          <w:rFonts w:ascii="Times New Roman" w:cs="Times New Roman" w:eastAsia="Times New Roman" w:hAnsi="Times New Roman"/>
          <w:sz w:val="12"/>
          <w:szCs w:val="12"/>
          <w:color w:val="000000"/>
        </w:rPr>
        <w:t>Sales tax collected from customers and remitted to taxing authorities is excluded from revenue and is included as part of accrued expenses on the Consolidated Balance Sheets.</w:t>
      </w:r>
    </w:p>
    <w:p>
      <w:pPr>
        <w:spacing w:after="0" w:line="47" w:lineRule="exact"/>
        <w:rPr>
          <w:sz w:val="20"/>
          <w:szCs w:val="20"/>
          <w:color w:val="auto"/>
        </w:rPr>
      </w:pPr>
    </w:p>
    <w:p>
      <w:pPr>
        <w:ind w:left="740" w:hanging="376"/>
        <w:spacing w:after="0"/>
        <w:tabs>
          <w:tab w:leader="none" w:pos="740" w:val="left"/>
        </w:tabs>
        <w:numPr>
          <w:ilvl w:val="0"/>
          <w:numId w:val="3"/>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store operations is recorded upon purchase of merchandise by customers, net of an allowance for sales returns, which is estimated based upon historical experience.</w:t>
      </w:r>
    </w:p>
    <w:p>
      <w:pPr>
        <w:spacing w:after="0" w:line="78" w:lineRule="exact"/>
        <w:rPr>
          <w:rFonts w:ascii="Arial" w:cs="Arial" w:eastAsia="Arial" w:hAnsi="Arial"/>
          <w:sz w:val="12"/>
          <w:szCs w:val="12"/>
          <w:color w:val="212121"/>
        </w:rPr>
      </w:pPr>
    </w:p>
    <w:p>
      <w:pPr>
        <w:ind w:left="740" w:hanging="376"/>
        <w:spacing w:after="0"/>
        <w:tabs>
          <w:tab w:leader="none" w:pos="740" w:val="left"/>
        </w:tabs>
        <w:numPr>
          <w:ilvl w:val="0"/>
          <w:numId w:val="3"/>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direct operations is recognized at the time a customer order is delivered, net of an allowance for sales returns, which is estimated based upon historical experience.</w:t>
      </w:r>
    </w:p>
    <w:p>
      <w:pPr>
        <w:spacing w:after="0" w:line="78" w:lineRule="exact"/>
        <w:rPr>
          <w:rFonts w:ascii="Arial" w:cs="Arial" w:eastAsia="Arial" w:hAnsi="Arial"/>
          <w:sz w:val="12"/>
          <w:szCs w:val="12"/>
          <w:color w:val="212121"/>
        </w:rPr>
      </w:pPr>
    </w:p>
    <w:p>
      <w:pPr>
        <w:ind w:left="740" w:right="20" w:hanging="376"/>
        <w:spacing w:after="0" w:line="285" w:lineRule="auto"/>
        <w:tabs>
          <w:tab w:leader="none" w:pos="740" w:val="left"/>
        </w:tabs>
        <w:numPr>
          <w:ilvl w:val="0"/>
          <w:numId w:val="3"/>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wholesale operations is recognized at the time the wholesale customer takes physical receipt of the merchandise, net of any identified discounts in accordance with each individual order. For the first nine months of fiscal 2020 and fiscal 2019, chargebacks were immaterial.</w:t>
      </w:r>
    </w:p>
    <w:p>
      <w:pPr>
        <w:spacing w:after="0" w:line="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Unredeemed Gift Cards, Gift Certificates, and Credit Vouchers. </w:t>
      </w:r>
      <w:r>
        <w:rPr>
          <w:rFonts w:ascii="Times New Roman" w:cs="Times New Roman" w:eastAsia="Times New Roman" w:hAnsi="Times New Roman"/>
          <w:sz w:val="12"/>
          <w:szCs w:val="12"/>
          <w:color w:val="auto"/>
        </w:rPr>
        <w:t>Upon issuance of a gift card, gift certificate, or credit voucher, a liability is established for its cash value. The liability is relieved and net sales are recorded upon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$1.9 million and $2.7 million at October 31, 2020 and February 1, 2020, respectively.</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Unredeemed Loyalty Coupons. </w:t>
      </w:r>
      <w:r>
        <w:rPr>
          <w:rFonts w:ascii="Times New Roman" w:cs="Times New Roman" w:eastAsia="Times New Roman" w:hAnsi="Times New Roman"/>
          <w:sz w:val="12"/>
          <w:szCs w:val="12"/>
          <w:color w:val="auto"/>
        </w:rPr>
        <w:t>The Company offers a free loyalty program to its customers for which points accumulate based on the purchase of merchandise. Over 90% of the Company’s customers participate in the loyalty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program. Under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$1.0 million and $1.0 million at October 31, 2020 and February 1, 2020, respectively.</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i w:val="1"/>
          <w:iCs w:val="1"/>
          <w:color w:val="auto"/>
        </w:rPr>
        <w:t xml:space="preserve">Shipping. </w:t>
      </w:r>
      <w:r>
        <w:rPr>
          <w:rFonts w:ascii="Times New Roman" w:cs="Times New Roman" w:eastAsia="Times New Roman" w:hAnsi="Times New Roman"/>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related costs are recorded in cost of goods sold, including occupancy costs, in the Consolidated Statements of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Disaggregation of Revenue</w:t>
      </w:r>
    </w:p>
    <w:p>
      <w:pPr>
        <w:spacing w:after="0" w:line="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 xml:space="preserve">As noted above under </w:t>
      </w:r>
      <w:r>
        <w:rPr>
          <w:rFonts w:ascii="Times New Roman" w:cs="Times New Roman" w:eastAsia="Times New Roman" w:hAnsi="Times New Roman"/>
          <w:sz w:val="12"/>
          <w:szCs w:val="12"/>
          <w:i w:val="1"/>
          <w:iCs w:val="1"/>
          <w:color w:val="auto"/>
        </w:rPr>
        <w:t>Segment Information</w:t>
      </w:r>
      <w:r>
        <w:rPr>
          <w:rFonts w:ascii="Times New Roman" w:cs="Times New Roman" w:eastAsia="Times New Roman" w:hAnsi="Times New Roman"/>
          <w:sz w:val="12"/>
          <w:szCs w:val="12"/>
          <w:color w:val="auto"/>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4"/>
          </w:tcPr>
          <w:p>
            <w:pPr>
              <w:jc w:val="right"/>
              <w:ind w:right="860"/>
              <w:spacing w:after="0"/>
              <w:rPr>
                <w:sz w:val="20"/>
                <w:szCs w:val="20"/>
                <w:color w:val="auto"/>
              </w:rPr>
            </w:pPr>
            <w:r>
              <w:rPr>
                <w:rFonts w:ascii="Times New Roman" w:cs="Times New Roman" w:eastAsia="Times New Roman" w:hAnsi="Times New Roman"/>
                <w:sz w:val="12"/>
                <w:szCs w:val="12"/>
                <w:color w:val="auto"/>
              </w:rPr>
              <w:t>For the three months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5"/>
          </w:tcPr>
          <w:p>
            <w:pPr>
              <w:jc w:val="right"/>
              <w:ind w:right="840"/>
              <w:spacing w:after="0"/>
              <w:rPr>
                <w:sz w:val="20"/>
                <w:szCs w:val="20"/>
                <w:color w:val="auto"/>
              </w:rPr>
            </w:pPr>
            <w:r>
              <w:rPr>
                <w:rFonts w:ascii="Times New Roman" w:cs="Times New Roman" w:eastAsia="Times New Roman" w:hAnsi="Times New Roman"/>
                <w:sz w:val="12"/>
                <w:szCs w:val="12"/>
                <w:color w:val="auto"/>
              </w:rPr>
              <w:t>For the nine months ended</w:t>
            </w:r>
          </w:p>
        </w:tc>
        <w:tc>
          <w:tcPr>
            <w:tcW w:w="700" w:type="dxa"/>
            <w:vAlign w:val="bottom"/>
          </w:tcPr>
          <w:p>
            <w:pPr>
              <w:spacing w:after="0"/>
              <w:rPr>
                <w:sz w:val="13"/>
                <w:szCs w:val="13"/>
                <w:color w:val="auto"/>
              </w:rPr>
            </w:pPr>
          </w:p>
        </w:tc>
      </w:tr>
      <w:tr>
        <w:trPr>
          <w:trHeight w:val="158"/>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October 31, 2020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November 2, 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October 31, 2020</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November 2, 2019</w:t>
            </w:r>
          </w:p>
        </w:tc>
        <w:tc>
          <w:tcPr>
            <w:tcW w:w="70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Store sales</w:t>
            </w:r>
          </w:p>
        </w:tc>
        <w:tc>
          <w:tcPr>
            <w:tcW w:w="94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53,363</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66.6%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81,054</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78.1%</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124,155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60.0%</w:t>
            </w: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262,888</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78.5%</w:t>
            </w:r>
          </w:p>
        </w:tc>
      </w:tr>
      <w:tr>
        <w:trPr>
          <w:trHeight w:val="154"/>
        </w:trPr>
        <w:tc>
          <w:tcPr>
            <w:tcW w:w="20" w:type="dxa"/>
            <w:vAlign w:val="bottom"/>
          </w:tcPr>
          <w:p>
            <w:pPr>
              <w:spacing w:after="0"/>
              <w:rPr>
                <w:sz w:val="13"/>
                <w:szCs w:val="13"/>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Direct sales</w:t>
            </w:r>
          </w:p>
        </w:tc>
        <w:tc>
          <w:tcPr>
            <w:tcW w:w="9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26,764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33.4%</w:t>
            </w:r>
          </w:p>
        </w:tc>
        <w:tc>
          <w:tcPr>
            <w:tcW w:w="10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22,676</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21.9%</w:t>
            </w:r>
          </w:p>
        </w:tc>
        <w:tc>
          <w:tcPr>
            <w:tcW w:w="160" w:type="dxa"/>
            <w:vAlign w:val="bottom"/>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82,605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40.0%</w:t>
            </w:r>
          </w:p>
        </w:tc>
        <w:tc>
          <w:tcPr>
            <w:tcW w:w="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71,915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21.5%</w:t>
            </w:r>
          </w:p>
        </w:tc>
      </w:tr>
      <w:tr>
        <w:trPr>
          <w:trHeight w:val="143"/>
        </w:trPr>
        <w:tc>
          <w:tcPr>
            <w:tcW w:w="2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Retail segment</w:t>
            </w:r>
          </w:p>
        </w:tc>
        <w:tc>
          <w:tcPr>
            <w:tcW w:w="94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80,127</w:t>
            </w:r>
          </w:p>
        </w:tc>
        <w:tc>
          <w:tcPr>
            <w:tcW w:w="7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103,730</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206,760</w:t>
            </w:r>
          </w:p>
        </w:tc>
        <w:tc>
          <w:tcPr>
            <w:tcW w:w="700" w:type="dxa"/>
            <w:vAlign w:val="bottom"/>
            <w:gridSpan w:val="2"/>
          </w:tcPr>
          <w:p>
            <w:pPr>
              <w:spacing w:after="0"/>
              <w:rPr>
                <w:sz w:val="12"/>
                <w:szCs w:val="12"/>
                <w:color w:val="auto"/>
              </w:rPr>
            </w:pP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334,803</w:t>
            </w:r>
          </w:p>
        </w:tc>
        <w:tc>
          <w:tcPr>
            <w:tcW w:w="70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Wholesale segment</w:t>
            </w:r>
          </w:p>
        </w:tc>
        <w:tc>
          <w:tcPr>
            <w:tcW w:w="9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5,044</w:t>
            </w:r>
          </w:p>
        </w:tc>
        <w:tc>
          <w:tcPr>
            <w:tcW w:w="7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2,851</w:t>
            </w:r>
          </w:p>
        </w:tc>
        <w:tc>
          <w:tcPr>
            <w:tcW w:w="620" w:type="dxa"/>
            <w:vAlign w:val="bottom"/>
            <w:shd w:val="clear" w:color="auto" w:fill="CFF0FC"/>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12,080</w:t>
            </w:r>
          </w:p>
        </w:tc>
        <w:tc>
          <w:tcPr>
            <w:tcW w:w="6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7,996</w:t>
            </w:r>
          </w:p>
        </w:tc>
        <w:tc>
          <w:tcPr>
            <w:tcW w:w="700" w:type="dxa"/>
            <w:vAlign w:val="bottom"/>
            <w:shd w:val="clear" w:color="auto" w:fill="CFF0FC"/>
          </w:tcPr>
          <w:p>
            <w:pPr>
              <w:spacing w:after="0"/>
              <w:rPr>
                <w:sz w:val="13"/>
                <w:szCs w:val="13"/>
                <w:color w:val="auto"/>
              </w:rPr>
            </w:pPr>
          </w:p>
        </w:tc>
      </w:tr>
      <w:tr>
        <w:trPr>
          <w:trHeight w:val="150"/>
        </w:trPr>
        <w:tc>
          <w:tcPr>
            <w:tcW w:w="2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Sales</w:t>
            </w:r>
          </w:p>
        </w:tc>
        <w:tc>
          <w:tcPr>
            <w:tcW w:w="940" w:type="dxa"/>
            <w:vAlign w:val="bottom"/>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85,171</w:t>
            </w:r>
          </w:p>
        </w:tc>
        <w:tc>
          <w:tcPr>
            <w:tcW w:w="7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106,581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218,840</w:t>
            </w:r>
          </w:p>
        </w:tc>
        <w:tc>
          <w:tcPr>
            <w:tcW w:w="6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342,799</w:t>
            </w:r>
          </w:p>
        </w:tc>
        <w:tc>
          <w:tcPr>
            <w:tcW w:w="700" w:type="dxa"/>
            <w:vAlign w:val="bottom"/>
          </w:tcPr>
          <w:p>
            <w:pPr>
              <w:spacing w:after="0"/>
              <w:rPr>
                <w:sz w:val="13"/>
                <w:szCs w:val="13"/>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Debt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Agreement with Bank of America, N.A.</w:t>
      </w:r>
    </w:p>
    <w:p>
      <w:pPr>
        <w:spacing w:after="0" w:line="15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On May 24, 2018, the Company entered into the Seventh Amended and Restated Credit Agreement, as amended, with Bank of America, N.A., as agent, providing for a secured $140.0 million credit facility. On April 15, 2020, the Company entered into a Third Amendment to the Seventh Amended and Restated Credit Facility, as amended (the “Third Amendment”). The Third Amendment,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369" w:right="299" w:bottom="1440" w:gutter="0" w:footer="0" w:header="0"/>
        </w:sectPr>
      </w:pPr>
    </w:p>
    <w:bookmarkStart w:id="13" w:name="page14"/>
    <w:bookmarkEnd w:id="13"/>
    <w:p>
      <w:pPr>
        <w:jc w:val="both"/>
        <w:spacing w:after="0" w:line="269" w:lineRule="auto"/>
        <w:rPr>
          <w:sz w:val="20"/>
          <w:szCs w:val="20"/>
          <w:color w:val="auto"/>
        </w:rPr>
      </w:pPr>
      <w:r>
        <w:rPr>
          <w:rFonts w:ascii="Times New Roman" w:cs="Times New Roman" w:eastAsia="Times New Roman" w:hAnsi="Times New Roman"/>
          <w:sz w:val="12"/>
          <w:szCs w:val="12"/>
          <w:color w:val="auto"/>
        </w:rPr>
        <w:t>among other things, (i) extended the current advance rate of 10%, under the “first-in, last out” (FILO) term facility (the “FILO loan”), from May 24, 2020 to December 31, 2020, at which time it will step-down to 7.5%; (ii) lowered the Loan Cap, as described below, and eliminated the springing financial covenant, (iii) increased the Applicable Margins under the FILO and Revolving Facility (defined below) by 150 basis points and (iv) permitted the Company to enter into promissory notes with vendors in satisfaction of outstanding payables for existing goods, in an aggregate amount not to exceed $15.0 million (as amended, the “Credit Facility”)</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letters of credit and up to $15.0 million for swingline loans. The Company’s ability to borrow under the Revolving Facility (the “Loan Cap”) is determined using an availability formula based on eligible assets. Pursuant to the Third Amendment, the excess availability under the Credit Facility cannot be less than the greater of (i) 10% of the Revolving Loan Cap (calculated without giving effect to the FILO (first-in, last-out) Push Down Reserve) or (ii) $10.0 million. </w:t>
      </w:r>
      <w:r>
        <w:rPr>
          <w:rFonts w:ascii="Times New Roman" w:cs="Times New Roman" w:eastAsia="Times New Roman" w:hAnsi="Times New Roman"/>
          <w:sz w:val="12"/>
          <w:szCs w:val="12"/>
          <w:color w:val="000033"/>
        </w:rPr>
        <w:t>The maturity date of the Credit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33"/>
        </w:rPr>
        <w:t xml:space="preserve">Facility is May 24, 2023. </w:t>
      </w:r>
      <w:r>
        <w:rPr>
          <w:rFonts w:ascii="Times New Roman" w:cs="Times New Roman" w:eastAsia="Times New Roman" w:hAnsi="Times New Roman"/>
          <w:sz w:val="12"/>
          <w:szCs w:val="12"/>
          <w:color w:val="000000"/>
        </w:rPr>
        <w:t>The Company’s obligations under the Credit Facility are secured by a lien on substantially all of its assets.</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212121"/>
        </w:rPr>
        <w:t xml:space="preserve">To help manage its near-term liquidity in light of the uncertainty related to COVID-19 and provide financial flexibility, the Company drew $30.0 million under its secured revolving credit facility in March 2020. </w:t>
      </w:r>
      <w:r>
        <w:rPr>
          <w:rFonts w:ascii="Times New Roman" w:cs="Times New Roman" w:eastAsia="Times New Roman" w:hAnsi="Times New Roman"/>
          <w:sz w:val="12"/>
          <w:szCs w:val="12"/>
          <w:color w:val="000000"/>
        </w:rPr>
        <w:t>At October 31, 2020,</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000000"/>
        </w:rPr>
        <w:t>the Company had outstanding borrowings under the Revolving Facility of $68.3 million, before unamortized debt issuance costs of $0.2 million. At October 31, 2020, outstanding standby letters of credit were $2.8 million and outstanding documentary letters of credit were $1.3 million. Unused excess availability was $13.5 million at October 31, 2020. Average monthly borrowings outstanding under the Revolving Facility during the first nine months of fiscal 2020 were $67.4 million, resulting in an average unused excess availability of approximately $19.5 million. The Company’s ability to borrow under the Revolving Facility was determined using an availability formula based on eligible assets, with increased advance rates based on seasonality.</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Company was also subject to an unused line fee of 0.25%. At October 31, 2020, the Company’s prime-based interest rate was 5.25%. At October 31, 2020, the Company had approximately $65.0 million of its outstanding borrowings in LIBOR-based contracts with an interest rate of 4.00%. The LIBOR-based contracts expired on November 2, 2020. When a LIBOR-based borrowing expires, the borrowings revert back to prime-based borrowings unless the Company enters into a new LIBOR-based borrowing arrangement.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Borrowings and repayments under the Revolving Facility for the nine months ended October 31, 2020 and November 2, 2019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700" w:type="dxa"/>
            <w:vAlign w:val="bottom"/>
            <w:gridSpan w:val="3"/>
          </w:tcPr>
          <w:p>
            <w:pPr>
              <w:jc w:val="right"/>
              <w:ind w:right="185"/>
              <w:spacing w:after="0"/>
              <w:rPr>
                <w:sz w:val="20"/>
                <w:szCs w:val="20"/>
                <w:color w:val="auto"/>
              </w:rPr>
            </w:pPr>
            <w:r>
              <w:rPr>
                <w:rFonts w:ascii="Times New Roman" w:cs="Times New Roman" w:eastAsia="Times New Roman" w:hAnsi="Times New Roman"/>
                <w:sz w:val="10"/>
                <w:szCs w:val="10"/>
                <w:color w:val="auto"/>
              </w:rPr>
              <w:t>For the nine months ended</w:t>
            </w: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80" w:type="dxa"/>
            <w:vAlign w:val="bottom"/>
            <w:gridSpan w:val="2"/>
          </w:tcPr>
          <w:p>
            <w:pPr>
              <w:jc w:val="right"/>
              <w:ind w:right="1200"/>
              <w:spacing w:after="0"/>
              <w:rPr>
                <w:sz w:val="20"/>
                <w:szCs w:val="20"/>
                <w:color w:val="auto"/>
              </w:rPr>
            </w:pPr>
            <w:r>
              <w:rPr>
                <w:rFonts w:ascii="Times New Roman" w:cs="Times New Roman" w:eastAsia="Times New Roman" w:hAnsi="Times New Roman"/>
                <w:sz w:val="10"/>
                <w:szCs w:val="10"/>
                <w:color w:val="auto"/>
              </w:rPr>
              <w:t>October 31, 2020</w:t>
            </w:r>
          </w:p>
        </w:tc>
        <w:tc>
          <w:tcPr>
            <w:tcW w:w="420" w:type="dxa"/>
            <w:vAlign w:val="bottom"/>
          </w:tcPr>
          <w:p>
            <w:pPr>
              <w:spacing w:after="0"/>
              <w:rPr>
                <w:sz w:val="9"/>
                <w:szCs w:val="9"/>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0"/>
                <w:szCs w:val="10"/>
                <w:color w:val="auto"/>
              </w:rPr>
              <w:t>November 2, 2019</w:t>
            </w:r>
          </w:p>
        </w:tc>
        <w:tc>
          <w:tcPr>
            <w:tcW w:w="0" w:type="dxa"/>
            <w:vAlign w:val="bottom"/>
          </w:tcPr>
          <w:p>
            <w:pPr>
              <w:spacing w:after="0"/>
              <w:rPr>
                <w:sz w:val="1"/>
                <w:szCs w:val="1"/>
                <w:color w:val="auto"/>
              </w:rPr>
            </w:pPr>
          </w:p>
        </w:tc>
      </w:tr>
      <w:tr>
        <w:trPr>
          <w:trHeight w:val="143"/>
        </w:trPr>
        <w:tc>
          <w:tcPr>
            <w:tcW w:w="6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Borrowings</w:t>
            </w: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60,748</w:t>
            </w:r>
          </w:p>
        </w:tc>
        <w:tc>
          <w:tcPr>
            <w:tcW w:w="3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117,910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Repayments</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(32,071)</w:t>
            </w:r>
          </w:p>
        </w:tc>
        <w:tc>
          <w:tcPr>
            <w:tcW w:w="42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(91,695)</w:t>
            </w:r>
          </w:p>
        </w:tc>
        <w:tc>
          <w:tcPr>
            <w:tcW w:w="0" w:type="dxa"/>
            <w:vAlign w:val="bottom"/>
          </w:tcPr>
          <w:p>
            <w:pPr>
              <w:spacing w:after="0"/>
              <w:rPr>
                <w:sz w:val="1"/>
                <w:szCs w:val="1"/>
                <w:color w:val="auto"/>
              </w:rPr>
            </w:pPr>
          </w:p>
        </w:tc>
      </w:tr>
      <w:tr>
        <w:trPr>
          <w:trHeight w:val="163"/>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borrowings (repayments)</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28,677</w:t>
            </w:r>
          </w:p>
        </w:tc>
        <w:tc>
          <w:tcPr>
            <w:tcW w:w="320" w:type="dxa"/>
            <w:vAlign w:val="bottom"/>
            <w:tcBorders>
              <w:top w:val="single" w:sz="8" w:color="CFF0FC"/>
              <w:bottom w:val="single" w:sz="8" w:color="CFF0FC"/>
            </w:tcBorders>
            <w:shd w:val="clear" w:color="auto" w:fill="CFF0FC"/>
          </w:tcPr>
          <w:p>
            <w:pPr>
              <w:spacing w:after="0"/>
              <w:rPr>
                <w:sz w:val="14"/>
                <w:szCs w:val="14"/>
                <w:color w:val="auto"/>
              </w:rPr>
            </w:pPr>
          </w:p>
        </w:tc>
        <w:tc>
          <w:tcPr>
            <w:tcW w:w="42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26,215</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The fair value of the amount outstanding under the Revolving Facility at October 31, 2020 approximated the carrying value.</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Long-Term Debt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at October 31, 2020 and February 1, 2020 is as follows:</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1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80" w:type="dxa"/>
            <w:vAlign w:val="bottom"/>
            <w:gridSpan w:val="2"/>
          </w:tcPr>
          <w:p>
            <w:pPr>
              <w:jc w:val="right"/>
              <w:ind w:right="1200"/>
              <w:spacing w:after="0"/>
              <w:rPr>
                <w:sz w:val="20"/>
                <w:szCs w:val="20"/>
                <w:color w:val="auto"/>
              </w:rPr>
            </w:pPr>
            <w:r>
              <w:rPr>
                <w:rFonts w:ascii="Times New Roman" w:cs="Times New Roman" w:eastAsia="Times New Roman" w:hAnsi="Times New Roman"/>
                <w:sz w:val="10"/>
                <w:szCs w:val="10"/>
                <w:color w:val="auto"/>
              </w:rPr>
              <w:t>October 31, 2020</w:t>
            </w:r>
          </w:p>
        </w:tc>
        <w:tc>
          <w:tcPr>
            <w:tcW w:w="420" w:type="dxa"/>
            <w:vAlign w:val="bottom"/>
          </w:tcPr>
          <w:p>
            <w:pPr>
              <w:spacing w:after="0"/>
              <w:rPr>
                <w:sz w:val="23"/>
                <w:szCs w:val="23"/>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color w:val="auto"/>
              </w:rPr>
              <w:t>February 1, 2020</w:t>
            </w:r>
          </w:p>
        </w:tc>
        <w:tc>
          <w:tcPr>
            <w:tcW w:w="0" w:type="dxa"/>
            <w:vAlign w:val="bottom"/>
          </w:tcPr>
          <w:p>
            <w:pPr>
              <w:spacing w:after="0"/>
              <w:rPr>
                <w:sz w:val="1"/>
                <w:szCs w:val="1"/>
                <w:color w:val="auto"/>
              </w:rPr>
            </w:pPr>
          </w:p>
        </w:tc>
      </w:tr>
      <w:tr>
        <w:trPr>
          <w:trHeight w:val="143"/>
        </w:trPr>
        <w:tc>
          <w:tcPr>
            <w:tcW w:w="6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FILO Loan</w:t>
            </w: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3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Less: unamortized debt issuance costs</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(145)</w:t>
            </w:r>
          </w:p>
        </w:tc>
        <w:tc>
          <w:tcPr>
            <w:tcW w:w="42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(187)</w:t>
            </w:r>
          </w:p>
        </w:tc>
        <w:tc>
          <w:tcPr>
            <w:tcW w:w="0" w:type="dxa"/>
            <w:vAlign w:val="bottom"/>
          </w:tcPr>
          <w:p>
            <w:pPr>
              <w:spacing w:after="0"/>
              <w:rPr>
                <w:sz w:val="1"/>
                <w:szCs w:val="1"/>
                <w:color w:val="auto"/>
              </w:rPr>
            </w:pPr>
          </w:p>
        </w:tc>
      </w:tr>
      <w:tr>
        <w:trPr>
          <w:trHeight w:val="143"/>
        </w:trPr>
        <w:tc>
          <w:tcPr>
            <w:tcW w:w="6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long-term debt</w:t>
            </w: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14,855</w:t>
            </w:r>
          </w:p>
        </w:tc>
        <w:tc>
          <w:tcPr>
            <w:tcW w:w="3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14,813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0"/>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14,855</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14,813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total borrowing capacity under the FILO loan is based on a borrowing base, generally defined as a specified percentage of the value of eligible accounts (including certain trade names) that step down over time, plus a specified percentage of the value of eligible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416" w:right="29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2"/>
          <w:szCs w:val="12"/>
          <w:color w:val="auto"/>
        </w:rPr>
        <w:t>inventory that steps down over time. The Third Amendment to the Credit Facility extended these advance rates by approximately seven months before they begin to step down. The FILO loan can be repaid, in whole or in part, subject to certain payment conditions. The term loan expires on May 24, 2023, if not repaid in full prior to that date.</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As a result of extending the advance rates under the FILO loan, the applicable margin rates for borrowings were increased by approximately 150 basis points. Accordingly, borrowings made under the FILO loan will bear interest, calculated under either the Federal Funds rate or the LIBOR rate, at a rate equal to the following: (a) the Federal Funds rate plus a carrying percentage based on the Company’s excess availability, of either 3.75% or 4.00% until May 24, 2021 or 3.25% or 3.50% after May 24, 2021 or (b) the LIBOR rate (the Company being able to select interest periods of 1 week, 1 month, 2 months, 3 months or 6 months) plus a varying percentage based on the Company’s excess availability of either 4.75% or 5.00% until May 24, 2021, or 4.25% or 4.50% after May 24, 2021. At October 31, 2020, the outstanding balance of $15.0 million was in a 6-month LIBOR-based contract with an interest rate of 6.00%. The LIBOR-based contract expired on November 15, 2020. When a LIBOR-based contract expires, the borrowings revert back to prime-based borrowings unless the Company enters into a new LIBOR-based borrowing arrangement.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paid interest and fees totaling $2.4 million and $2.7 million for the nine months ended October 31, 2020 and November 2, 2019,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Leases</w:t>
      </w:r>
    </w:p>
    <w:p>
      <w:pPr>
        <w:spacing w:after="0" w:line="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Due to the COVID-19 pandemic and all stores having to close temporarily, the Company held rent payments for the period of April through June 2020. During the second quarter of fiscal 2020, the Company received concessions with the majority of its landlords in the form of rent deferrals, abatements and, to a lesser extent, lease extensions. For the remainder of the leases, the outstanding lease payments were paid and the leases remain in good standing. 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has opted not to elect this practical expedient and instead account for these rent concessions as lease modifications in accordance with ASC 842. As of October 31, 2020, the Company’s operating leases liabilities represent the present value of the remaining future minimum lease payments updated based on concessions and lease modifications, the majority of which were recorded in the second quarter of fiscal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is a summary of the Company’s components of net lease cost for the third quarter and nine months ended October 31, 2020 and November 2,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5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740" w:type="dxa"/>
            <w:vAlign w:val="bottom"/>
            <w:gridSpan w:val="6"/>
            <w:shd w:val="clear" w:color="auto" w:fill="CFF0FC"/>
          </w:tcPr>
          <w:p>
            <w:pPr>
              <w:ind w:left="700"/>
              <w:spacing w:after="0"/>
              <w:rPr>
                <w:sz w:val="20"/>
                <w:szCs w:val="20"/>
                <w:color w:val="auto"/>
              </w:rPr>
            </w:pPr>
            <w:r>
              <w:rPr>
                <w:rFonts w:ascii="Times New Roman" w:cs="Times New Roman" w:eastAsia="Times New Roman" w:hAnsi="Times New Roman"/>
                <w:sz w:val="12"/>
                <w:szCs w:val="12"/>
                <w:color w:val="auto"/>
              </w:rPr>
              <w:t>For the three months ended</w:t>
            </w: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180" w:type="dxa"/>
            <w:vAlign w:val="bottom"/>
            <w:gridSpan w:val="7"/>
            <w:shd w:val="clear" w:color="auto" w:fill="CFF0FC"/>
          </w:tcPr>
          <w:p>
            <w:pPr>
              <w:ind w:left="700"/>
              <w:spacing w:after="0"/>
              <w:rPr>
                <w:sz w:val="20"/>
                <w:szCs w:val="20"/>
                <w:color w:val="auto"/>
              </w:rPr>
            </w:pPr>
            <w:r>
              <w:rPr>
                <w:rFonts w:ascii="Times New Roman" w:cs="Times New Roman" w:eastAsia="Times New Roman" w:hAnsi="Times New Roman"/>
                <w:sz w:val="12"/>
                <w:szCs w:val="12"/>
                <w:color w:val="auto"/>
              </w:rPr>
              <w:t>For the nine months ended</w:t>
            </w: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October 31, 2020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ind w:left="500"/>
              <w:spacing w:after="0" w:line="127" w:lineRule="exact"/>
              <w:rPr>
                <w:sz w:val="20"/>
                <w:szCs w:val="20"/>
                <w:color w:val="auto"/>
              </w:rPr>
            </w:pPr>
            <w:r>
              <w:rPr>
                <w:rFonts w:ascii="Times New Roman" w:cs="Times New Roman" w:eastAsia="Times New Roman" w:hAnsi="Times New Roman"/>
                <w:sz w:val="12"/>
                <w:szCs w:val="12"/>
                <w:color w:val="auto"/>
              </w:rPr>
              <w:t>November 2, 2019</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4"/>
          </w:tcPr>
          <w:p>
            <w:pPr>
              <w:ind w:left="160"/>
              <w:spacing w:after="0" w:line="127" w:lineRule="exact"/>
              <w:rPr>
                <w:sz w:val="20"/>
                <w:szCs w:val="20"/>
                <w:color w:val="auto"/>
              </w:rPr>
            </w:pPr>
            <w:r>
              <w:rPr>
                <w:rFonts w:ascii="Times New Roman" w:cs="Times New Roman" w:eastAsia="Times New Roman" w:hAnsi="Times New Roman"/>
                <w:sz w:val="12"/>
                <w:szCs w:val="12"/>
                <w:color w:val="auto"/>
              </w:rPr>
              <w:t>October 31, 2020</w:t>
            </w:r>
          </w:p>
        </w:tc>
        <w:tc>
          <w:tcPr>
            <w:tcW w:w="480" w:type="dxa"/>
            <w:vAlign w:val="bottom"/>
          </w:tcPr>
          <w:p>
            <w:pPr>
              <w:spacing w:after="0"/>
              <w:rPr>
                <w:sz w:val="11"/>
                <w:szCs w:val="11"/>
                <w:color w:val="auto"/>
              </w:rPr>
            </w:pPr>
          </w:p>
        </w:tc>
        <w:tc>
          <w:tcPr>
            <w:tcW w:w="1380" w:type="dxa"/>
            <w:vAlign w:val="bottom"/>
            <w:gridSpan w:val="3"/>
          </w:tcPr>
          <w:p>
            <w:pPr>
              <w:spacing w:after="0" w:line="127" w:lineRule="exact"/>
              <w:rPr>
                <w:sz w:val="20"/>
                <w:szCs w:val="20"/>
                <w:color w:val="auto"/>
              </w:rPr>
            </w:pPr>
            <w:r>
              <w:rPr>
                <w:rFonts w:ascii="Times New Roman" w:cs="Times New Roman" w:eastAsia="Times New Roman" w:hAnsi="Times New Roman"/>
                <w:sz w:val="12"/>
                <w:szCs w:val="12"/>
                <w:color w:val="auto"/>
              </w:rPr>
              <w:t>November 2, 2019</w:t>
            </w:r>
          </w:p>
        </w:tc>
      </w:tr>
      <w:tr>
        <w:trPr>
          <w:trHeight w:val="154"/>
        </w:trPr>
        <w:tc>
          <w:tcPr>
            <w:tcW w:w="20" w:type="dxa"/>
            <w:vAlign w:val="bottom"/>
          </w:tcPr>
          <w:p>
            <w:pPr>
              <w:spacing w:after="0"/>
              <w:rPr>
                <w:sz w:val="13"/>
                <w:szCs w:val="13"/>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5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cost</w:t>
            </w:r>
          </w:p>
        </w:tc>
        <w:tc>
          <w:tcPr>
            <w:tcW w:w="1860" w:type="dxa"/>
            <w:vAlign w:val="bottom"/>
            <w:gridSpan w:val="2"/>
          </w:tcPr>
          <w:p>
            <w:pPr>
              <w:jc w:val="right"/>
              <w:ind w:right="24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11,824</w:t>
            </w:r>
          </w:p>
        </w:tc>
        <w:tc>
          <w:tcPr>
            <w:tcW w:w="100" w:type="dxa"/>
            <w:vAlign w:val="bottom"/>
          </w:tcPr>
          <w:p>
            <w:pPr>
              <w:spacing w:after="0"/>
              <w:rPr>
                <w:sz w:val="13"/>
                <w:szCs w:val="13"/>
                <w:color w:val="auto"/>
              </w:rPr>
            </w:pP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13,500</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35,756</w:t>
            </w:r>
          </w:p>
        </w:tc>
        <w:tc>
          <w:tcPr>
            <w:tcW w:w="100" w:type="dxa"/>
            <w:vAlign w:val="bottom"/>
          </w:tcPr>
          <w:p>
            <w:pPr>
              <w:spacing w:after="0"/>
              <w:rPr>
                <w:sz w:val="13"/>
                <w:szCs w:val="13"/>
                <w:color w:val="auto"/>
              </w:rPr>
            </w:pP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39,968</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Variable lease costs</w:t>
            </w:r>
            <w:r>
              <w:rPr>
                <w:rFonts w:ascii="Times New Roman" w:cs="Times New Roman" w:eastAsia="Times New Roman" w:hAnsi="Times New Roman"/>
                <w:sz w:val="10"/>
                <w:szCs w:val="10"/>
                <w:color w:val="auto"/>
              </w:rPr>
              <w:t>(1)</w:t>
            </w:r>
          </w:p>
        </w:tc>
        <w:tc>
          <w:tcPr>
            <w:tcW w:w="15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3,690</w:t>
            </w:r>
          </w:p>
        </w:tc>
        <w:tc>
          <w:tcPr>
            <w:tcW w:w="10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4,201</w:t>
            </w:r>
          </w:p>
        </w:tc>
        <w:tc>
          <w:tcPr>
            <w:tcW w:w="2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10,759</w:t>
            </w:r>
          </w:p>
        </w:tc>
        <w:tc>
          <w:tcPr>
            <w:tcW w:w="10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12,200</w:t>
            </w:r>
          </w:p>
        </w:tc>
        <w:tc>
          <w:tcPr>
            <w:tcW w:w="120" w:type="dxa"/>
            <w:vAlign w:val="bottom"/>
            <w:shd w:val="clear" w:color="auto" w:fill="CFF0FC"/>
          </w:tcPr>
          <w:p>
            <w:pPr>
              <w:spacing w:after="0"/>
              <w:rPr>
                <w:sz w:val="13"/>
                <w:szCs w:val="13"/>
                <w:color w:val="auto"/>
              </w:rPr>
            </w:pPr>
          </w:p>
        </w:tc>
      </w:tr>
      <w:tr>
        <w:trPr>
          <w:trHeight w:val="150"/>
        </w:trPr>
        <w:tc>
          <w:tcPr>
            <w:tcW w:w="2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lease costs</w:t>
            </w:r>
          </w:p>
        </w:tc>
        <w:tc>
          <w:tcPr>
            <w:tcW w:w="1500" w:type="dxa"/>
            <w:vAlign w:val="bottom"/>
          </w:tcPr>
          <w:p>
            <w:pPr>
              <w:spacing w:after="0"/>
              <w:rPr>
                <w:sz w:val="13"/>
                <w:szCs w:val="13"/>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15,514</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0"/>
              </w:rPr>
              <w:t>17,701</w:t>
            </w:r>
          </w:p>
        </w:tc>
        <w:tc>
          <w:tcPr>
            <w:tcW w:w="240" w:type="dxa"/>
            <w:vAlign w:val="bottom"/>
          </w:tcPr>
          <w:p>
            <w:pPr>
              <w:spacing w:after="0"/>
              <w:rPr>
                <w:sz w:val="13"/>
                <w:szCs w:val="13"/>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46,515</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52,168</w:t>
            </w:r>
          </w:p>
        </w:tc>
        <w:tc>
          <w:tcPr>
            <w:tcW w:w="120" w:type="dxa"/>
            <w:vAlign w:val="bottom"/>
          </w:tcPr>
          <w:p>
            <w:pPr>
              <w:spacing w:after="0"/>
              <w:rPr>
                <w:sz w:val="13"/>
                <w:szCs w:val="13"/>
                <w:color w:val="auto"/>
              </w:rPr>
            </w:pPr>
          </w:p>
        </w:tc>
      </w:tr>
    </w:tbl>
    <w:p>
      <w:pPr>
        <w:spacing w:after="0" w:line="132" w:lineRule="exact"/>
        <w:rPr>
          <w:sz w:val="20"/>
          <w:szCs w:val="20"/>
          <w:color w:val="auto"/>
        </w:rPr>
      </w:pPr>
    </w:p>
    <w:p>
      <w:pPr>
        <w:ind w:left="5580" w:right="4740" w:hanging="5216"/>
        <w:spacing w:after="0" w:line="790" w:lineRule="auto"/>
        <w:tabs>
          <w:tab w:leader="none" w:pos="73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Variable lease costs include the cost of property taxes, insurance and common area maintenance fees related to its leases.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7740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8"/>
        </w:trPr>
        <w:tc>
          <w:tcPr>
            <w:tcW w:w="7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Supplemental cash flow and balance sheet information related to leases for the nine months ended October 31, 2020 and November 2, 2019 is as follows:</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20" w:type="dxa"/>
            <w:vAlign w:val="bottom"/>
            <w:vMerge w:val="restart"/>
          </w:tcPr>
          <w:p>
            <w:pPr>
              <w:spacing w:after="0"/>
              <w:rPr>
                <w:sz w:val="24"/>
                <w:szCs w:val="24"/>
                <w:color w:val="auto"/>
              </w:rPr>
            </w:pPr>
          </w:p>
        </w:tc>
        <w:tc>
          <w:tcPr>
            <w:tcW w:w="7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500" w:type="dxa"/>
            <w:vAlign w:val="bottom"/>
            <w:shd w:val="clear" w:color="auto" w:fill="CFF0FC"/>
          </w:tcPr>
          <w:p>
            <w:pPr>
              <w:spacing w:after="0"/>
              <w:rPr>
                <w:sz w:val="13"/>
                <w:szCs w:val="13"/>
                <w:color w:val="auto"/>
              </w:rPr>
            </w:pPr>
          </w:p>
        </w:tc>
        <w:tc>
          <w:tcPr>
            <w:tcW w:w="3260" w:type="dxa"/>
            <w:vAlign w:val="bottom"/>
            <w:gridSpan w:val="7"/>
            <w:shd w:val="clear" w:color="auto" w:fill="CFF0FC"/>
          </w:tcPr>
          <w:p>
            <w:pPr>
              <w:jc w:val="right"/>
              <w:ind w:right="1160"/>
              <w:spacing w:after="0"/>
              <w:rPr>
                <w:sz w:val="20"/>
                <w:szCs w:val="20"/>
                <w:color w:val="auto"/>
              </w:rPr>
            </w:pPr>
            <w:r>
              <w:rPr>
                <w:rFonts w:ascii="Times New Roman" w:cs="Times New Roman" w:eastAsia="Times New Roman" w:hAnsi="Times New Roman"/>
                <w:sz w:val="12"/>
                <w:szCs w:val="12"/>
                <w:color w:val="auto"/>
              </w:rPr>
              <w:t>For the nine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Cash paid for amounts included in the measurement of lease liabilities:</w:t>
            </w:r>
          </w:p>
        </w:tc>
        <w:tc>
          <w:tcPr>
            <w:tcW w:w="500" w:type="dxa"/>
            <w:vAlign w:val="bottom"/>
          </w:tcPr>
          <w:p>
            <w:pPr>
              <w:spacing w:after="0"/>
              <w:rPr>
                <w:sz w:val="11"/>
                <w:szCs w:val="11"/>
                <w:color w:val="auto"/>
              </w:rPr>
            </w:pPr>
          </w:p>
        </w:tc>
        <w:tc>
          <w:tcPr>
            <w:tcW w:w="86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2"/>
                <w:szCs w:val="12"/>
                <w:color w:val="auto"/>
              </w:rPr>
              <w:t>October 31, 2020</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gridSpan w:val="3"/>
          </w:tcPr>
          <w:p>
            <w:pPr>
              <w:jc w:val="right"/>
              <w:ind w:right="440"/>
              <w:spacing w:after="0" w:line="127" w:lineRule="exact"/>
              <w:rPr>
                <w:sz w:val="20"/>
                <w:szCs w:val="20"/>
                <w:color w:val="auto"/>
              </w:rPr>
            </w:pPr>
            <w:r>
              <w:rPr>
                <w:rFonts w:ascii="Times New Roman" w:cs="Times New Roman" w:eastAsia="Times New Roman" w:hAnsi="Times New Roman"/>
                <w:sz w:val="12"/>
                <w:szCs w:val="12"/>
                <w:color w:val="auto"/>
              </w:rPr>
              <w:t>November 2, 2019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 xml:space="preserve">Operating cash flows for operating leases </w:t>
            </w:r>
            <w:r>
              <w:rPr>
                <w:rFonts w:ascii="Times New Roman" w:cs="Times New Roman" w:eastAsia="Times New Roman" w:hAnsi="Times New Roman"/>
                <w:sz w:val="10"/>
                <w:szCs w:val="10"/>
                <w:color w:val="auto"/>
              </w:rPr>
              <w:t>(1)</w:t>
            </w:r>
          </w:p>
        </w:tc>
        <w:tc>
          <w:tcPr>
            <w:tcW w:w="50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6"/>
              </w:rPr>
              <w:t>33,233</w:t>
            </w:r>
          </w:p>
        </w:tc>
        <w:tc>
          <w:tcPr>
            <w:tcW w:w="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5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43,633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2"/>
                <w:szCs w:val="12"/>
                <w:color w:val="auto"/>
              </w:rPr>
              <w:t>Non-cash operating activities:</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Right-of-use assets obtained in exchange for operating lease liabilities</w:t>
            </w:r>
          </w:p>
        </w:tc>
        <w:tc>
          <w:tcPr>
            <w:tcW w:w="50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645</w:t>
            </w:r>
          </w:p>
        </w:tc>
        <w:tc>
          <w:tcPr>
            <w:tcW w:w="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3,245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decrease in right-of-use assets due to lease modifications</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associated with rent concessions and lease exits</w:t>
            </w:r>
          </w:p>
        </w:tc>
        <w:tc>
          <w:tcPr>
            <w:tcW w:w="5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(2,283)</w:t>
            </w:r>
          </w:p>
        </w:tc>
        <w:tc>
          <w:tcPr>
            <w:tcW w:w="3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5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remaining lease term</w:t>
            </w:r>
          </w:p>
        </w:tc>
        <w:tc>
          <w:tcPr>
            <w:tcW w:w="50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rPr>
              <w:t>4.7 yrs.</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color w:val="auto"/>
              </w:rPr>
              <w:t>5.5 yrs.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1340" w:type="dxa"/>
            <w:vAlign w:val="bottom"/>
            <w:gridSpan w:val="2"/>
            <w:shd w:val="clear" w:color="auto" w:fill="CFF0FC"/>
          </w:tcPr>
          <w:p>
            <w:pPr>
              <w:jc w:val="center"/>
              <w:ind w:left="440"/>
              <w:spacing w:after="0"/>
              <w:rPr>
                <w:sz w:val="20"/>
                <w:szCs w:val="20"/>
                <w:color w:val="auto"/>
              </w:rPr>
            </w:pPr>
            <w:r>
              <w:rPr>
                <w:rFonts w:ascii="Times New Roman" w:cs="Times New Roman" w:eastAsia="Times New Roman" w:hAnsi="Times New Roman"/>
                <w:sz w:val="12"/>
                <w:szCs w:val="12"/>
                <w:color w:val="auto"/>
              </w:rPr>
              <w:t>6.46%</w:t>
            </w: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7.12%</w:t>
            </w:r>
          </w:p>
        </w:tc>
        <w:tc>
          <w:tcPr>
            <w:tcW w:w="5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740" w:right="20" w:hanging="376"/>
        <w:spacing w:after="0" w:line="286" w:lineRule="auto"/>
        <w:tabs>
          <w:tab w:leader="none" w:pos="7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decrease in cash payments for the first nine months of fiscal 2020 as compared to the prior year is primarily due to rent abatements and deferments negotiated primarily during the second quarter of fiscal 2020 for rent obligations due while stores were closed.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reconciles the undiscounted cash flows for each of the first five years and total of the remaining years to the operating lease liabilities recorded on the Consolidated Balance Sheet as of October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2020 (remaining)</w:t>
            </w:r>
          </w:p>
        </w:tc>
        <w:tc>
          <w:tcPr>
            <w:tcW w:w="4140" w:type="dxa"/>
            <w:vAlign w:val="bottom"/>
            <w:shd w:val="clear" w:color="auto" w:fill="CFF0FC"/>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13,026</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57,523</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2022</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49,322</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40,749</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2024</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30,517</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37,403</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minimum lease payments</w:t>
            </w:r>
          </w:p>
        </w:tc>
        <w:tc>
          <w:tcPr>
            <w:tcW w:w="4140" w:type="dxa"/>
            <w:vAlign w:val="bottom"/>
            <w:shd w:val="clear" w:color="auto" w:fill="CFF0FC"/>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228,540</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Less: amount of lease payments representing interest</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32,018</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Present value of future minimum lease payments</w:t>
            </w:r>
          </w:p>
        </w:tc>
        <w:tc>
          <w:tcPr>
            <w:tcW w:w="4140" w:type="dxa"/>
            <w:vAlign w:val="bottom"/>
            <w:shd w:val="clear" w:color="auto" w:fill="CFF0FC"/>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196,522</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Less: current obligations under leases</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45,616</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Long-term lease obligations</w:t>
            </w:r>
          </w:p>
        </w:tc>
        <w:tc>
          <w:tcPr>
            <w:tcW w:w="4140" w:type="dxa"/>
            <w:vAlign w:val="bottom"/>
            <w:shd w:val="clear" w:color="auto" w:fill="CFF0FC"/>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150,906</w:t>
            </w:r>
          </w:p>
        </w:tc>
        <w:tc>
          <w:tcPr>
            <w:tcW w:w="120" w:type="dxa"/>
            <w:vAlign w:val="bottom"/>
            <w:shd w:val="clear" w:color="auto" w:fill="CFF0FC"/>
          </w:tcPr>
          <w:p>
            <w:pPr>
              <w:spacing w:after="0"/>
              <w:rPr>
                <w:sz w:val="12"/>
                <w:szCs w:val="1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Long-Term Incentive Plans</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At October 31, 2020, the Company has three active LTIPs: 2018-2020 LTIP, 2019-2021 LTIP and 2020-2022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All time-based awards under the 2018-2020 LTIP were granted in restricted stock units (RSUs) and the time-based awards for the 2019-2021 LTIP were granted in a combination of 50% RSUs and 50% cash. For the 2020-2022 LTIP, the time-based awards were granted in a combination of 50% stock options and 50% cash.</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Performance targets for the 2018-2020 LTIP, 2019-2021 LTIP and 2020-2022 LTIP were established and approved by the Compensation Committee on October 24, 2018, August 7, 2019, and June 11, 2020, respectively. The performance period for each LTIP is three years. Awards for any achievement of performance targets will not be granted until the performance targets are achieved and then will be subject to additional vesting through August 31, 2021, August 31, 2022 and August, 31, 2023, respectively. The time-based awards under the 2018-2020 LTIP, 2019-2021 LTIP and 2020-2022 LTIP vest in four equal installments through April 1, 2022, April 1, 2023 and April 1, 2024, respectively. Assuming that the Company achieves the performance targets at target levels and all time-based awards vest, the compensation expense associated with the 2018-2020 LTIP, 2019-2021 LTIP and 2020-2022 LTIP is estimated to be approximately $3.7 million, $3.8 million and $3.8 million, respectively. Approximately half of the compensation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color w:val="auto"/>
        </w:rPr>
        <w:t>expense for each LTIP relates to the time-based awards, which are being expensed straight-line over 41 months, 44 months and 46 months,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October 31, 2020, the performance targets under each of the three LTIP were not deemed probable and, therefore, no accrual related to performance awards has been recorded.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Stock-Based Compensation</w:t>
      </w:r>
    </w:p>
    <w:p>
      <w:pPr>
        <w:spacing w:after="0" w:line="15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2"/>
          <w:szCs w:val="12"/>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and by an additional 1,740,000 shares on August 12, 2020. At October 31, 2020, the Company had 2,087,111 shares available under the 2016 Plan.</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October 31, 2020, 464,016 stock options remained outstanding under the 2006 Plan.</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summarize the share activity and stock option activity for the Company’s 2006 Plan, 2016 Plan and inducement awards, on a combined basis, for the first nine months of fiscal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5"/>
              </w:rPr>
              <w:t>Weighted-average</w:t>
            </w:r>
          </w:p>
        </w:tc>
        <w:tc>
          <w:tcPr>
            <w:tcW w:w="0" w:type="dxa"/>
            <w:vAlign w:val="bottom"/>
          </w:tcPr>
          <w:p>
            <w:pPr>
              <w:spacing w:after="0"/>
              <w:rPr>
                <w:sz w:val="1"/>
                <w:szCs w:val="1"/>
                <w:color w:val="auto"/>
              </w:rPr>
            </w:pPr>
          </w:p>
        </w:tc>
      </w:tr>
      <w:tr>
        <w:trPr>
          <w:trHeight w:val="100"/>
        </w:trPr>
        <w:tc>
          <w:tcPr>
            <w:tcW w:w="4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right"/>
              <w:ind w:right="440"/>
              <w:spacing w:after="0" w:line="100" w:lineRule="exact"/>
              <w:rPr>
                <w:sz w:val="20"/>
                <w:szCs w:val="20"/>
                <w:color w:val="auto"/>
              </w:rPr>
            </w:pPr>
            <w:r>
              <w:rPr>
                <w:rFonts w:ascii="Times New Roman" w:cs="Times New Roman" w:eastAsia="Times New Roman" w:hAnsi="Times New Roman"/>
                <w:sz w:val="10"/>
                <w:szCs w:val="10"/>
                <w:color w:val="auto"/>
              </w:rPr>
              <w:t>Fully-vested</w:t>
            </w:r>
          </w:p>
        </w:tc>
        <w:tc>
          <w:tcPr>
            <w:tcW w:w="114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0"/>
                <w:szCs w:val="10"/>
                <w:color w:val="auto"/>
                <w:w w:val="96"/>
              </w:rPr>
              <w:t>Performance Share</w:t>
            </w:r>
          </w:p>
        </w:tc>
        <w:tc>
          <w:tcPr>
            <w:tcW w:w="1020" w:type="dxa"/>
            <w:vAlign w:val="bottom"/>
            <w:gridSpan w:val="2"/>
          </w:tcPr>
          <w:p>
            <w:pPr>
              <w:jc w:val="right"/>
              <w:ind w:right="320"/>
              <w:spacing w:after="0" w:line="100" w:lineRule="exact"/>
              <w:rPr>
                <w:sz w:val="20"/>
                <w:szCs w:val="20"/>
                <w:color w:val="auto"/>
              </w:rPr>
            </w:pPr>
            <w:r>
              <w:rPr>
                <w:rFonts w:ascii="Times New Roman" w:cs="Times New Roman" w:eastAsia="Times New Roman" w:hAnsi="Times New Roman"/>
                <w:sz w:val="10"/>
                <w:szCs w:val="10"/>
                <w:color w:val="auto"/>
              </w:rPr>
              <w:t>Total number of</w:t>
            </w:r>
          </w:p>
        </w:tc>
        <w:tc>
          <w:tcPr>
            <w:tcW w:w="80" w:type="dxa"/>
            <w:vAlign w:val="bottom"/>
          </w:tcPr>
          <w:p>
            <w:pPr>
              <w:spacing w:after="0"/>
              <w:rPr>
                <w:sz w:val="8"/>
                <w:szCs w:val="8"/>
                <w:color w:val="auto"/>
              </w:rPr>
            </w:pPr>
          </w:p>
        </w:tc>
        <w:tc>
          <w:tcPr>
            <w:tcW w:w="96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0"/>
                <w:szCs w:val="10"/>
                <w:color w:val="auto"/>
                <w:w w:val="98"/>
              </w:rPr>
              <w:t>grant-date</w:t>
            </w:r>
          </w:p>
        </w:tc>
        <w:tc>
          <w:tcPr>
            <w:tcW w:w="0" w:type="dxa"/>
            <w:vAlign w:val="bottom"/>
          </w:tcPr>
          <w:p>
            <w:pPr>
              <w:spacing w:after="0"/>
              <w:rPr>
                <w:sz w:val="1"/>
                <w:szCs w:val="1"/>
                <w:color w:val="auto"/>
              </w:rPr>
            </w:pPr>
          </w:p>
        </w:tc>
      </w:tr>
      <w:tr>
        <w:trPr>
          <w:trHeight w:val="114"/>
        </w:trPr>
        <w:tc>
          <w:tcPr>
            <w:tcW w:w="4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color w:val="auto"/>
              </w:rPr>
              <w:t xml:space="preserve">RSUs </w:t>
            </w:r>
            <w:r>
              <w:rPr>
                <w:rFonts w:ascii="Times New Roman" w:cs="Times New Roman" w:eastAsia="Times New Roman" w:hAnsi="Times New Roman"/>
                <w:sz w:val="8"/>
                <w:szCs w:val="8"/>
                <w:color w:val="auto"/>
              </w:rPr>
              <w:t>(1)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w w:val="98"/>
              </w:rPr>
              <w:t xml:space="preserve">Deferred shares </w:t>
            </w:r>
            <w:r>
              <w:rPr>
                <w:rFonts w:ascii="Times New Roman" w:cs="Times New Roman" w:eastAsia="Times New Roman" w:hAnsi="Times New Roman"/>
                <w:sz w:val="8"/>
                <w:szCs w:val="8"/>
                <w:color w:val="auto"/>
                <w:w w:val="98"/>
              </w:rPr>
              <w:t>(2)</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color w:val="auto"/>
              </w:rPr>
              <w:t xml:space="preserve">shares </w:t>
            </w:r>
            <w:r>
              <w:rPr>
                <w:rFonts w:ascii="Times New Roman" w:cs="Times New Roman" w:eastAsia="Times New Roman" w:hAnsi="Times New Roman"/>
                <w:sz w:val="8"/>
                <w:szCs w:val="8"/>
                <w:color w:val="auto"/>
              </w:rPr>
              <w:t>(3)</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5"/>
              </w:rPr>
              <w:t xml:space="preserve">Units </w:t>
            </w:r>
            <w:r>
              <w:rPr>
                <w:rFonts w:ascii="Times New Roman" w:cs="Times New Roman" w:eastAsia="Times New Roman" w:hAnsi="Times New Roman"/>
                <w:sz w:val="8"/>
                <w:szCs w:val="8"/>
                <w:color w:val="auto"/>
                <w:w w:val="95"/>
              </w:rPr>
              <w:t>(4)</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4"/>
              </w:rPr>
              <w:t>fair value</w:t>
            </w:r>
          </w:p>
        </w:tc>
        <w:tc>
          <w:tcPr>
            <w:tcW w:w="0" w:type="dxa"/>
            <w:vAlign w:val="bottom"/>
          </w:tcPr>
          <w:p>
            <w:pPr>
              <w:spacing w:after="0"/>
              <w:rPr>
                <w:sz w:val="1"/>
                <w:szCs w:val="1"/>
                <w:color w:val="auto"/>
              </w:rPr>
            </w:pPr>
          </w:p>
        </w:tc>
      </w:tr>
      <w:tr>
        <w:trPr>
          <w:trHeight w:val="143"/>
        </w:trPr>
        <w:tc>
          <w:tcPr>
            <w:tcW w:w="4820" w:type="dxa"/>
            <w:vAlign w:val="bottom"/>
            <w:vMerge w:val="continue"/>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Outstanding non-vested shares at beginning of year</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1,420,803</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295,604</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720,000</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2,436,407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granted</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134,999</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240,868</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375,867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Shares vested/issued</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(567,586)</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(113,900)</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(240,868)</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(922,354)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canceled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(17,443)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(17,443)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820" w:type="dxa"/>
            <w:vAlign w:val="bottom"/>
            <w:tcBorders>
              <w:top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Outstanding non-vested shares at end of quarter</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835,774</w:t>
            </w:r>
          </w:p>
        </w:tc>
        <w:tc>
          <w:tcPr>
            <w:tcW w:w="2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316,703</w:t>
            </w:r>
          </w:p>
        </w:tc>
        <w:tc>
          <w:tcPr>
            <w:tcW w:w="1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720,000</w:t>
            </w:r>
          </w:p>
        </w:tc>
        <w:tc>
          <w:tcPr>
            <w:tcW w:w="2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1,872,477</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2"/>
          <w:szCs w:val="12"/>
          <w:color w:val="auto"/>
        </w:rPr>
        <w:t xml:space="preserve">During the first nine months of fiscal 2020, the vesting of RSUs was primarily related to the time-based awards under the Company’s LTIP plans, see Note 5, </w:t>
      </w:r>
      <w:r>
        <w:rPr>
          <w:rFonts w:ascii="Times New Roman" w:cs="Times New Roman" w:eastAsia="Times New Roman" w:hAnsi="Times New Roman"/>
          <w:sz w:val="12"/>
          <w:szCs w:val="12"/>
          <w:i w:val="1"/>
          <w:iCs w:val="1"/>
          <w:color w:val="auto"/>
        </w:rPr>
        <w:t>Long-Term Incentive Plans.</w:t>
      </w:r>
    </w:p>
    <w:p>
      <w:pPr>
        <w:spacing w:after="0" w:line="224" w:lineRule="exact"/>
        <w:rPr>
          <w:sz w:val="20"/>
          <w:szCs w:val="20"/>
          <w:color w:val="auto"/>
        </w:rPr>
      </w:pPr>
    </w:p>
    <w:p>
      <w:pPr>
        <w:jc w:val="both"/>
        <w:ind w:left="740" w:hanging="379"/>
        <w:spacing w:after="0" w:line="269" w:lineRule="auto"/>
        <w:tabs>
          <w:tab w:leader="none" w:pos="720"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2"/>
          <w:szCs w:val="12"/>
          <w:color w:val="auto"/>
        </w:rPr>
        <w:t>The 134,999 shares of deferred stock, with a grant date fair value of $80,621, represent compensation to certain directors in lieu of cash, in accordance with their irrevocable elections. The shares of deferred stock will vest three years from the date of grant or at separation of service, based on the irrevocable election of each director pursuant to the Company’s Fourth Amended and Restated Non-Employee Director Compensation Plan (“Non-Employee Director Compensation Plan”).</w:t>
      </w:r>
    </w:p>
    <w:p>
      <w:pPr>
        <w:spacing w:after="0" w:line="43" w:lineRule="exact"/>
        <w:rPr>
          <w:sz w:val="20"/>
          <w:szCs w:val="20"/>
          <w:color w:val="auto"/>
        </w:rPr>
      </w:pPr>
    </w:p>
    <w:p>
      <w:pPr>
        <w:jc w:val="both"/>
        <w:ind w:left="740" w:hanging="379"/>
        <w:spacing w:after="0" w:line="261" w:lineRule="auto"/>
        <w:tabs>
          <w:tab w:leader="none" w:pos="720" w:val="left"/>
        </w:tabs>
        <w:rPr>
          <w:sz w:val="20"/>
          <w:szCs w:val="20"/>
          <w:color w:val="auto"/>
        </w:rPr>
      </w:pPr>
      <w:r>
        <w:rPr>
          <w:rFonts w:ascii="Times New Roman" w:cs="Times New Roman" w:eastAsia="Times New Roman" w:hAnsi="Times New Roman"/>
          <w:sz w:val="12"/>
          <w:szCs w:val="12"/>
          <w:color w:val="auto"/>
        </w:rPr>
        <w:t>(3)</w:t>
      </w:r>
      <w:r>
        <w:rPr>
          <w:sz w:val="20"/>
          <w:szCs w:val="20"/>
          <w:color w:val="auto"/>
        </w:rPr>
        <w:tab/>
      </w:r>
      <w:r>
        <w:rPr>
          <w:rFonts w:ascii="Times New Roman" w:cs="Times New Roman" w:eastAsia="Times New Roman" w:hAnsi="Times New Roman"/>
          <w:sz w:val="12"/>
          <w:szCs w:val="12"/>
          <w:color w:val="auto"/>
        </w:rPr>
        <w:t>During the first nine months of fiscal 2020, the Company granted 240,868 shares of stock, with a fair value of approximately $134,995, to certain directors as compensation in lieu of cash, in accordance with their irrevocable elections. Directors are required to elect 50% of their quarterly retainer in equity. Any shares in excess of the minimum required election are issued from the Non-Employee Director Compensation Plan.</w:t>
      </w:r>
    </w:p>
    <w:tbl>
      <w:tblPr>
        <w:tblLayout w:type="fixed"/>
        <w:tblInd w:w="0" w:type="dxa"/>
        <w:tblCellMar>
          <w:top w:w="0" w:type="dxa"/>
          <w:left w:w="0" w:type="dxa"/>
          <w:bottom w:w="0" w:type="dxa"/>
          <w:right w:w="0" w:type="dxa"/>
        </w:tblCellMar>
      </w:tblPr>
      <w:tr>
        <w:trPr>
          <w:trHeight w:val="147"/>
        </w:trPr>
        <w:tc>
          <w:tcPr>
            <w:tcW w:w="62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(4)</w:t>
            </w:r>
          </w:p>
        </w:tc>
        <w:tc>
          <w:tcPr>
            <w:tcW w:w="106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The 720,000 shares of performance stock units (“PSUs”), with a fair value of $1.0 million, represent a sign-on grant to Mr. Kanter. The PSUs vest in installments when the following</w:t>
            </w:r>
          </w:p>
        </w:tc>
        <w:tc>
          <w:tcPr>
            <w:tcW w:w="0" w:type="dxa"/>
            <w:vAlign w:val="bottom"/>
          </w:tcPr>
          <w:p>
            <w:pPr>
              <w:spacing w:after="0"/>
              <w:rPr>
                <w:sz w:val="1"/>
                <w:szCs w:val="1"/>
                <w:color w:val="auto"/>
              </w:rPr>
            </w:pPr>
          </w:p>
        </w:tc>
      </w:tr>
      <w:tr>
        <w:trPr>
          <w:trHeight w:val="72"/>
        </w:trPr>
        <w:tc>
          <w:tcPr>
            <w:tcW w:w="620" w:type="dxa"/>
            <w:vAlign w:val="bottom"/>
            <w:vMerge w:val="continue"/>
          </w:tcPr>
          <w:p>
            <w:pPr>
              <w:spacing w:after="0"/>
              <w:rPr>
                <w:sz w:val="6"/>
                <w:szCs w:val="6"/>
                <w:color w:val="auto"/>
              </w:rPr>
            </w:pPr>
          </w:p>
        </w:tc>
        <w:tc>
          <w:tcPr>
            <w:tcW w:w="10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milestones are met: one-third of the PSUs vest when the trailing 90-day volume-weighted average closing stock price (“VWAP”) is $4.00, one-third of the PSUs vest when the</w:t>
            </w:r>
          </w:p>
        </w:tc>
        <w:tc>
          <w:tcPr>
            <w:tcW w:w="0" w:type="dxa"/>
            <w:vAlign w:val="bottom"/>
          </w:tcPr>
          <w:p>
            <w:pPr>
              <w:spacing w:after="0"/>
              <w:rPr>
                <w:sz w:val="1"/>
                <w:szCs w:val="1"/>
                <w:color w:val="auto"/>
              </w:rPr>
            </w:pPr>
          </w:p>
        </w:tc>
      </w:tr>
      <w:tr>
        <w:trPr>
          <w:trHeight w:val="91"/>
        </w:trPr>
        <w:tc>
          <w:tcPr>
            <w:tcW w:w="620" w:type="dxa"/>
            <w:vAlign w:val="bottom"/>
          </w:tcPr>
          <w:p>
            <w:pPr>
              <w:spacing w:after="0"/>
              <w:rPr>
                <w:sz w:val="7"/>
                <w:szCs w:val="7"/>
                <w:color w:val="auto"/>
              </w:rPr>
            </w:pPr>
          </w:p>
        </w:tc>
        <w:tc>
          <w:tcPr>
            <w:tcW w:w="10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10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VWAP is $6.00 and one-third when the VWAP is $8.00. All PSUs will expire on April 1, 2023 if no performance metric is achieved. The $1.0 million is being expensed over the</w:t>
            </w: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10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respective derived service periods of each tranche of 16 months, 25 months and 30 months, respectively. The respective fair value and derived service periods assigned to the PSUs</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10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were determined using a</w:t>
            </w:r>
          </w:p>
        </w:tc>
        <w:tc>
          <w:tcPr>
            <w:tcW w:w="0" w:type="dxa"/>
            <w:vAlign w:val="bottom"/>
          </w:tcPr>
          <w:p>
            <w:pPr>
              <w:spacing w:after="0"/>
              <w:rPr>
                <w:sz w:val="1"/>
                <w:szCs w:val="1"/>
                <w:color w:val="auto"/>
              </w:rPr>
            </w:pPr>
          </w:p>
        </w:tc>
      </w:tr>
      <w:tr>
        <w:trPr>
          <w:trHeight w:val="282"/>
        </w:trPr>
        <w:tc>
          <w:tcPr>
            <w:tcW w:w="620" w:type="dxa"/>
            <w:vAlign w:val="bottom"/>
          </w:tcPr>
          <w:p>
            <w:pPr>
              <w:spacing w:after="0"/>
              <w:rPr>
                <w:sz w:val="24"/>
                <w:szCs w:val="24"/>
                <w:color w:val="auto"/>
              </w:rPr>
            </w:pPr>
          </w:p>
        </w:tc>
        <w:tc>
          <w:tcPr>
            <w:tcW w:w="10680" w:type="dxa"/>
            <w:vAlign w:val="bottom"/>
          </w:tcPr>
          <w:p>
            <w:pPr>
              <w:ind w:left="4960"/>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73"/>
        </w:trPr>
        <w:tc>
          <w:tcPr>
            <w:tcW w:w="620" w:type="dxa"/>
            <w:vAlign w:val="bottom"/>
            <w:tcBorders>
              <w:bottom w:val="single" w:sz="8" w:color="9A9A9A"/>
            </w:tcBorders>
          </w:tcPr>
          <w:p>
            <w:pPr>
              <w:spacing w:after="0"/>
              <w:rPr>
                <w:sz w:val="6"/>
                <w:szCs w:val="6"/>
                <w:color w:val="auto"/>
              </w:rPr>
            </w:pPr>
          </w:p>
        </w:tc>
        <w:tc>
          <w:tcPr>
            <w:tcW w:w="106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416" w:right="299" w:bottom="1440" w:gutter="0" w:footer="0" w:header="0"/>
        </w:sectPr>
      </w:pPr>
    </w:p>
    <w:bookmarkStart w:id="17" w:name="page18"/>
    <w:bookmarkEnd w:id="17"/>
    <w:p>
      <w:pPr>
        <w:ind w:left="740"/>
        <w:spacing w:after="0"/>
        <w:rPr>
          <w:sz w:val="20"/>
          <w:szCs w:val="20"/>
          <w:color w:val="auto"/>
        </w:rPr>
      </w:pPr>
      <w:r>
        <w:rPr>
          <w:rFonts w:ascii="Times New Roman" w:cs="Times New Roman" w:eastAsia="Times New Roman" w:hAnsi="Times New Roman"/>
          <w:sz w:val="12"/>
          <w:szCs w:val="12"/>
          <w:color w:val="auto"/>
        </w:rPr>
        <w:t>Monte Carlo model based on: the Company’s historical volatility of 55.9%, a term of 4.1 years, stock price on the date of grant of $2.50 per share, a risk-free rate of 2.5% and a cost of equity of 9.5%.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5"/>
              </w:rPr>
              <w:t>Weighted-average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Weighted-average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color w:val="auto"/>
                <w:w w:val="95"/>
              </w:rPr>
              <w:t>Aggregate</w:t>
            </w:r>
          </w:p>
        </w:tc>
      </w:tr>
      <w:tr>
        <w:trPr>
          <w:trHeight w:val="100"/>
        </w:trPr>
        <w:tc>
          <w:tcPr>
            <w:tcW w:w="5920" w:type="dxa"/>
            <w:vAlign w:val="bottom"/>
          </w:tcPr>
          <w:p>
            <w:pPr>
              <w:spacing w:after="0"/>
              <w:rPr>
                <w:sz w:val="8"/>
                <w:szCs w:val="8"/>
                <w:color w:val="auto"/>
              </w:rPr>
            </w:pPr>
          </w:p>
        </w:tc>
        <w:tc>
          <w:tcPr>
            <w:tcW w:w="1400" w:type="dxa"/>
            <w:vAlign w:val="bottom"/>
            <w:gridSpan w:val="2"/>
          </w:tcPr>
          <w:p>
            <w:pPr>
              <w:jc w:val="right"/>
              <w:ind w:right="600"/>
              <w:spacing w:after="0" w:line="100" w:lineRule="exact"/>
              <w:rPr>
                <w:sz w:val="20"/>
                <w:szCs w:val="20"/>
                <w:color w:val="auto"/>
              </w:rPr>
            </w:pPr>
            <w:r>
              <w:rPr>
                <w:rFonts w:ascii="Times New Roman" w:cs="Times New Roman" w:eastAsia="Times New Roman" w:hAnsi="Times New Roman"/>
                <w:sz w:val="10"/>
                <w:szCs w:val="10"/>
                <w:color w:val="auto"/>
              </w:rPr>
              <w:t>Number of</w:t>
            </w:r>
          </w:p>
        </w:tc>
        <w:tc>
          <w:tcPr>
            <w:tcW w:w="120" w:type="dxa"/>
            <w:vAlign w:val="bottom"/>
          </w:tcPr>
          <w:p>
            <w:pPr>
              <w:spacing w:after="0"/>
              <w:rPr>
                <w:sz w:val="8"/>
                <w:szCs w:val="8"/>
                <w:color w:val="auto"/>
              </w:rPr>
            </w:pPr>
          </w:p>
        </w:tc>
        <w:tc>
          <w:tcPr>
            <w:tcW w:w="1160" w:type="dxa"/>
            <w:vAlign w:val="bottom"/>
            <w:gridSpan w:val="2"/>
          </w:tcPr>
          <w:p>
            <w:pPr>
              <w:jc w:val="center"/>
              <w:ind w:right="320"/>
              <w:spacing w:after="0" w:line="100" w:lineRule="exact"/>
              <w:rPr>
                <w:sz w:val="20"/>
                <w:szCs w:val="20"/>
                <w:color w:val="auto"/>
              </w:rPr>
            </w:pPr>
            <w:r>
              <w:rPr>
                <w:rFonts w:ascii="Times New Roman" w:cs="Times New Roman" w:eastAsia="Times New Roman" w:hAnsi="Times New Roman"/>
                <w:sz w:val="10"/>
                <w:szCs w:val="10"/>
                <w:color w:val="auto"/>
                <w:w w:val="94"/>
              </w:rPr>
              <w:t>exercise price</w:t>
            </w:r>
          </w:p>
        </w:tc>
        <w:tc>
          <w:tcPr>
            <w:tcW w:w="116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color w:val="auto"/>
                <w:w w:val="98"/>
              </w:rPr>
              <w:t>remaining</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320"/>
              <w:spacing w:after="0" w:line="100" w:lineRule="exact"/>
              <w:rPr>
                <w:sz w:val="20"/>
                <w:szCs w:val="20"/>
                <w:color w:val="auto"/>
              </w:rPr>
            </w:pPr>
            <w:r>
              <w:rPr>
                <w:rFonts w:ascii="Times New Roman" w:cs="Times New Roman" w:eastAsia="Times New Roman" w:hAnsi="Times New Roman"/>
                <w:sz w:val="10"/>
                <w:szCs w:val="10"/>
                <w:color w:val="auto"/>
                <w:w w:val="94"/>
              </w:rPr>
              <w:t>intrinsic value</w:t>
            </w:r>
          </w:p>
        </w:tc>
      </w:tr>
      <w:tr>
        <w:trPr>
          <w:trHeight w:val="114"/>
        </w:trPr>
        <w:tc>
          <w:tcPr>
            <w:tcW w:w="5920" w:type="dxa"/>
            <w:vAlign w:val="bottom"/>
          </w:tcPr>
          <w:p>
            <w:pPr>
              <w:spacing w:after="0"/>
              <w:rPr>
                <w:sz w:val="9"/>
                <w:szCs w:val="9"/>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0"/>
                <w:szCs w:val="10"/>
                <w:color w:val="auto"/>
              </w:rPr>
              <w:t>shares</w:t>
            </w:r>
          </w:p>
        </w:tc>
        <w:tc>
          <w:tcPr>
            <w:tcW w:w="120" w:type="dxa"/>
            <w:vAlign w:val="bottom"/>
          </w:tcPr>
          <w:p>
            <w:pPr>
              <w:spacing w:after="0"/>
              <w:rPr>
                <w:sz w:val="9"/>
                <w:szCs w:val="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color w:val="auto"/>
                <w:w w:val="97"/>
              </w:rPr>
              <w:t>per option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contractual term</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color w:val="auto"/>
                <w:w w:val="95"/>
              </w:rPr>
              <w:t>(in 000's)</w:t>
            </w:r>
          </w:p>
        </w:tc>
      </w:tr>
      <w:tr>
        <w:trPr>
          <w:trHeight w:val="143"/>
        </w:trPr>
        <w:tc>
          <w:tcPr>
            <w:tcW w:w="5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9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Outstanding options at beginning of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754,833</w:t>
            </w:r>
          </w:p>
        </w:tc>
        <w:tc>
          <w:tcPr>
            <w:tcW w:w="24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 years</w:t>
            </w:r>
          </w:p>
        </w:tc>
        <w:tc>
          <w:tcPr>
            <w:tcW w:w="44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 xml:space="preserve">Options granted </w:t>
            </w:r>
            <w:r>
              <w:rPr>
                <w:rFonts w:ascii="Times New Roman" w:cs="Times New Roman" w:eastAsia="Times New Roman" w:hAnsi="Times New Roman"/>
                <w:sz w:val="10"/>
                <w:szCs w:val="10"/>
                <w:color w:val="auto"/>
              </w:rPr>
              <w:t>(1)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3,185,542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59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Options expired and canceled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(264,146)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exercised</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2"/>
                <w:szCs w:val="12"/>
                <w:color w:val="auto"/>
              </w:rPr>
              <w:t>—</w:t>
            </w:r>
          </w:p>
        </w:tc>
      </w:tr>
      <w:tr>
        <w:trPr>
          <w:trHeight w:val="143"/>
        </w:trPr>
        <w:tc>
          <w:tcPr>
            <w:tcW w:w="59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Outstanding options at end of quarter</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3,676,229</w:t>
            </w:r>
          </w:p>
        </w:tc>
        <w:tc>
          <w:tcPr>
            <w:tcW w:w="24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200" w:type="dxa"/>
            <w:vAlign w:val="bottom"/>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 years</w:t>
            </w:r>
          </w:p>
        </w:tc>
        <w:tc>
          <w:tcPr>
            <w:tcW w:w="240" w:type="dxa"/>
            <w:vAlign w:val="bottom"/>
          </w:tcPr>
          <w:p>
            <w:pPr>
              <w:spacing w:after="0"/>
              <w:rPr>
                <w:sz w:val="12"/>
                <w:szCs w:val="12"/>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2"/>
                <w:szCs w:val="12"/>
                <w:color w:val="auto"/>
              </w:rPr>
            </w:pPr>
          </w:p>
        </w:tc>
      </w:tr>
      <w:tr>
        <w:trPr>
          <w:trHeight w:val="154"/>
        </w:trPr>
        <w:tc>
          <w:tcPr>
            <w:tcW w:w="5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exercisable at end of quarter</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490,687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4.83</w:t>
            </w: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 years</w:t>
            </w:r>
          </w:p>
        </w:tc>
        <w:tc>
          <w:tcPr>
            <w:tcW w:w="4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2"/>
                <w:szCs w:val="12"/>
                <w:color w:val="auto"/>
              </w:rPr>
              <w:t>—</w:t>
            </w:r>
          </w:p>
        </w:tc>
      </w:tr>
    </w:tbl>
    <w:p>
      <w:pPr>
        <w:spacing w:after="0" w:line="150" w:lineRule="exact"/>
        <w:rPr>
          <w:sz w:val="20"/>
          <w:szCs w:val="20"/>
          <w:color w:val="auto"/>
        </w:rPr>
      </w:pPr>
    </w:p>
    <w:p>
      <w:pPr>
        <w:jc w:val="both"/>
        <w:ind w:left="1120" w:hanging="376"/>
        <w:spacing w:after="0" w:line="269"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second quarter of fiscal 2020, the Company granted to Mr. Kanter a stock option to purchase 450,000 shares of the Company’s common stock, at an exercise price of $0.64 per share, which will vest over 34 months. The Company also granted stock options to purchase an aggregate of 2,735,542 shares of the Company’s common stock, at an exercise price of $0.53 per share, in connection with the time-based grant of awards under its 2020-2022 LTIP, see Note 5, </w:t>
      </w:r>
      <w:r>
        <w:rPr>
          <w:rFonts w:ascii="Times New Roman" w:cs="Times New Roman" w:eastAsia="Times New Roman" w:hAnsi="Times New Roman"/>
          <w:sz w:val="12"/>
          <w:szCs w:val="12"/>
          <w:i w:val="1"/>
          <w:iCs w:val="1"/>
          <w:color w:val="auto"/>
        </w:rPr>
        <w:t>Long-Term Incentive Plans.</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For the first nine months of fiscal 2020, the Company granted stock options to purchase an aggregate of 3,185,542 shares of common stock and 134,999 shares of deferred stock. For the first nine months of fiscal 2019, the Company granted 720,000 PSUs, 1,234,439 RSUs and 72,668 shares of deferred stock. The Company’s non-employee directors voted to suspend their compensation for the second quarter of fiscal 2020. Subsequently, such compensation resumed in the third quarter of fiscal 2020.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Non-Employee Director Compensation Plan</w:t>
      </w:r>
    </w:p>
    <w:p>
      <w:pPr>
        <w:spacing w:after="0" w:line="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The Company granted 103,669 shares of common stock, with a fair value of approximately $52,921, to certain of its non-employee directors as compensation in lieu of cash in the first nine months of fiscal 2020. As mentioned above, the non-employee directors voted to suspend their second quarter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Stock Compensation Expense</w:t>
      </w:r>
    </w:p>
    <w:p>
      <w:pPr>
        <w:spacing w:after="0" w:line="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Company recognized total stock-based compensation expense of $1.1 million and $1.4 million for the first nine months of fiscal 2020 and fiscal 2019, respectively. The total compensation cost related to time-vested stock options, RSU and PSU awards not yet recognized as of October 31, 2020 was approximately $2.4 million, net of estimated forfeitures, which will be expensed over a weighted average remaining life of 30 months.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Earnings per Share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number of shares outstanding for basic and diluted earnings per share:</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24"/>
        </w:trPr>
        <w:tc>
          <w:tcPr>
            <w:tcW w:w="5820" w:type="dxa"/>
            <w:vAlign w:val="bottom"/>
          </w:tcPr>
          <w:p>
            <w:pPr>
              <w:spacing w:after="0"/>
              <w:rPr>
                <w:sz w:val="10"/>
                <w:szCs w:val="10"/>
                <w:color w:val="auto"/>
              </w:rPr>
            </w:pPr>
          </w:p>
        </w:tc>
        <w:tc>
          <w:tcPr>
            <w:tcW w:w="2760" w:type="dxa"/>
            <w:vAlign w:val="bottom"/>
            <w:gridSpan w:val="4"/>
          </w:tcPr>
          <w:p>
            <w:pPr>
              <w:ind w:left="72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2640" w:type="dxa"/>
            <w:vAlign w:val="bottom"/>
            <w:gridSpan w:val="4"/>
          </w:tcPr>
          <w:p>
            <w:pPr>
              <w:ind w:left="74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44"/>
        </w:trPr>
        <w:tc>
          <w:tcPr>
            <w:tcW w:w="58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r>
              <w:rPr>
                <w:rFonts w:ascii="Times New Roman" w:cs="Times New Roman" w:eastAsia="Times New Roman" w:hAnsi="Times New Roman"/>
                <w:sz w:val="11"/>
                <w:szCs w:val="11"/>
                <w:b w:val="1"/>
                <w:bCs w:val="1"/>
                <w:i w:val="1"/>
                <w:iCs w:val="1"/>
                <w:color w:val="auto"/>
              </w:rPr>
              <w:t>)</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October 31, 2020</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November 2, 2019</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October 31, 2020</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November 2, 2019</w:t>
            </w:r>
          </w:p>
        </w:tc>
        <w:tc>
          <w:tcPr>
            <w:tcW w:w="0" w:type="dxa"/>
            <w:vAlign w:val="bottom"/>
          </w:tcPr>
          <w:p>
            <w:pPr>
              <w:spacing w:after="0"/>
              <w:rPr>
                <w:sz w:val="1"/>
                <w:szCs w:val="1"/>
                <w:color w:val="auto"/>
              </w:rPr>
            </w:pPr>
          </w:p>
        </w:tc>
      </w:tr>
      <w:tr>
        <w:trPr>
          <w:trHeight w:val="132"/>
        </w:trPr>
        <w:tc>
          <w:tcPr>
            <w:tcW w:w="5820" w:type="dxa"/>
            <w:vAlign w:val="bottom"/>
            <w:vMerge w:val="continue"/>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outstanding:</w:t>
            </w: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20"/>
                <w:szCs w:val="20"/>
                <w:color w:val="auto"/>
              </w:rPr>
            </w:pPr>
            <w:r>
              <w:rPr>
                <w:rFonts w:ascii="Times New Roman" w:cs="Times New Roman" w:eastAsia="Times New Roman" w:hAnsi="Times New Roman"/>
                <w:sz w:val="11"/>
                <w:szCs w:val="11"/>
                <w:color w:val="auto"/>
              </w:rPr>
              <w:t>Basic weighted average common shares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51,545</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50,089</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51,127</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2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0"/>
                <w:szCs w:val="10"/>
                <w:color w:val="auto"/>
              </w:rPr>
              <w:t xml:space="preserve">Common stock equivalents – stock options and restricted stock </w:t>
            </w:r>
            <w:r>
              <w:rPr>
                <w:rFonts w:ascii="Times New Roman" w:cs="Times New Roman" w:eastAsia="Times New Roman" w:hAnsi="Times New Roman"/>
                <w:sz w:val="17"/>
                <w:szCs w:val="17"/>
                <w:color w:val="auto"/>
                <w:vertAlign w:val="superscript"/>
              </w:rPr>
              <w:t>(1)</w:t>
            </w:r>
          </w:p>
        </w:tc>
        <w:tc>
          <w:tcPr>
            <w:tcW w:w="13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5820" w:type="dxa"/>
            <w:vAlign w:val="bottom"/>
          </w:tcPr>
          <w:p>
            <w:pPr>
              <w:spacing w:after="0"/>
              <w:rPr>
                <w:sz w:val="20"/>
                <w:szCs w:val="20"/>
                <w:color w:val="auto"/>
              </w:rPr>
            </w:pPr>
            <w:r>
              <w:rPr>
                <w:rFonts w:ascii="Times New Roman" w:cs="Times New Roman" w:eastAsia="Times New Roman" w:hAnsi="Times New Roman"/>
                <w:sz w:val="11"/>
                <w:szCs w:val="11"/>
                <w:color w:val="auto"/>
              </w:rPr>
              <w:t>Diluted weighted average common shares outstanding</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51,545</w:t>
            </w:r>
          </w:p>
        </w:tc>
        <w:tc>
          <w:tcPr>
            <w:tcW w:w="240" w:type="dxa"/>
            <w:vAlign w:val="bottom"/>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50,089</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51,127</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49,853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000" w:hanging="500"/>
        <w:spacing w:after="0" w:line="280" w:lineRule="auto"/>
        <w:tabs>
          <w:tab w:leader="none" w:pos="10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Common stock equivalents of 134 shares and 172 shares for the three and nine months ended October 31, 2020, respectively, and 324 shares and 404 shares for the three and nine months ended November 2, 2019, respectively, were excluded due to the net loss in each period.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18" w:name="page19"/>
    <w:bookmarkEnd w:id="18"/>
    <w:p>
      <w:pPr>
        <w:jc w:val="both"/>
        <w:spacing w:after="0" w:line="263" w:lineRule="auto"/>
        <w:rPr>
          <w:sz w:val="20"/>
          <w:szCs w:val="20"/>
          <w:color w:val="auto"/>
        </w:rPr>
      </w:pPr>
      <w:r>
        <w:rPr>
          <w:rFonts w:ascii="Times New Roman" w:cs="Times New Roman" w:eastAsia="Times New Roman" w:hAnsi="Times New Roman"/>
          <w:sz w:val="12"/>
          <w:szCs w:val="12"/>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tbl>
      <w:tblPr>
        <w:tblLayout w:type="fixed"/>
        <w:tblInd w:w="260" w:type="dxa"/>
        <w:tblCellMar>
          <w:top w:w="0" w:type="dxa"/>
          <w:left w:w="0" w:type="dxa"/>
          <w:bottom w:w="0" w:type="dxa"/>
          <w:right w:w="0" w:type="dxa"/>
        </w:tblCellMar>
      </w:tblPr>
      <w:tr>
        <w:trPr>
          <w:trHeight w:val="155"/>
        </w:trPr>
        <w:tc>
          <w:tcPr>
            <w:tcW w:w="5620" w:type="dxa"/>
            <w:vAlign w:val="bottom"/>
          </w:tcPr>
          <w:p>
            <w:pPr>
              <w:spacing w:after="0"/>
              <w:rPr>
                <w:sz w:val="13"/>
                <w:szCs w:val="13"/>
                <w:color w:val="auto"/>
              </w:rPr>
            </w:pPr>
          </w:p>
        </w:tc>
        <w:tc>
          <w:tcPr>
            <w:tcW w:w="2640" w:type="dxa"/>
            <w:vAlign w:val="bottom"/>
            <w:gridSpan w:val="4"/>
          </w:tcPr>
          <w:p>
            <w:pPr>
              <w:ind w:left="600"/>
              <w:spacing w:after="0"/>
              <w:rPr>
                <w:sz w:val="20"/>
                <w:szCs w:val="20"/>
                <w:color w:val="auto"/>
              </w:rPr>
            </w:pPr>
            <w:r>
              <w:rPr>
                <w:rFonts w:ascii="Times New Roman" w:cs="Times New Roman" w:eastAsia="Times New Roman" w:hAnsi="Times New Roman"/>
                <w:sz w:val="11"/>
                <w:szCs w:val="11"/>
                <w:color w:val="auto"/>
              </w:rPr>
              <w:t>For the three months ended</w:t>
            </w:r>
          </w:p>
        </w:tc>
        <w:tc>
          <w:tcPr>
            <w:tcW w:w="2520" w:type="dxa"/>
            <w:vAlign w:val="bottom"/>
            <w:gridSpan w:val="4"/>
          </w:tcPr>
          <w:p>
            <w:pPr>
              <w:ind w:left="68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35"/>
        </w:trPr>
        <w:tc>
          <w:tcPr>
            <w:tcW w:w="56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exercise prices)</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October 31, 2020</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November 2, 2019</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October 31, 2020</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November 2, 2019</w:t>
            </w:r>
          </w:p>
        </w:tc>
        <w:tc>
          <w:tcPr>
            <w:tcW w:w="0" w:type="dxa"/>
            <w:vAlign w:val="bottom"/>
          </w:tcPr>
          <w:p>
            <w:pPr>
              <w:spacing w:after="0"/>
              <w:rPr>
                <w:sz w:val="1"/>
                <w:szCs w:val="1"/>
                <w:color w:val="auto"/>
              </w:rPr>
            </w:pPr>
          </w:p>
        </w:tc>
      </w:tr>
      <w:tr>
        <w:trPr>
          <w:trHeight w:val="130"/>
        </w:trPr>
        <w:tc>
          <w:tcPr>
            <w:tcW w:w="5620" w:type="dxa"/>
            <w:vAlign w:val="bottom"/>
            <w:vMerge w:val="continue"/>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3,676</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3,676</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62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Restricted and deferred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620" w:type="dxa"/>
            <w:vAlign w:val="bottom"/>
          </w:tcPr>
          <w:p>
            <w:pPr>
              <w:spacing w:after="0"/>
              <w:rPr>
                <w:sz w:val="20"/>
                <w:szCs w:val="20"/>
                <w:color w:val="auto"/>
              </w:rPr>
            </w:pPr>
            <w:r>
              <w:rPr>
                <w:rFonts w:ascii="Times New Roman" w:cs="Times New Roman" w:eastAsia="Times New Roman" w:hAnsi="Times New Roman"/>
                <w:sz w:val="11"/>
                <w:szCs w:val="11"/>
                <w:color w:val="auto"/>
              </w:rPr>
              <w:t>Range of exercise prices of such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$0.53 - $7.02</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$1.85 - $7.02</w:t>
            </w:r>
          </w:p>
        </w:tc>
        <w:tc>
          <w:tcPr>
            <w:tcW w:w="2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$0.53 - $7.02</w:t>
            </w: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$2.25 - $7.02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options, which were outstanding at October 31, 2020, expire from January 31, 2021 to June 11, 2030.</w:t>
      </w:r>
    </w:p>
    <w:p>
      <w:pPr>
        <w:spacing w:after="0" w:line="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2"/>
          <w:szCs w:val="12"/>
          <w:color w:val="auto"/>
        </w:rPr>
        <w:t>Excluded from the computation of basic and diluted earnings per share for both periods were 720,000 shares of unvested performance stock units. These performance-based awards will be included in the computation of basic and diluted earnings per share if, and when, the respective performance targets are achieved. In addition, 316,703 shares and 267,851 shares of deferred stock at October 31, 2020 and November 2, 2019, respectively, were excluded from basic earnings per share. Outstanding shares of deferred stock are not considered issued and outstanding until the vesting date of the deferral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Income Taxes</w:t>
      </w:r>
    </w:p>
    <w:p>
      <w:pPr>
        <w:spacing w:after="0" w:line="1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Since the end of fiscal 2014, the Company has maintained a full valuation allowance against its deferred tax assets. While the Company has projected it will return to profitability, generate taxable income and ultimately emerge from a three-year cumulative loss, the Company believes that a full valuation allowance remains appropriate at this time, based on the Company’s forecast for fiscal 2020. Realization of the Company’s deferred tax assets is dependent on generating sufficient taxable income in the near term. At October 31, 2020, the Company had total deferred tax assets of $106.2 million, total deferred tax liabilities of $44.5 million and a valuation allowance of $61.7 million.</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As of October 31, 2020, for federal income tax purposes, the Company has net operating loss carryforwards of $158.2 million, which will expire from fiscal 2022 through fiscal 2036 and net operating loss carryforwards of $42.1 million that are not subject to expiration. For state income tax purposes, the Company has $118.0 million of net operating losses that are available to offset future taxable income, which will expire from fiscal 2020 through fiscal 2040. Additionally, the Company has $4.1 million of net operating loss carryforwards related to the Company’s operations in Canada, which will expire from fiscal 2025 through fiscal 2040.</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The Company’s financial statements reflect the expected future tax consequences of uncertain tax positions that the Company has taken or expects to take on a tax return, based solely on the technical merits of the tax position. The liability for unrecognized tax benefits at October 31, 2020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March 2020, the Coronavirus Aid, Relief and Economic Security Act, ("CARES Act") was signed into law. This law includes several taxpayer favorable provisions which may impact the Company including relaxed interest expense limitations, a carryback of net operating losses, permitted accelerated depreciation on certain store build out costs and allowance for the deferral of employer FICA taxes. The CARES Act also included an Employee Retention Credit, which provided the Company with a $1.3 million refundable tax credit during the first nine months of fiscal 2020. The refundable tax credit allowed eligible employers to receive a 50% tax credit for each employee up to $10,000 in wages and other eligible expenses. This credit only impacts payroll taxes, which are recorded in pre-tax income and has no impact on the income tax provision. In addition, it provided for the accelerated payment of any refundable alternative minimum tax credit (“AMT”). Accordingly, during the first nine months of fiscal 2020, the Company received $1.1 million for its refundable AMT receivable.</w:t>
      </w:r>
    </w:p>
    <w:p>
      <w:pPr>
        <w:spacing w:after="0" w:line="1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The discrete tax rate method was used for calculating tax expense for the third quarter and first nine months of fiscal 2020 and fiscal 2019. The net tax provision for the third quarter and first nine months of fiscal 2020, primarily related to certain states’ margin tax. The Company’s net tax benefit for the third quarter and first nine months of fiscal 2019 was the result of the deferred tax impact of $70,000 and $151,000, respectively, in other comprehensive income (loss), which resulted in a corresponding decrease in valuation allowance. This income tax benefit was partially offset by tax expense, primarily for certain states’ margin tax.</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9. CEO Transition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Results for the first nine months of fiscal 2019, included $0.7 million related to CEO search costs, Acting CEO consulting costs, housing allowance and legal fees.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Exits Costs Associated with London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During the third quarter of fiscal 2019, the Company closed its Rochester Clothing store located in London, England. In connection with the store closure, the Company incurred a charge of approximately $1.7 million, which included a non-cash charge of $0.8 million related to the recognition of the accumulated foreign currency translation adjustment. The remainder of the charge primarily related to lease termination and inventory liquidation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Nasdaq Notification of Non-Compliance</w:t>
      </w:r>
    </w:p>
    <w:p>
      <w:pPr>
        <w:spacing w:after="0" w:line="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On October 13, 2020, the Company received notification from the Listing Qualifications staff of The Nasdaq Stock Market LLC (“Nasdaq”) that its application to transfer from the Global Select Market to the Capital Market was approved and effective October 19, 2020. This request was in response to the notice from Nasdaq received by the Company in September 2020 that the Company was not in compliance with Nasdaq Listing Rule 5450(b)(1)(A) based on information provided in the Quarterly Report on Form 10-Q for the quarter ended August 1, 2020, which reported that its stockholders’ equity was below the $10.0 million minimum required for continued listing on the Nasdaq Global Market.</w:t>
      </w:r>
    </w:p>
    <w:p>
      <w:pPr>
        <w:spacing w:after="0" w:line="4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In addition, as previously reported, in April 2020, the Company received a letter from the Listing Qualifications staff of Nasdaq notifying the Company that, based upon the closing bid price of its common stock for the last 30 consecutive trading days, the Company was not in compliance with Nasdaq Listing Rule 5450(a)(1), as the minimum bid price for the Company’s common stock was less than $1.00 per share for the previous 30 consecutive trading days. At that time, the Company was granted a 180 calendar-day grace period to regain compliance with the minimum bid price requirement. On April 17, 2020, the Company received a follow-up letter from the Listing Qualifications staff notifying the Company that Nasdaq had determined to toll all compliance periods through June 30, 2020. Accordingly, the Company’s 180 calendar-day grace period to regain compliance with the minimum bid price requirement was extended to December 21, 2020. Upon transfer to the Nasdaq Capital Market, the Company was afforded the remainder of this compliance period.</w:t>
      </w:r>
    </w:p>
    <w:p>
      <w:pPr>
        <w:spacing w:after="0" w:line="5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2"/>
          <w:szCs w:val="12"/>
          <w:color w:val="auto"/>
        </w:rPr>
        <w:t>On August 12, 2020, the Company received approval from its shareholders to effect a reverse stock split of the Company’s issued and outstanding common stock at a ratio of not less than 1-for-2 and not more than 1-for-5. The Company intends to monitor its compliance with all of the Nasdaq listing requirements and will continue to consider its options to regain compliance. If the Company elects to pursue a reverse stock split, the ratio, timing and implementation of such reverse stock split will be determined in the sole discretion of the Company’s Board of Directors. There can be no assurance that the Company will be able to regain compliance with the minimum bid price requirement or maintain compliance with the other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414"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ability to withstand the impact of the COVID-19 pandemic on our business and results in fiscal 2020 and to manage through the pandemic, our efforts to restructure and reduce costs and right size our lease structure, expected inventory levels for the remainder of fiscal 2020, the impact of direct sales on results in fiscal 2020, expected annualized savings from additional restructuring actions taken in November 2020, the ability to keep some or all of our reopened stores open and operating during more normalized hours, and our expected liquidity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1, 2020, included in our Annual Report on Form 10-K for the year ended February 1, 2020, as filed with the Securities and Exchange Commission on March 19, 2020 (our “Fiscal 2019 Annual Report”).</w:t>
      </w:r>
    </w:p>
    <w:p>
      <w:pPr>
        <w:spacing w:after="0" w:line="5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Numerous factors could cause our actual results to differ materially from such forward-looking statements. We encourage readers to refer to our “Risk Factors” found in Part II, Item 1A of this Quarterly Report, which supplements our discussion of “Risk Factors” found in Part I, Item 1A of our Fiscal 2019 Annual Report. This discussion set forth certain risks and uncertainties that may have an impact on future results and direction of our Company, including, without limitation, risks relating to the COVID-19 pandemic, and its impact on the Company’s results of operations, the execution of our corporate strategy, and our ability to grow our wholesale segment, predict customer tastes and fashion trends, forecast sales growth trends, grow market share and compete successfully in our market.</w:t>
      </w:r>
    </w:p>
    <w:p>
      <w:pPr>
        <w:spacing w:after="0" w:line="120"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SUMMARY</w:t>
      </w:r>
    </w:p>
    <w:p>
      <w:pPr>
        <w:spacing w:after="0" w:line="81" w:lineRule="exact"/>
        <w:rPr>
          <w:sz w:val="20"/>
          <w:szCs w:val="20"/>
          <w:color w:val="auto"/>
        </w:rPr>
      </w:pPr>
    </w:p>
    <w:p>
      <w:pPr>
        <w:jc w:val="both"/>
        <w:ind w:right="220"/>
        <w:spacing w:after="0" w:line="227" w:lineRule="auto"/>
        <w:rPr>
          <w:sz w:val="20"/>
          <w:szCs w:val="20"/>
          <w:color w:val="auto"/>
        </w:rPr>
      </w:pPr>
      <w:r>
        <w:rPr>
          <w:rFonts w:ascii="Times New Roman" w:cs="Times New Roman" w:eastAsia="Times New Roman" w:hAnsi="Times New Roman"/>
          <w:sz w:val="12"/>
          <w:szCs w:val="12"/>
          <w:color w:val="auto"/>
        </w:rPr>
        <w:t>Destination XL Group, Inc., together with our consolidated subsidiaries (the “Company”), is the largest specialty retailer of big and tall men’s clothing with retail, wholesale and direct operations in the United States and Toronto, Canada. We operate under the trade names of Destination 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DXL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DXL Outlets, Casual Male 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and Casual Male XL Outlets. At October 31, 2020, we operated 227 Destination XL stores, 17 DXL outlet stores, 49 Casual Male XL retail stores, 23 Casual Male XL outlet stores. Our e-commerce site, dxl.com, supports our stores, brands and product extensions.</w:t>
      </w:r>
    </w:p>
    <w:p>
      <w:pPr>
        <w:spacing w:after="0" w:line="134"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12"/>
          <w:szCs w:val="12"/>
          <w:color w:val="auto"/>
        </w:rPr>
        <w:t>Unless the context indicates otherwise, all references to “we,” “our,” “us” and “the Company” refer to Destination XL Group, Inc. and our consolidated subsidiaries. We refer to our fiscal years, which end on January 30, 2021 and February 1, 2020 as “fiscal 2020” and “fiscal 2019,” respectively. Both fiscal 2020 and fiscal 2019 are 52-week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REPORTING</w:t>
      </w:r>
    </w:p>
    <w:p>
      <w:pPr>
        <w:spacing w:after="0" w:line="81"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12"/>
          <w:szCs w:val="12"/>
          <w:color w:val="auto"/>
        </w:rPr>
        <w:t>We have three principal operating segments: our stores, direct business and our wholesale business. We consider our stores and direct business segments to be similar in terms of economic characteristics, production processes and operations, and have therefore aggregated them into one reportable segment, retail segment, consistent with our omni-channel business approach. Due to the immateriality of the wholesale segment’s revenues, profits and assets, its operating results have been aggregated with the retail segment for both periods.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COMPARABLE SALES</w:t>
      </w:r>
    </w:p>
    <w:p>
      <w:pPr>
        <w:spacing w:after="0" w:line="15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2"/>
          <w:szCs w:val="12"/>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21" w:name="page22"/>
    <w:bookmarkEnd w:id="21"/>
    <w:p>
      <w:pPr>
        <w:ind w:right="100"/>
        <w:spacing w:after="0" w:line="286" w:lineRule="auto"/>
        <w:rPr>
          <w:sz w:val="20"/>
          <w:szCs w:val="20"/>
          <w:color w:val="auto"/>
        </w:rPr>
      </w:pPr>
      <w:r>
        <w:rPr>
          <w:rFonts w:ascii="Times New Roman" w:cs="Times New Roman" w:eastAsia="Times New Roman" w:hAnsi="Times New Roman"/>
          <w:sz w:val="12"/>
          <w:szCs w:val="12"/>
          <w:color w:val="auto"/>
        </w:rPr>
        <w:t>online and pick-up in a store and, more recently due to the COVID-19 pandemic, pick-up at curbside.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2"/>
          <w:szCs w:val="12"/>
          <w:color w:val="auto"/>
        </w:rPr>
        <w:t>Due to the fact that our stores were closed temporarily during a significant portion of the first six months of fiscal 2020 and continued to operate with reduced hours in the third quarter of fiscal 2020, we have refrained from reporting on comparable sales in the past two quarters as we did not believe it provided a meaningful metric of our performance against fiscal 2019. However, given the continuing impact of COVID-19, specifically on our stores, we may provide certain comparable sales information as part of our discussion regarding current sales trends.</w:t>
      </w:r>
    </w:p>
    <w:p>
      <w:pPr>
        <w:spacing w:after="0" w:line="43" w:lineRule="exact"/>
        <w:rPr>
          <w:sz w:val="20"/>
          <w:szCs w:val="20"/>
          <w:color w:val="auto"/>
        </w:rPr>
      </w:pPr>
    </w:p>
    <w:p>
      <w:pPr>
        <w:jc w:val="both"/>
        <w:ind w:right="260"/>
        <w:spacing w:after="0" w:line="269" w:lineRule="auto"/>
        <w:rPr>
          <w:sz w:val="20"/>
          <w:szCs w:val="20"/>
          <w:color w:val="auto"/>
        </w:rPr>
      </w:pPr>
      <w:r>
        <w:rPr>
          <w:rFonts w:ascii="Times New Roman" w:cs="Times New Roman" w:eastAsia="Times New Roman" w:hAnsi="Times New Roman"/>
          <w:sz w:val="12"/>
          <w:szCs w:val="12"/>
          <w:color w:val="auto"/>
        </w:rPr>
        <w:t>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Company has not carved-out prior year sales for periods where the stores were closed in fiscal 2020. The method of calculating comparable sales varies across the retail industry and, as a result, our calculation of comparable sales is not necessarily comparable to similarly titled measures reported by other retailers.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12121"/>
        </w:rPr>
        <w:t>Impact of COVID-19 Pandemic on Our Business</w:t>
      </w:r>
    </w:p>
    <w:p>
      <w:pPr>
        <w:spacing w:after="0" w:line="17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On March 11, 2020, the World Health Organization declared COVID-19 as a global pandemic. The COVID-19 pandemic has negatively affected the global economy, disrupted global supply chains, and created significant disruption of the financial and retail markets, including a disruption in consumer demand for men’s clothing and accessories. While the pandemic has had, and will likely continue to have, a significant adverse effect on our business, financial condition, and results of operations, we moved early and decisively over the past several months to preserve our financial flexibility and position ourselves to withstand the short-term impact of the pandemic and its impact on the consumer. We continue to communicate transparently with our employees, suppliers, landlords and banks and believe this direct and active communication has meaningfully enhanced the level of partnership to support the plans we have in place to manage through the pandemic.</w:t>
      </w:r>
    </w:p>
    <w:p>
      <w:pPr>
        <w:spacing w:after="0" w:line="5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2"/>
          <w:szCs w:val="12"/>
          <w:color w:val="auto"/>
        </w:rPr>
        <w:t>We closed all of our retail stores on March 17, 2020 and, beginning at the end of April 2020 and continuing into the second quarter of fiscal 2020, we started to gradually reopen stores. As of the end of June, all stores had been reopened although all operating at reduced hours. Since the reopening, some stores have had to close for periods of time. Our direct business continues to play a vital role as we are seeing our customer’s shopping preference shift to online. Given the increased demand, we have been very fortunate that our distribution center has been able to operate without any business disruption since March. The unrelenting impact of COVID-19 on the apparel industry continues to be a challenge. At DXL, we continue to see a shift among our customer base away from event-driven shopping and into need-based shopping. Our customers are spending less time this year at large social gathering events such as parties, graduations, and sporting events which is negatively impacting demand for apparel. However, we have seen improvements in many of our core and basic categories which have been driven by this change in lifestyle of staying close to home. Our customer still has a need to replenish his wardrobe over time, but we expect our business will continue to be challenged during this pandemic.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Summary</w:t>
      </w:r>
    </w:p>
    <w:p>
      <w:pPr>
        <w:spacing w:after="0" w:line="17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Our net loss for the third quarter of fiscal 2020 was $(7.0) million as compared to a net loss of $(7.2) million for third quarter of fiscal 2019. While our sales, specifically from our retail stores, continue to be impacted by the ongoing pandemic and therefore have not returned to prior-year levels, sales did improve from the second quarter and with the actions we have taken to manage markdowns and reduce expenses our results for the third quarter of fiscal 2020 were relatively flat to last year.</w:t>
      </w:r>
    </w:p>
    <w:p>
      <w:pPr>
        <w:spacing w:after="0" w:line="11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2"/>
          <w:szCs w:val="12"/>
          <w:color w:val="auto"/>
        </w:rPr>
        <w:t>During the third quarter of fiscal 2020, total comparable sales were down 20.5% to last year’s third quarter, which is an improvement from the second quarter, when comparable sales were down 38.6%. We have month-over-month improvement in our store sales from June through September in both traffic and conversion. For the third quarter, comparable store sales were down 31.5% while our direct business was up 18.2%, driven primarily by our DXL.com website which was up 28.4%. Gross margin for the third quarter also improved from the second quarter as a result of the progress we made by running more targeted promotions that garnered higher profit margins, as opposed to the second quarter where we were highly promotional in our effort to drive sales and reduce inventories.</w:t>
      </w:r>
    </w:p>
    <w:p>
      <w:pPr>
        <w:spacing w:after="0" w:line="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In response to the pandemic, we have restructured our business, where possible, to reduce operating costs to align with expected sales levels. Over the past several months, we have taken several cost-reduction measures to align our cost structure with the lower sale base until this pandemic is behind us. As difficult as these steps have been, we were able to reduce our total SG&amp;A costs for the third quarter by 100 basis points, as a percentage of sales. Subsequent to the end of the third quarter, on November 2, 2020, we announced additional steps to reduce our corporate workforce, terminate certain service agreements and eliminate certain professional services. The actions taken subsequent to the end of the third quarter, are expected to result in annualized savings of an additional $9.7 million.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80"/>
          </w:cols>
          <w:pgMar w:left="300" w:top="41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In total, including the actions taken subsequent to the end of the third quarter, we have reduced our field organization by approximately 54% and our corporate workforce by 29% since March 2020.</w:t>
      </w:r>
    </w:p>
    <w:p>
      <w:pPr>
        <w:spacing w:after="0" w:line="7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2"/>
          <w:szCs w:val="12"/>
          <w:color w:val="auto"/>
        </w:rPr>
        <w:t>We believe that managing and preserving our liquidity is our top priority to navigate through the pandemic. We have been proactive and decisive in managing our cash obligations. During the second quarter, we negotiated short-term rent relief agreements, primarily through rent abatements and rent deferments, with the majority of our landlords. As a result of lease modifications, the Company has reduced rent payments by approximately $8.5 million for fiscal 2020. As we head into the fourth quarter, we are actively engaging with our landlords regarding our forward-looking rent structure given the lower sales base.</w:t>
      </w:r>
    </w:p>
    <w:p>
      <w:pPr>
        <w:spacing w:after="0" w:line="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color w:val="auto"/>
        </w:rPr>
        <w:t>In the first quarter of fiscal 2020, we drew $30.0 million under our revolving credit facility to preserve our access to cash and we also amended our credit facility to improve our excess availability under our revolver. At October 31, 2020, we had $21.4 million in cash, total debt outstanding, net of debt issuance costs, of $82.9 million and remaining availability under our credit facility of $13.5 million. Total debt, net of cash, for the third quarter of fiscal 2020 was $61.5 million, as compared to $77.5 million in the third quarter of fiscal 2019. At October 31, 2020, our accounts payable balance of $28.6 million, which included $1.3 million of promissory notes payable through April 2021, compared to an accounts payable balance of $27.0 million at November 2, 2019. Our inventory at October 31, 2020 was $94.9 million, down from $120.2 million at the end of the third quarter last year. At the start of this pandemic, we canceled a substantial amount of orders and are continuing to manage our inventory very conservatively by slowing replenishment and reducing fall receipts to align with the current sales trend. Our access to liquidity will remain our primary objective for the balance of fiscal 2020 and we do believe that we have sufficient liquidity to meet our working capital requirements over the next twelve months, given no further significant shutdowns of the economy.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Summary</w:t>
      </w:r>
    </w:p>
    <w:p>
      <w:pPr>
        <w:spacing w:after="0" w:line="22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2"/>
          <w:szCs w:val="12"/>
          <w:color w:val="auto"/>
        </w:rPr>
        <w:t>The following is a summary of results for the third quarter and the first nine months of fiscal 2020 as compared to the prior year, including adjusted EBITDA, which is a non-GAAP measure. Please see “Non-GAAP Financial Measures” below for a reconciliation of net loss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right"/>
              <w:ind w:right="732"/>
              <w:spacing w:after="0"/>
              <w:rPr>
                <w:sz w:val="20"/>
                <w:szCs w:val="20"/>
                <w:color w:val="auto"/>
              </w:rPr>
            </w:pPr>
            <w:r>
              <w:rPr>
                <w:rFonts w:ascii="Times New Roman" w:cs="Times New Roman" w:eastAsia="Times New Roman" w:hAnsi="Times New Roman"/>
                <w:sz w:val="10"/>
                <w:szCs w:val="10"/>
                <w:color w:val="auto"/>
                <w:w w:val="96"/>
              </w:rPr>
              <w:t>For the three months ended</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00" w:type="dxa"/>
            <w:vAlign w:val="bottom"/>
            <w:gridSpan w:val="5"/>
          </w:tcPr>
          <w:p>
            <w:pPr>
              <w:jc w:val="right"/>
              <w:ind w:right="120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October 31, 2020</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November 2, 2019</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color w:val="auto"/>
              </w:rPr>
              <w:t>October 31, 2020</w:t>
            </w:r>
          </w:p>
        </w:tc>
        <w:tc>
          <w:tcPr>
            <w:tcW w:w="200" w:type="dxa"/>
            <w:vAlign w:val="bottom"/>
          </w:tcPr>
          <w:p>
            <w:pPr>
              <w:spacing w:after="0"/>
              <w:rPr>
                <w:sz w:val="9"/>
                <w:szCs w:val="9"/>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color w:val="auto"/>
              </w:rPr>
              <w:t>November 2, 2019</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40" w:type="dxa"/>
            <w:vAlign w:val="bottom"/>
            <w:tcBorders>
              <w:top w:val="single" w:sz="8" w:color="CFF0FC"/>
            </w:tcBorders>
            <w:gridSpan w:val="3"/>
            <w:shd w:val="clear" w:color="auto" w:fill="CFF0FC"/>
          </w:tcPr>
          <w:p>
            <w:pPr>
              <w:spacing w:after="0" w:line="89" w:lineRule="exact"/>
              <w:rPr>
                <w:sz w:val="20"/>
                <w:szCs w:val="20"/>
                <w:color w:val="auto"/>
              </w:rPr>
            </w:pPr>
            <w:r>
              <w:rPr>
                <w:rFonts w:ascii="Times New Roman" w:cs="Times New Roman" w:eastAsia="Times New Roman" w:hAnsi="Times New Roman"/>
                <w:sz w:val="10"/>
                <w:szCs w:val="10"/>
                <w:i w:val="1"/>
                <w:iCs w:val="1"/>
                <w:color w:val="auto"/>
              </w:rPr>
              <w:t>(in millions, except per share data)</w:t>
            </w:r>
          </w:p>
        </w:tc>
        <w:tc>
          <w:tcPr>
            <w:tcW w:w="1380" w:type="dxa"/>
            <w:vAlign w:val="bottom"/>
            <w:tcBorders>
              <w:top w:val="single" w:sz="8" w:color="CFF0FC"/>
            </w:tcBorders>
            <w:shd w:val="clear" w:color="auto" w:fill="CFF0FC"/>
          </w:tcPr>
          <w:p>
            <w:pPr>
              <w:spacing w:after="0"/>
              <w:rPr>
                <w:sz w:val="7"/>
                <w:szCs w:val="7"/>
                <w:color w:val="auto"/>
              </w:rPr>
            </w:pPr>
          </w:p>
        </w:tc>
        <w:tc>
          <w:tcPr>
            <w:tcW w:w="1060" w:type="dxa"/>
            <w:vAlign w:val="bottom"/>
            <w:tcBorders>
              <w:top w:val="single" w:sz="8" w:color="auto"/>
            </w:tcBorders>
            <w:shd w:val="clear" w:color="auto" w:fill="CFF0FC"/>
          </w:tcPr>
          <w:p>
            <w:pPr>
              <w:spacing w:after="0"/>
              <w:rPr>
                <w:sz w:val="7"/>
                <w:szCs w:val="7"/>
                <w:color w:val="auto"/>
              </w:rPr>
            </w:pPr>
          </w:p>
        </w:tc>
        <w:tc>
          <w:tcPr>
            <w:tcW w:w="38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120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2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auto"/>
            </w:tcBorders>
            <w:shd w:val="clear" w:color="auto" w:fill="CFF0FC"/>
          </w:tcPr>
          <w:p>
            <w:pPr>
              <w:spacing w:after="0"/>
              <w:rPr>
                <w:sz w:val="7"/>
                <w:szCs w:val="7"/>
                <w:color w:val="auto"/>
              </w:rPr>
            </w:pPr>
          </w:p>
        </w:tc>
        <w:tc>
          <w:tcPr>
            <w:tcW w:w="122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126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20" w:type="dxa"/>
            <w:vAlign w:val="bottom"/>
            <w:tcBorders>
              <w:top w:val="single" w:sz="8" w:color="auto"/>
            </w:tcBorders>
            <w:gridSpan w:val="2"/>
          </w:tcPr>
          <w:p>
            <w:pPr>
              <w:spacing w:after="0" w:line="98" w:lineRule="exact"/>
              <w:rPr>
                <w:sz w:val="20"/>
                <w:szCs w:val="20"/>
                <w:color w:val="auto"/>
              </w:rPr>
            </w:pPr>
            <w:r>
              <w:rPr>
                <w:rFonts w:ascii="Times New Roman" w:cs="Times New Roman" w:eastAsia="Times New Roman" w:hAnsi="Times New Roman"/>
                <w:sz w:val="10"/>
                <w:szCs w:val="10"/>
                <w:color w:val="auto"/>
              </w:rPr>
              <w:t>Net loss</w:t>
            </w:r>
          </w:p>
        </w:tc>
        <w:tc>
          <w:tcPr>
            <w:tcW w:w="1820" w:type="dxa"/>
            <w:vAlign w:val="bottom"/>
            <w:tcBorders>
              <w:top w:val="single" w:sz="8" w:color="CFF0FC"/>
            </w:tcBorders>
          </w:tcPr>
          <w:p>
            <w:pPr>
              <w:spacing w:after="0"/>
              <w:rPr>
                <w:sz w:val="8"/>
                <w:szCs w:val="8"/>
                <w:color w:val="auto"/>
              </w:rPr>
            </w:pPr>
          </w:p>
        </w:tc>
        <w:tc>
          <w:tcPr>
            <w:tcW w:w="2440" w:type="dxa"/>
            <w:vAlign w:val="bottom"/>
            <w:tcBorders>
              <w:top w:val="single" w:sz="8" w:color="CFF0FC"/>
            </w:tcBorders>
            <w:gridSpan w:val="2"/>
          </w:tcPr>
          <w:p>
            <w:pPr>
              <w:jc w:val="right"/>
              <w:ind w:right="972"/>
              <w:spacing w:after="0" w:line="9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CFF0FC"/>
            </w:tcBorders>
            <w:gridSpan w:val="2"/>
          </w:tcPr>
          <w:p>
            <w:pPr>
              <w:jc w:val="right"/>
              <w:ind w:right="240"/>
              <w:spacing w:after="0" w:line="98" w:lineRule="exact"/>
              <w:rPr>
                <w:sz w:val="20"/>
                <w:szCs w:val="20"/>
                <w:color w:val="auto"/>
              </w:rPr>
            </w:pPr>
            <w:r>
              <w:rPr>
                <w:rFonts w:ascii="Times New Roman" w:cs="Times New Roman" w:eastAsia="Times New Roman" w:hAnsi="Times New Roman"/>
                <w:sz w:val="10"/>
                <w:szCs w:val="10"/>
                <w:color w:val="auto"/>
              </w:rPr>
              <w:t>(7.0)</w:t>
            </w:r>
          </w:p>
        </w:tc>
        <w:tc>
          <w:tcPr>
            <w:tcW w:w="1200" w:type="dxa"/>
            <w:vAlign w:val="bottom"/>
            <w:tcBorders>
              <w:top w:val="single" w:sz="8" w:color="CFF0FC"/>
            </w:tcBorders>
          </w:tcPr>
          <w:p>
            <w:pPr>
              <w:jc w:val="right"/>
              <w:ind w:right="10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CFF0FC"/>
            </w:tcBorders>
            <w:gridSpan w:val="2"/>
          </w:tcPr>
          <w:p>
            <w:pPr>
              <w:jc w:val="right"/>
              <w:ind w:right="180"/>
              <w:spacing w:after="0" w:line="98" w:lineRule="exact"/>
              <w:rPr>
                <w:sz w:val="20"/>
                <w:szCs w:val="20"/>
                <w:color w:val="auto"/>
              </w:rPr>
            </w:pPr>
            <w:r>
              <w:rPr>
                <w:rFonts w:ascii="Times New Roman" w:cs="Times New Roman" w:eastAsia="Times New Roman" w:hAnsi="Times New Roman"/>
                <w:sz w:val="10"/>
                <w:szCs w:val="10"/>
                <w:color w:val="auto"/>
              </w:rPr>
              <w:t>(7.2)</w:t>
            </w:r>
          </w:p>
        </w:tc>
        <w:tc>
          <w:tcPr>
            <w:tcW w:w="220" w:type="dxa"/>
            <w:vAlign w:val="bottom"/>
            <w:tcBorders>
              <w:top w:val="single" w:sz="8" w:color="CFF0FC"/>
            </w:tcBorders>
          </w:tcPr>
          <w:p>
            <w:pPr>
              <w:jc w:val="right"/>
              <w:ind w:right="11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520" w:type="dxa"/>
            <w:vAlign w:val="bottom"/>
            <w:tcBorders>
              <w:top w:val="single" w:sz="8" w:color="CFF0FC"/>
            </w:tcBorders>
            <w:gridSpan w:val="2"/>
          </w:tcPr>
          <w:p>
            <w:pPr>
              <w:jc w:val="right"/>
              <w:ind w:right="260"/>
              <w:spacing w:after="0" w:line="98" w:lineRule="exact"/>
              <w:rPr>
                <w:sz w:val="20"/>
                <w:szCs w:val="20"/>
                <w:color w:val="auto"/>
              </w:rPr>
            </w:pPr>
            <w:r>
              <w:rPr>
                <w:rFonts w:ascii="Times New Roman" w:cs="Times New Roman" w:eastAsia="Times New Roman" w:hAnsi="Times New Roman"/>
                <w:sz w:val="10"/>
                <w:szCs w:val="10"/>
                <w:color w:val="auto"/>
              </w:rPr>
              <w:t>(59.5)</w:t>
            </w:r>
          </w:p>
        </w:tc>
        <w:tc>
          <w:tcPr>
            <w:tcW w:w="200" w:type="dxa"/>
            <w:vAlign w:val="bottom"/>
            <w:tcBorders>
              <w:top w:val="single" w:sz="8" w:color="CFF0FC"/>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CFF0FC"/>
            </w:tcBorders>
            <w:gridSpan w:val="2"/>
          </w:tcPr>
          <w:p>
            <w:pPr>
              <w:jc w:val="right"/>
              <w:ind w:right="80"/>
              <w:spacing w:after="0" w:line="98" w:lineRule="exact"/>
              <w:rPr>
                <w:sz w:val="20"/>
                <w:szCs w:val="20"/>
                <w:color w:val="auto"/>
              </w:rPr>
            </w:pPr>
            <w:r>
              <w:rPr>
                <w:rFonts w:ascii="Times New Roman" w:cs="Times New Roman" w:eastAsia="Times New Roman" w:hAnsi="Times New Roman"/>
                <w:sz w:val="10"/>
                <w:szCs w:val="10"/>
                <w:color w:val="auto"/>
              </w:rPr>
              <w:t>(10.2)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40" w:type="dxa"/>
            <w:vAlign w:val="bottom"/>
            <w:gridSpan w:val="3"/>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Adjusted EBITDA (Non-GAAP basis)</w:t>
            </w:r>
          </w:p>
        </w:tc>
        <w:tc>
          <w:tcPr>
            <w:tcW w:w="2440" w:type="dxa"/>
            <w:vAlign w:val="bottom"/>
            <w:gridSpan w:val="2"/>
            <w:shd w:val="clear" w:color="auto" w:fill="CFF0FC"/>
          </w:tcPr>
          <w:p>
            <w:pPr>
              <w:jc w:val="right"/>
              <w:ind w:right="972"/>
              <w:spacing w:after="0" w:line="10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0"/>
                <w:szCs w:val="10"/>
                <w:color w:val="auto"/>
              </w:rPr>
              <w:t>(1.7)</w:t>
            </w:r>
          </w:p>
        </w:tc>
        <w:tc>
          <w:tcPr>
            <w:tcW w:w="1200" w:type="dxa"/>
            <w:vAlign w:val="bottom"/>
            <w:shd w:val="clear" w:color="auto" w:fill="CFF0FC"/>
          </w:tcPr>
          <w:p>
            <w:pPr>
              <w:jc w:val="right"/>
              <w:ind w:right="1092"/>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1.7</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12"/>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1520" w:type="dxa"/>
            <w:vAlign w:val="bottom"/>
            <w:gridSpan w:val="2"/>
            <w:shd w:val="clear" w:color="auto" w:fill="CFF0FC"/>
          </w:tcPr>
          <w:p>
            <w:pPr>
              <w:jc w:val="right"/>
              <w:ind w:right="260"/>
              <w:spacing w:after="0" w:line="109" w:lineRule="exact"/>
              <w:rPr>
                <w:sz w:val="20"/>
                <w:szCs w:val="20"/>
                <w:color w:val="auto"/>
              </w:rPr>
            </w:pPr>
            <w:r>
              <w:rPr>
                <w:rFonts w:ascii="Times New Roman" w:cs="Times New Roman" w:eastAsia="Times New Roman" w:hAnsi="Times New Roman"/>
                <w:sz w:val="10"/>
                <w:szCs w:val="10"/>
                <w:color w:val="auto"/>
              </w:rPr>
              <w:t>(24.9)</w:t>
            </w:r>
          </w:p>
        </w:tc>
        <w:tc>
          <w:tcPr>
            <w:tcW w:w="2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13.6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3140" w:type="dxa"/>
            <w:vAlign w:val="bottom"/>
            <w:gridSpan w:val="3"/>
            <w:shd w:val="clear" w:color="auto" w:fill="CFF0FC"/>
          </w:tcPr>
          <w:p>
            <w:pPr>
              <w:spacing w:after="0" w:line="100" w:lineRule="exact"/>
              <w:rPr>
                <w:sz w:val="20"/>
                <w:szCs w:val="20"/>
                <w:color w:val="auto"/>
              </w:rPr>
            </w:pPr>
            <w:r>
              <w:rPr>
                <w:rFonts w:ascii="Times New Roman" w:cs="Times New Roman" w:eastAsia="Times New Roman" w:hAnsi="Times New Roman"/>
                <w:sz w:val="10"/>
                <w:szCs w:val="10"/>
                <w:color w:val="auto"/>
              </w:rPr>
              <w:t>Per diluted share:</w:t>
            </w:r>
          </w:p>
        </w:tc>
        <w:tc>
          <w:tcPr>
            <w:tcW w:w="138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tcBorders>
              <w:top w:val="single" w:sz="8" w:color="auto"/>
            </w:tcBorders>
          </w:tcPr>
          <w:p>
            <w:pPr>
              <w:spacing w:after="0" w:line="98" w:lineRule="exact"/>
              <w:rPr>
                <w:sz w:val="20"/>
                <w:szCs w:val="20"/>
                <w:color w:val="auto"/>
              </w:rPr>
            </w:pPr>
            <w:r>
              <w:rPr>
                <w:rFonts w:ascii="Times New Roman" w:cs="Times New Roman" w:eastAsia="Times New Roman" w:hAnsi="Times New Roman"/>
                <w:sz w:val="10"/>
                <w:szCs w:val="10"/>
                <w:color w:val="auto"/>
              </w:rPr>
              <w:t>Net loss</w:t>
            </w:r>
          </w:p>
        </w:tc>
        <w:tc>
          <w:tcPr>
            <w:tcW w:w="2500" w:type="dxa"/>
            <w:vAlign w:val="bottom"/>
            <w:tcBorders>
              <w:top w:val="single" w:sz="8" w:color="CFF0FC"/>
            </w:tcBorders>
            <w:gridSpan w:val="2"/>
          </w:tcPr>
          <w:p>
            <w:pPr>
              <w:spacing w:after="0"/>
              <w:rPr>
                <w:sz w:val="8"/>
                <w:szCs w:val="8"/>
                <w:color w:val="auto"/>
              </w:rPr>
            </w:pPr>
          </w:p>
        </w:tc>
        <w:tc>
          <w:tcPr>
            <w:tcW w:w="2440" w:type="dxa"/>
            <w:vAlign w:val="bottom"/>
            <w:tcBorders>
              <w:top w:val="single" w:sz="8" w:color="CFF0FC"/>
            </w:tcBorders>
            <w:gridSpan w:val="2"/>
          </w:tcPr>
          <w:p>
            <w:pPr>
              <w:jc w:val="right"/>
              <w:ind w:right="972"/>
              <w:spacing w:after="0" w:line="9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CFF0FC"/>
            </w:tcBorders>
            <w:gridSpan w:val="2"/>
          </w:tcPr>
          <w:p>
            <w:pPr>
              <w:jc w:val="right"/>
              <w:ind w:right="240"/>
              <w:spacing w:after="0" w:line="98" w:lineRule="exact"/>
              <w:rPr>
                <w:sz w:val="20"/>
                <w:szCs w:val="20"/>
                <w:color w:val="auto"/>
              </w:rPr>
            </w:pPr>
            <w:r>
              <w:rPr>
                <w:rFonts w:ascii="Times New Roman" w:cs="Times New Roman" w:eastAsia="Times New Roman" w:hAnsi="Times New Roman"/>
                <w:sz w:val="10"/>
                <w:szCs w:val="10"/>
                <w:color w:val="auto"/>
              </w:rPr>
              <w:t>(0.14)</w:t>
            </w:r>
          </w:p>
        </w:tc>
        <w:tc>
          <w:tcPr>
            <w:tcW w:w="1200" w:type="dxa"/>
            <w:vAlign w:val="bottom"/>
            <w:tcBorders>
              <w:top w:val="single" w:sz="8" w:color="CFF0FC"/>
            </w:tcBorders>
          </w:tcPr>
          <w:p>
            <w:pPr>
              <w:jc w:val="right"/>
              <w:ind w:right="10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CFF0FC"/>
            </w:tcBorders>
            <w:gridSpan w:val="2"/>
          </w:tcPr>
          <w:p>
            <w:pPr>
              <w:jc w:val="right"/>
              <w:ind w:right="180"/>
              <w:spacing w:after="0" w:line="98" w:lineRule="exact"/>
              <w:rPr>
                <w:sz w:val="20"/>
                <w:szCs w:val="20"/>
                <w:color w:val="auto"/>
              </w:rPr>
            </w:pPr>
            <w:r>
              <w:rPr>
                <w:rFonts w:ascii="Times New Roman" w:cs="Times New Roman" w:eastAsia="Times New Roman" w:hAnsi="Times New Roman"/>
                <w:sz w:val="10"/>
                <w:szCs w:val="10"/>
                <w:color w:val="auto"/>
              </w:rPr>
              <w:t>(0.14)</w:t>
            </w:r>
          </w:p>
        </w:tc>
        <w:tc>
          <w:tcPr>
            <w:tcW w:w="220" w:type="dxa"/>
            <w:vAlign w:val="bottom"/>
            <w:tcBorders>
              <w:top w:val="single" w:sz="8" w:color="CFF0FC"/>
            </w:tcBorders>
          </w:tcPr>
          <w:p>
            <w:pPr>
              <w:jc w:val="right"/>
              <w:ind w:right="11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520" w:type="dxa"/>
            <w:vAlign w:val="bottom"/>
            <w:tcBorders>
              <w:top w:val="single" w:sz="8" w:color="CFF0FC"/>
            </w:tcBorders>
            <w:gridSpan w:val="2"/>
          </w:tcPr>
          <w:p>
            <w:pPr>
              <w:jc w:val="right"/>
              <w:ind w:right="260"/>
              <w:spacing w:after="0" w:line="98" w:lineRule="exact"/>
              <w:rPr>
                <w:sz w:val="20"/>
                <w:szCs w:val="20"/>
                <w:color w:val="auto"/>
              </w:rPr>
            </w:pPr>
            <w:r>
              <w:rPr>
                <w:rFonts w:ascii="Times New Roman" w:cs="Times New Roman" w:eastAsia="Times New Roman" w:hAnsi="Times New Roman"/>
                <w:sz w:val="10"/>
                <w:szCs w:val="10"/>
                <w:color w:val="auto"/>
              </w:rPr>
              <w:t>(1.16)</w:t>
            </w:r>
          </w:p>
        </w:tc>
        <w:tc>
          <w:tcPr>
            <w:tcW w:w="200" w:type="dxa"/>
            <w:vAlign w:val="bottom"/>
            <w:tcBorders>
              <w:top w:val="single" w:sz="8" w:color="CFF0FC"/>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CFF0FC"/>
            </w:tcBorders>
            <w:gridSpan w:val="2"/>
          </w:tcPr>
          <w:p>
            <w:pPr>
              <w:jc w:val="right"/>
              <w:ind w:right="80"/>
              <w:spacing w:after="0" w:line="98" w:lineRule="exact"/>
              <w:rPr>
                <w:sz w:val="20"/>
                <w:szCs w:val="20"/>
                <w:color w:val="auto"/>
              </w:rPr>
            </w:pPr>
            <w:r>
              <w:rPr>
                <w:rFonts w:ascii="Times New Roman" w:cs="Times New Roman" w:eastAsia="Times New Roman" w:hAnsi="Times New Roman"/>
                <w:sz w:val="10"/>
                <w:szCs w:val="10"/>
                <w:color w:val="auto"/>
              </w:rPr>
              <w:t>(0.21)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40" w:type="dxa"/>
            <w:vAlign w:val="bottom"/>
            <w:gridSpan w:val="3"/>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Adjusted net income (loss) (Non-GAAP basis)</w:t>
            </w:r>
          </w:p>
        </w:tc>
        <w:tc>
          <w:tcPr>
            <w:tcW w:w="2440" w:type="dxa"/>
            <w:vAlign w:val="bottom"/>
            <w:gridSpan w:val="2"/>
            <w:shd w:val="clear" w:color="auto" w:fill="CFF0FC"/>
          </w:tcPr>
          <w:p>
            <w:pPr>
              <w:jc w:val="right"/>
              <w:ind w:right="972"/>
              <w:spacing w:after="0" w:line="10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0"/>
                <w:szCs w:val="10"/>
                <w:color w:val="auto"/>
              </w:rPr>
              <w:t>(0.12)</w:t>
            </w:r>
          </w:p>
        </w:tc>
        <w:tc>
          <w:tcPr>
            <w:tcW w:w="1200" w:type="dxa"/>
            <w:vAlign w:val="bottom"/>
            <w:shd w:val="clear" w:color="auto" w:fill="CFF0FC"/>
          </w:tcPr>
          <w:p>
            <w:pPr>
              <w:jc w:val="right"/>
              <w:ind w:right="1092"/>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(0.08)</w:t>
            </w:r>
          </w:p>
        </w:tc>
        <w:tc>
          <w:tcPr>
            <w:tcW w:w="220" w:type="dxa"/>
            <w:vAlign w:val="bottom"/>
            <w:shd w:val="clear" w:color="auto" w:fill="CFF0FC"/>
          </w:tcPr>
          <w:p>
            <w:pPr>
              <w:jc w:val="right"/>
              <w:ind w:right="112"/>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1520" w:type="dxa"/>
            <w:vAlign w:val="bottom"/>
            <w:gridSpan w:val="2"/>
            <w:shd w:val="clear" w:color="auto" w:fill="CFF0FC"/>
          </w:tcPr>
          <w:p>
            <w:pPr>
              <w:jc w:val="right"/>
              <w:ind w:right="260"/>
              <w:spacing w:after="0" w:line="109" w:lineRule="exact"/>
              <w:rPr>
                <w:sz w:val="20"/>
                <w:szCs w:val="20"/>
                <w:color w:val="auto"/>
              </w:rPr>
            </w:pPr>
            <w:r>
              <w:rPr>
                <w:rFonts w:ascii="Times New Roman" w:cs="Times New Roman" w:eastAsia="Times New Roman" w:hAnsi="Times New Roman"/>
                <w:sz w:val="10"/>
                <w:szCs w:val="10"/>
                <w:color w:val="auto"/>
              </w:rPr>
              <w:t>(0.64)</w:t>
            </w:r>
          </w:p>
        </w:tc>
        <w:tc>
          <w:tcPr>
            <w:tcW w:w="2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0"/>
                <w:szCs w:val="10"/>
                <w:color w:val="auto"/>
              </w:rPr>
              <w:t>(0.12)</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4"/>
          </w:tcPr>
          <w:p>
            <w:pPr>
              <w:jc w:val="right"/>
              <w:ind w:right="926"/>
              <w:spacing w:after="0"/>
              <w:rPr>
                <w:sz w:val="20"/>
                <w:szCs w:val="20"/>
                <w:color w:val="auto"/>
              </w:rPr>
            </w:pPr>
            <w:r>
              <w:rPr>
                <w:rFonts w:ascii="Times New Roman" w:cs="Times New Roman" w:eastAsia="Times New Roman" w:hAnsi="Times New Roman"/>
                <w:sz w:val="11"/>
                <w:szCs w:val="11"/>
                <w:color w:val="auto"/>
              </w:rPr>
              <w:t>For the three months 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gridSpan w:val="5"/>
          </w:tcPr>
          <w:p>
            <w:pPr>
              <w:jc w:val="right"/>
              <w:ind w:right="906"/>
              <w:spacing w:after="0"/>
              <w:rPr>
                <w:sz w:val="20"/>
                <w:szCs w:val="20"/>
                <w:color w:val="auto"/>
              </w:rPr>
            </w:pPr>
            <w:r>
              <w:rPr>
                <w:rFonts w:ascii="Times New Roman" w:cs="Times New Roman" w:eastAsia="Times New Roman" w:hAnsi="Times New Roman"/>
                <w:sz w:val="11"/>
                <w:szCs w:val="11"/>
                <w:color w:val="auto"/>
              </w:rPr>
              <w:t>For the nine months ended</w:t>
            </w:r>
          </w:p>
        </w:tc>
        <w:tc>
          <w:tcPr>
            <w:tcW w:w="700" w:type="dxa"/>
            <w:vAlign w:val="bottom"/>
          </w:tcPr>
          <w:p>
            <w:pPr>
              <w:spacing w:after="0"/>
              <w:rPr>
                <w:sz w:val="12"/>
                <w:szCs w:val="12"/>
                <w:color w:val="auto"/>
              </w:rPr>
            </w:pPr>
          </w:p>
        </w:tc>
      </w:tr>
      <w:tr>
        <w:trPr>
          <w:trHeight w:val="147"/>
        </w:trPr>
        <w:tc>
          <w:tcPr>
            <w:tcW w:w="3600" w:type="dxa"/>
            <w:vAlign w:val="bottom"/>
            <w:gridSpan w:val="3"/>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0" w:type="dxa"/>
            <w:vAlign w:val="bottom"/>
          </w:tcPr>
          <w:p>
            <w:pPr>
              <w:spacing w:after="0"/>
              <w:rPr>
                <w:sz w:val="12"/>
                <w:szCs w:val="12"/>
                <w:color w:val="auto"/>
              </w:rPr>
            </w:pP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October 31, 2020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November 2, 2019</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October 31, 2020</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November 2, 2019</w:t>
            </w:r>
          </w:p>
        </w:tc>
        <w:tc>
          <w:tcPr>
            <w:tcW w:w="70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Store sales</w:t>
            </w:r>
          </w:p>
        </w:tc>
        <w:tc>
          <w:tcPr>
            <w:tcW w:w="960" w:type="dxa"/>
            <w:vAlign w:val="bottom"/>
          </w:tcPr>
          <w:p>
            <w:pPr>
              <w:spacing w:after="0"/>
              <w:rPr>
                <w:sz w:val="11"/>
                <w:szCs w:val="11"/>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53,363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66.6%</w:t>
            </w: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81,054</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78.1%</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124,155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i w:val="1"/>
                <w:iCs w:val="1"/>
                <w:color w:val="auto"/>
              </w:rPr>
              <w:t>60.0%</w:t>
            </w: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262,888</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78.5%</w:t>
            </w: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Direct sales</w:t>
            </w: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26,764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i w:val="1"/>
                <w:iCs w:val="1"/>
                <w:color w:val="auto"/>
              </w:rPr>
              <w:t>33.4%</w:t>
            </w: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22,676</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i w:val="1"/>
                <w:iCs w:val="1"/>
                <w:color w:val="auto"/>
              </w:rPr>
              <w:t>21.9%</w:t>
            </w:r>
          </w:p>
        </w:tc>
        <w:tc>
          <w:tcPr>
            <w:tcW w:w="160" w:type="dxa"/>
            <w:vAlign w:val="bottom"/>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82,605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i w:val="1"/>
                <w:iCs w:val="1"/>
                <w:color w:val="auto"/>
              </w:rPr>
              <w:t>40.0%</w:t>
            </w: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71,915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i w:val="1"/>
                <w:iCs w:val="1"/>
                <w:color w:val="auto"/>
              </w:rPr>
              <w:t>21.5%</w:t>
            </w:r>
          </w:p>
        </w:tc>
      </w:tr>
      <w:tr>
        <w:trPr>
          <w:trHeight w:val="130"/>
        </w:trPr>
        <w:tc>
          <w:tcPr>
            <w:tcW w:w="36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Retail segment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80,127</w:t>
            </w:r>
          </w:p>
        </w:tc>
        <w:tc>
          <w:tcPr>
            <w:tcW w:w="78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103,730</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206,760</w:t>
            </w:r>
          </w:p>
        </w:tc>
        <w:tc>
          <w:tcPr>
            <w:tcW w:w="700" w:type="dxa"/>
            <w:vAlign w:val="bottom"/>
            <w:gridSpan w:val="2"/>
          </w:tcPr>
          <w:p>
            <w:pPr>
              <w:spacing w:after="0"/>
              <w:rPr>
                <w:sz w:val="11"/>
                <w:szCs w:val="11"/>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334,803</w:t>
            </w:r>
          </w:p>
        </w:tc>
        <w:tc>
          <w:tcPr>
            <w:tcW w:w="7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Wholesale segment</w:t>
            </w: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5,044</w:t>
            </w:r>
          </w:p>
        </w:tc>
        <w:tc>
          <w:tcPr>
            <w:tcW w:w="78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620" w:type="dxa"/>
            <w:vAlign w:val="bottom"/>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12,080</w:t>
            </w:r>
          </w:p>
        </w:tc>
        <w:tc>
          <w:tcPr>
            <w:tcW w:w="6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7,996</w:t>
            </w:r>
          </w:p>
        </w:tc>
        <w:tc>
          <w:tcPr>
            <w:tcW w:w="700" w:type="dxa"/>
            <w:vAlign w:val="bottom"/>
            <w:shd w:val="clear" w:color="auto" w:fill="CFF0FC"/>
          </w:tcPr>
          <w:p>
            <w:pPr>
              <w:spacing w:after="0"/>
              <w:rPr>
                <w:sz w:val="12"/>
                <w:szCs w:val="12"/>
                <w:color w:val="auto"/>
              </w:rPr>
            </w:pPr>
          </w:p>
        </w:tc>
      </w:tr>
      <w:tr>
        <w:trPr>
          <w:trHeight w:val="141"/>
        </w:trPr>
        <w:tc>
          <w:tcPr>
            <w:tcW w:w="36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Total Sales</w:t>
            </w: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85,171</w:t>
            </w:r>
          </w:p>
        </w:tc>
        <w:tc>
          <w:tcPr>
            <w:tcW w:w="780" w:type="dxa"/>
            <w:vAlign w:val="bottom"/>
          </w:tcPr>
          <w:p>
            <w:pPr>
              <w:spacing w:after="0"/>
              <w:rPr>
                <w:sz w:val="12"/>
                <w:szCs w:val="12"/>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106,581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218,840</w:t>
            </w:r>
          </w:p>
        </w:tc>
        <w:tc>
          <w:tcPr>
            <w:tcW w:w="6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342,799</w:t>
            </w:r>
          </w:p>
        </w:tc>
        <w:tc>
          <w:tcPr>
            <w:tcW w:w="700" w:type="dxa"/>
            <w:vAlign w:val="bottom"/>
          </w:tcPr>
          <w:p>
            <w:pPr>
              <w:spacing w:after="0"/>
              <w:rPr>
                <w:sz w:val="12"/>
                <w:szCs w:val="12"/>
                <w:color w:val="auto"/>
              </w:rPr>
            </w:pPr>
          </w:p>
        </w:tc>
      </w:tr>
    </w:tbl>
    <w:p>
      <w:pPr>
        <w:spacing w:after="0" w:line="6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2"/>
          <w:szCs w:val="12"/>
          <w:color w:val="auto"/>
        </w:rPr>
        <w:t>Total sales for the third quarter of fiscal 2020 decreased 20.1% to $85.2 million from $106.6 million in the third quarter of fiscal 2019. Comparable sales for the quarter were down 20.5% to last year, which is an improvement of 18.1 percentage points from the second quarter of fiscal 2020, when comparable sales were down 38.6%. The 20.5% decrease in comparable sales was primarily driven by our stores, which were down 31.5% from the prior year’s third quarter, partially offset by our direct business, which was up 18.2%. For the third quarter of fiscal 2020, our direct business represented 33.4% of our retail sales as compared to 21.9% for the third quarter of fiscal 2019.</w:t>
      </w:r>
    </w:p>
    <w:p>
      <w:pPr>
        <w:spacing w:after="0" w:line="4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2"/>
          <w:szCs w:val="12"/>
          <w:color w:val="auto"/>
        </w:rPr>
        <w:t>All of our stores had reopened by the end of June, and we were seeing month-over-month improvements in both traffic and conversion through September. However, with the resurgence of the virus, fires on the west coast and distractions from the election, our sales momentum slowed in October.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23" w:name="page24"/>
    <w:bookmarkEnd w:id="23"/>
    <w:p>
      <w:pPr>
        <w:ind w:right="140"/>
        <w:spacing w:after="0" w:line="286" w:lineRule="auto"/>
        <w:rPr>
          <w:sz w:val="20"/>
          <w:szCs w:val="20"/>
          <w:color w:val="auto"/>
        </w:rPr>
      </w:pPr>
      <w:r>
        <w:rPr>
          <w:rFonts w:ascii="Times New Roman" w:cs="Times New Roman" w:eastAsia="Times New Roman" w:hAnsi="Times New Roman"/>
          <w:sz w:val="12"/>
          <w:szCs w:val="12"/>
          <w:color w:val="auto"/>
        </w:rPr>
        <w:t>The increase in our direct business was principally due to our DXL.com e-commerce site, which had a sales increase of 28.4%. The strong growth in our direct business was a direct outcome of the digital strategies we implemented and the customers’ further shift in shopping preferences in response to COVID-19.</w:t>
      </w:r>
    </w:p>
    <w:p>
      <w:pPr>
        <w:spacing w:after="0" w:line="3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2"/>
          <w:szCs w:val="12"/>
          <w:color w:val="auto"/>
        </w:rPr>
        <w:t>Our wholesale business contributed $5.0 million in sales during the third quarter, as compared to $2.9 million in the prior year, principally due to Amazon Essentials. We saw demand for masks, which was significant for us in the second quarter, drop during the third quarter.</w:t>
      </w:r>
    </w:p>
    <w:p>
      <w:pPr>
        <w:spacing w:after="0" w:line="33"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2"/>
          <w:szCs w:val="12"/>
          <w:color w:val="auto"/>
        </w:rPr>
        <w:t>Total sales for the first nine months of fiscal 2020 decreased 36.2% to $218.8 million from $342.8 million for the first nine months of fiscal 2019. This decrease was principally due to the temporary closing of all of our store locations during parts of the first two quarters as well as the decrease in store traffic and consumer spending as a direct result of the COVID-19 pandemic. With continued high unemployment and the uncertainty surrounding the pandemic, we expect to continue to market to our customers primarily through digital and direct means, in an effort to drive traffic to both our website and stores.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Gross Margin Rate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For the third quarter of fiscal 2020, our gross margin rate, inclusive of occupancy costs, was 36.5% as compared to a gross margin rate of 41.1% for the third quarter of fiscal 2019. The decrease of 4.6% was due to a decrease of 2.8% in merchandise margins and a decrease of 1.8% due to the deleveraging in occupancy costs. Merchandise margins have improved from the second quarter of fiscal 2020, when merchandise margins were down 11.1%. During the third quarter, we made progress with improving our markdowns by focusing on more targeted promotions with a greater gross margin impact as opposed to the second quarter where we were highly promotional across many categories in our effort to drive sales and reduce inventories. Because of the growth in our direct channel and free shipping promotions, shipping costs continued to increase over the prior year and are expected to remain elevated in the fourth quarter</w:t>
      </w:r>
    </w:p>
    <w:p>
      <w:pPr>
        <w:spacing w:after="0" w:line="19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2"/>
          <w:szCs w:val="12"/>
          <w:color w:val="auto"/>
        </w:rPr>
        <w:t>For the first nine months of fiscal 2020, our gross margin, inclusive of occupancy costs, was 30.1% as compared to 43.1% for the first nine months of fiscal 2019. The decrease of 13.0% was comprised of a decline of 6.0% from the deleveraging in occupancy costs, due to the store closures and overall reduced sales base, and a decrease of 7.0% in merchandise margins. The decrease in merchandise margins reflects the increased promotional posture we took in response to COVID-19, especially during the second quarter, and an increase in our inventory reserves of approximately $0.7 million in the first quarter of fiscal 2020. We are continuing to work with our landlord community given the lower sales base because of the continued impact of COVID-19 on store traffic.</w:t>
      </w:r>
    </w:p>
    <w:p>
      <w:pPr>
        <w:spacing w:after="0" w:line="4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color w:val="auto"/>
        </w:rPr>
        <w:t>Although margins from our wholesale business are lower than our retail business, which is expected for wholesale, the gross margin rate in the third quarter and first nine months of fiscal 2020 for wholesale significantly improved over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General and Administrative Expenses</w:t>
      </w:r>
    </w:p>
    <w:p>
      <w:pPr>
        <w:spacing w:after="0" w:line="7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2"/>
          <w:szCs w:val="12"/>
          <w:color w:val="auto"/>
        </w:rPr>
        <w:t>As a percentage of sales, SG&amp;A expenses for the third quarter of fiscal 2020 were 38.5% as compared to 39.5% for the third quarter of fiscal 2019. On a dollar basis, SG&amp;A decreased by $9.3 million, or 22.1%, for the third quarter of fiscal 2020 as compared to the prior year. For the first nine months of fiscal 2020, SG&amp;A expenses were 41.5% of sales as compared to 39.1% for the first nine months of fiscal 2019. On a dollar basis, SG&amp;A expense decreased $43.5 million or 32.4%.</w:t>
      </w:r>
    </w:p>
    <w:p>
      <w:pPr>
        <w:spacing w:after="0" w:line="4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We took several steps to reduce our operating costs while our stores were closed, including the furlough of both our store associates and certain corporate associates, a reduction in marketing costs, a temporary salary reduction of 10-20% for management and the suspension of non-employee director compensation for the second quarter. As we reopened stores during the second quarter, our operating costs were realigned with the expected sales levels and associates were brought back on a staggered schedule. In the third quarter, we reduced our SG&amp;A expenses, as a percent of sales, by 100 basis points, further showing the measures we have taken to reduce our operating costs given the lower sales base. The decrease in the third quarter was primarily driven by a decrease in store and corporate payroll and cost reduction efforts throughout all areas of our business. With the reduced sales levels and store traffic, our stores are operating at minimal staffing levels and reduced operating hours.</w:t>
      </w:r>
    </w:p>
    <w:p>
      <w:pPr>
        <w:spacing w:after="0" w:line="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Subsequent to the end of the third quarter, on November 2, 2020, we implemented an additional corporate restructuring, in an effort to continually realign our SG&amp;A costs with the potential continuation of reduced sales levels as a result of the continuing COVID-19 pandemic. The restructuring included the termination of certain service agreements, the elimination of certain professional services and the elimination of an additional 45 positions in the corporate workforce. These additional actions are expected to result in annualized savings of approximately $9.7 million. This year, we have reduced our field organization by approximately 54% and our corporate workforce by 29%. The Company expects to incur an aggregate charge of approximately $0.5 million in the fourth quarter of fiscal 2020 related to employee severance and one-time termination benefits. Our ability to restructure has been critical as it creates operating leverage and allows us to better withstand a decline in revenue. We will continue to assess and rationalize our entire SG&amp;A cost structure.</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SG&amp;A expenses are managed through two primary cost centers: Customer Facing Costs and Corporate Supporting Costs. Customer Facing Costs, which include store payroll, marketing, and other store operating costs, represented 19.8% of sales for the first nine months of fiscal 2020 as compared to 22.9% of sales for the first nine months of last year. While down 15% over last year, Corporate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24" w:name="page25"/>
    <w:bookmarkEnd w:id="24"/>
    <w:p>
      <w:pPr>
        <w:spacing w:after="0" w:line="412" w:lineRule="auto"/>
        <w:rPr>
          <w:sz w:val="20"/>
          <w:szCs w:val="20"/>
          <w:color w:val="auto"/>
        </w:rPr>
      </w:pPr>
      <w:r>
        <w:rPr>
          <w:rFonts w:ascii="Times New Roman" w:cs="Times New Roman" w:eastAsia="Times New Roman" w:hAnsi="Times New Roman"/>
          <w:sz w:val="12"/>
          <w:szCs w:val="12"/>
          <w:color w:val="auto"/>
        </w:rPr>
        <w:t xml:space="preserve">Supporting Costs, which include the distribution center, support, and other corporate overhead costs, represented 21.7% of sales for the first nine months of fiscal 2020 compared to 16.2% of sales for the first nine months of last year. </w:t>
      </w:r>
      <w:r>
        <w:rPr>
          <w:rFonts w:ascii="Times New Roman" w:cs="Times New Roman" w:eastAsia="Times New Roman" w:hAnsi="Times New Roman"/>
          <w:sz w:val="12"/>
          <w:szCs w:val="12"/>
          <w:i w:val="1"/>
          <w:iCs w:val="1"/>
          <w:color w:val="auto"/>
        </w:rPr>
        <w:t>Impairment of Assets</w:t>
      </w:r>
    </w:p>
    <w:p>
      <w:pPr>
        <w:spacing w:after="0" w:line="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 xml:space="preserve">We regularly review assets for impairment indicators at the individual store level, as this represents the lowest level of identifiable cash flows. Store assets include property and equipment as well as lease right-of-use assets related to the Company’s adoption of ASC 842,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in the first quarter of fiscal 2019. When indicators of impairment are present, a recoverability analysis is performed. Based on the indicators present in the first quarter of fiscal 2020, we completed a recoverability analysis, which included the impact of the COVID-19 pandemic on the operations of our stores and we used </w:t>
      </w:r>
      <w:r>
        <w:rPr>
          <w:rFonts w:ascii="Times New Roman" w:cs="Times New Roman" w:eastAsia="Times New Roman" w:hAnsi="Times New Roman"/>
          <w:sz w:val="12"/>
          <w:szCs w:val="12"/>
          <w:color w:val="212121"/>
        </w:rPr>
        <w:t>projections that were based on multiple probability-weighted scenarios, assuming that our stores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12121"/>
        </w:rPr>
        <w:t xml:space="preserve">gradually open throughout the second quarter of fiscal 2020 but that consumer retail spending will remain substantially curtailed for a period of time. As a result of that analysis, in the first quarter of fiscal 2020 we recorded an impairment charge of $16.3 million. The impairment charge included approximately $12.5 million for the write-down of certain right-of-use assets, related to leases where the carrying value exceeded fair value, and $3.8 million for the write-down of property and equipment, related to </w:t>
      </w:r>
      <w:r>
        <w:rPr>
          <w:rFonts w:ascii="Times New Roman" w:cs="Times New Roman" w:eastAsia="Times New Roman" w:hAnsi="Times New Roman"/>
          <w:sz w:val="12"/>
          <w:szCs w:val="12"/>
          <w:color w:val="000000"/>
        </w:rPr>
        <w:t>stores where the carrying value exceeded fair value.</w:t>
      </w:r>
    </w:p>
    <w:p>
      <w:pPr>
        <w:spacing w:after="0" w:line="12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During the third quarter of fiscal 2020, we recorded a $1.2 million non-cash gain on the reduction of our operating lease liability in connection with our decision to close three retail stores, which resulted in a revaluation of the lease liability. Approximately $1.1 million of this gain related to two leases where the right-of-use assets had previously been impaired and therefore was included as a reduction in the impairment charge for the three and nine months ended October 31, 2020. The remaining gain of $0.1 million was included as an offset to store occupancy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Exit Costs Associated with London Operations</w:t>
      </w:r>
    </w:p>
    <w:p>
      <w:pPr>
        <w:spacing w:after="0" w:line="15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color w:val="auto"/>
        </w:rPr>
        <w:t>Results for the third quarter and first nine months of fiscal 2019 included a charge of $1.7 million related to the closure of our Rochester Clothing store and the exit from our London operations. The largest component of this charge was the recognition of the accumulated foreign currency translation adjustment of approximately $0.8 million. The remainder of the charge related primarily to lease termination and inventory liquidation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Depreciation and amortization for the third quarter and first nine months of fiscal 2020 of $5.3 million and $16.4 million, respectively, decreased from $6.3 million and $18.9 million for the third quarter and first nine months of fiscal 2019. The decrease is due to a lower depreciable cost base, especially from our store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 Net</w:t>
      </w:r>
    </w:p>
    <w:p>
      <w:pPr>
        <w:spacing w:after="0" w:line="7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Net interest expense for the third quarter and first nine months of fiscal 2020 increased to $1.1 million and $2.9 million, respectively, as compared to $0.9 million and $2.6 million, respectively, for the third quarter and first nine months of fiscal 2019 due to an increase in average borrowings, and an increase in the effective borrowing rates. As a result of our recent amendment to our Credit Facility in April 2020, interest rates under our Credit Facility, which includes our FILO loan, increased by approximately 150 basis points, which will increase our interest costs on a go-forward basis for the remainder of fiscal 2020. In addition, as discussed above, on March 20, 2020, we drew approximately $30.0 million against our revolving credit facility. This action was taken to provide the Company with flexibility to manage its cash flow during this uncertain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Income Taxes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established a full valuation allowance against our deferred tax assets at the end of fiscal 2014. Based on our forecast for fiscal 2020, we believe that a full valuation allowance continues to remain appropriate at this time.</w:t>
      </w:r>
    </w:p>
    <w:p>
      <w:pPr>
        <w:spacing w:after="0" w:line="152"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2"/>
          <w:szCs w:val="12"/>
          <w:color w:val="auto"/>
        </w:rPr>
        <w:t>The discrete tax rate method was used for calculating tax expense. Due to current period losses, our current tax provision for the first nine months of fiscal 2020 and fiscal 2019 was primarily due to current state margin tax, based on gross receipts less certain deductions. The total income tax benefit for the third quarter and first nine months of fiscal 2019 also included a deferred tax impact of $70,000 and $151,000, respectively, in other comprehensive income (loss), which resulted in a tax benefit on the Consolidated Statement of Operations related to the corresponding decrease in valuation allowance.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Loss</w:t>
      </w:r>
    </w:p>
    <w:p>
      <w:pPr>
        <w:spacing w:after="0" w:line="79"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2"/>
          <w:szCs w:val="12"/>
          <w:color w:val="auto"/>
        </w:rPr>
        <w:t>For the third quarter of fiscal 2020, we had a net loss of $(7.0) million, or $(0.14) per diluted share, compared with a net loss of $(7.2) million, or $(0.14) per diluted share, for the third quarter of fiscal 2019. For the first nine months of fiscal 2020, we had a net loss of $(59.5) million, or $(1.16) per diluted share, as compared to a net loss of $(10.2) million, or $(0.21) per diluted share.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20"/>
          </w:cols>
          <w:pgMar w:left="300" w:top="344" w:right="379" w:bottom="1440" w:gutter="0" w:footer="0" w:header="0"/>
        </w:sectPr>
      </w:pPr>
    </w:p>
    <w:bookmarkStart w:id="25" w:name="page26"/>
    <w:bookmarkEnd w:id="25"/>
    <w:p>
      <w:pPr>
        <w:jc w:val="both"/>
        <w:ind w:right="140"/>
        <w:spacing w:after="0" w:line="269" w:lineRule="auto"/>
        <w:rPr>
          <w:sz w:val="20"/>
          <w:szCs w:val="20"/>
          <w:color w:val="auto"/>
        </w:rPr>
      </w:pPr>
      <w:r>
        <w:rPr>
          <w:rFonts w:ascii="Times New Roman" w:cs="Times New Roman" w:eastAsia="Times New Roman" w:hAnsi="Times New Roman"/>
          <w:sz w:val="12"/>
          <w:szCs w:val="12"/>
          <w:color w:val="auto"/>
        </w:rPr>
        <w:t>On a non-GAAP basis, before asset impairment costs, exit costs associated with London operations, and CEO transition costs and assuming a normalized tax rate of 26% for all periods, adjusted net loss for the third quarter and first nine months of fiscal 2020 was ($0.12) per diluted share and ($0.64) per diluted share, respectively, as compared to an adjusted net loss of ($0.08) per diluted share and ($0.12) per diluted share, respectively, for the third quarter and first nine months of 2019.</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Inventory</w:t>
      </w:r>
    </w:p>
    <w:p>
      <w:pPr>
        <w:spacing w:after="0" w:line="7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2"/>
          <w:szCs w:val="12"/>
          <w:color w:val="auto"/>
        </w:rPr>
        <w:t>Our inventory on October 31, 2020, decreased approximately $25.3 million to $94.9 million, as compared to $120.2 million at November 2, 2019. We are managing our inventory very conservatively, slowing replenishment and reducing fall receipts to align with the current sales trend. Our objective is to maintain a healthy inventory, which will include narrowing our assortment while also continuing to manage clearance levels. At October 31, 2020, our clearance inventory decreased by $0.8 million and represented 11.8% of our total inventory, as compared to 10.0% at November 2, 2019.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8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2"/>
          <w:szCs w:val="12"/>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Our primary sources of liquidity are cash generated from operations and availability under our credit facility with Bank of America, N.A., which was most recently amended in April 2020 (“Credit Facility”). Although our cash flows from operations has been significantly impacted by the lost revenue as of result of the COVID-19 pandemic, we believe that we have taken sufficient steps to manage our available cash flow for the foreseeable future. During the first nine months of fiscal 2020, we amended our Credit Facility to increase our borrowing base, negotiated extended payment terms with vendors, cancelled inventory purchase orders, reduced operating costs and reduced capital spending. Based on our current projections, we believe our cash on hand, availability under our Credit Facility, ongoing cash generated from our direct business, wholesale business and from the our retail operations, although they are operating on reduced hours, will be sufficient to cover our working capital requirements and limited capital expenditures for the next 12 months. However, the extent to which the COVID-19 pandemic will impact our financial results will depend on future developments, which are highly uncertain and cannot be predicted at this time.</w:t>
      </w:r>
    </w:p>
    <w:p>
      <w:pPr>
        <w:spacing w:after="0" w:line="12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For the first nine months of fiscal 2020, cash flow from operations improved by approximately $5.8 million to $(8.6) million as compared to $(14.4) million for the first nine months of fiscal 2019. Free cash flow, a non-GAAP measure, improved by $13.8 million to $(11.6) million for the first nine months of fiscal 2020 as compared to $(25.4) million for the first nine months of fiscal 2019. The improvement in free cash flow was primarily due to our decrease in inventory levels and a decrease in capital expenditures as we continued to manage our liquidity during the pandemic. Cash flow from financing activities increased $2.7 million to $28.7 million for the first nine months of fiscal 2020 as compared $26.0 million for the first nine months of fiscal 2019, due to the $30.0 million draw-down on our Credit Facility in March 2020 to provide the Company with financial flexibility during the pandemic partially offset by the decrease in working capital needs.</w:t>
      </w:r>
    </w:p>
    <w:p>
      <w:pPr>
        <w:spacing w:after="0" w:line="5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color w:val="auto"/>
        </w:rPr>
        <w:t>Our accounts payable balance at the end of the third quarter of fiscal 2020 was $28.6 million as compared to $27.0 million at the end of the third quarter of fiscal 2019. Included in the October 31, 2020, balance are $1.3 million of promissory notes, payable through April 1, 2021. We continue to work with our vendors to secure extended payment terms, where possible, to better manage our working capital.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summary of our total debt outstanding at October 31, 2020 with the associated unamortized debt issuance costs: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2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80" w:type="dxa"/>
            <w:vAlign w:val="bottom"/>
          </w:tcPr>
          <w:p>
            <w:pPr>
              <w:spacing w:after="0"/>
              <w:rPr>
                <w:sz w:val="10"/>
                <w:szCs w:val="10"/>
                <w:color w:val="auto"/>
              </w:rPr>
            </w:pPr>
          </w:p>
        </w:tc>
        <w:tc>
          <w:tcPr>
            <w:tcW w:w="1800" w:type="dxa"/>
            <w:vAlign w:val="bottom"/>
          </w:tcPr>
          <w:p>
            <w:pPr>
              <w:jc w:val="right"/>
              <w:ind w:right="482"/>
              <w:spacing w:after="0"/>
              <w:rPr>
                <w:sz w:val="20"/>
                <w:szCs w:val="20"/>
                <w:color w:val="auto"/>
              </w:rPr>
            </w:pPr>
            <w:r>
              <w:rPr>
                <w:rFonts w:ascii="Times New Roman" w:cs="Times New Roman" w:eastAsia="Times New Roman" w:hAnsi="Times New Roman"/>
                <w:sz w:val="10"/>
                <w:szCs w:val="10"/>
                <w:color w:val="auto"/>
              </w:rPr>
              <w:t>Gross Debt Outstanding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Less Debt Issuance Costs</w:t>
            </w:r>
          </w:p>
        </w:tc>
        <w:tc>
          <w:tcPr>
            <w:tcW w:w="220" w:type="dxa"/>
            <w:vAlign w:val="bottom"/>
          </w:tcPr>
          <w:p>
            <w:pPr>
              <w:spacing w:after="0"/>
              <w:rPr>
                <w:sz w:val="10"/>
                <w:szCs w:val="10"/>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Net Debt Outstanding</w:t>
            </w:r>
          </w:p>
        </w:tc>
      </w:tr>
      <w:tr>
        <w:trPr>
          <w:trHeight w:val="143"/>
        </w:trPr>
        <w:tc>
          <w:tcPr>
            <w:tcW w:w="5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Credit facility</w:t>
            </w: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68,255</w:t>
            </w:r>
          </w:p>
        </w:tc>
        <w:tc>
          <w:tcPr>
            <w:tcW w:w="10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Borders>
              <w:top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2"/>
                <w:szCs w:val="12"/>
                <w:color w:val="auto"/>
                <w:w w:val="76"/>
              </w:rPr>
              <w:t>(236)</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68,019</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FILO Loan</w:t>
            </w:r>
          </w:p>
        </w:tc>
        <w:tc>
          <w:tcPr>
            <w:tcW w:w="1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2"/>
                <w:szCs w:val="12"/>
                <w:color w:val="auto"/>
              </w:rPr>
              <w:t>(145)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14,855</w:t>
            </w:r>
          </w:p>
        </w:tc>
        <w:tc>
          <w:tcPr>
            <w:tcW w:w="120" w:type="dxa"/>
            <w:vAlign w:val="bottom"/>
          </w:tcPr>
          <w:p>
            <w:pPr>
              <w:spacing w:after="0"/>
              <w:rPr>
                <w:sz w:val="13"/>
                <w:szCs w:val="13"/>
                <w:color w:val="auto"/>
              </w:rPr>
            </w:pPr>
          </w:p>
        </w:tc>
      </w:tr>
      <w:tr>
        <w:trPr>
          <w:trHeight w:val="143"/>
        </w:trPr>
        <w:tc>
          <w:tcPr>
            <w:tcW w:w="5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debt</w:t>
            </w: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83,255</w:t>
            </w: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2"/>
                <w:szCs w:val="12"/>
                <w:color w:val="auto"/>
                <w:w w:val="76"/>
              </w:rPr>
              <w:t>(381)</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82,874</w:t>
            </w:r>
          </w:p>
        </w:tc>
        <w:tc>
          <w:tcPr>
            <w:tcW w:w="120" w:type="dxa"/>
            <w:vAlign w:val="bottom"/>
            <w:tcBorders>
              <w:top w:val="single" w:sz="8" w:color="CFF0FC"/>
            </w:tcBorders>
            <w:shd w:val="clear" w:color="auto" w:fill="CFF0FC"/>
          </w:tcPr>
          <w:p>
            <w:pPr>
              <w:spacing w:after="0"/>
              <w:rPr>
                <w:sz w:val="12"/>
                <w:szCs w:val="12"/>
                <w:color w:val="auto"/>
              </w:rPr>
            </w:pPr>
          </w:p>
        </w:tc>
      </w:tr>
      <w:tr>
        <w:trPr>
          <w:trHeight w:val="290"/>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ind w:right="1482"/>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3"/>
        </w:trPr>
        <w:tc>
          <w:tcPr>
            <w:tcW w:w="50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26" w:name="page27"/>
    <w:bookmarkEnd w:id="26"/>
    <w:p>
      <w:pPr>
        <w:ind w:right="20"/>
        <w:spacing w:after="0" w:line="260" w:lineRule="auto"/>
        <w:rPr>
          <w:sz w:val="20"/>
          <w:szCs w:val="20"/>
          <w:color w:val="auto"/>
        </w:rPr>
      </w:pPr>
      <w:r>
        <w:rPr>
          <w:rFonts w:ascii="Times New Roman" w:cs="Times New Roman" w:eastAsia="Times New Roman" w:hAnsi="Times New Roman"/>
          <w:sz w:val="12"/>
          <w:szCs w:val="12"/>
          <w:color w:val="auto"/>
        </w:rPr>
        <w:t>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current maturity date is May 24, 2023.</w:t>
      </w:r>
    </w:p>
    <w:p>
      <w:pPr>
        <w:spacing w:after="0" w:line="12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We had outstanding borrowings of $68.3 million under the Credit Facility at October 31, 2020. At October 31, 2020, outstanding standby letters of credit were $2.8 million and outstanding documentary letters of credit were $1.3 million. The average monthly borrowing outstanding under the Credit Facility during the first nine months ended October 31, 2020 was approximately $67.4 million, resulting in an average unused excess availability of approximately $19.5 million. Unused excess availability at October 31, 2020 was $13.5 million.</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FILO Loan</w:t>
      </w:r>
    </w:p>
    <w:p>
      <w:pPr>
        <w:spacing w:after="0" w:line="15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The Credit Facility also includes a FILO loan for $15.0 million. The total borrowing capacity under the FILO loan is based on a borrowing base, generally defined as a specified percentage of the value of eligible accounts, including certain trade names, that steps down over time, plus a specified percentage of the value of eligible inventory that steps down over time. During the first quarter of fiscal 2020, we entered into an amendment that extended these advance rates to December 2020 before they begin to step down.</w:t>
      </w:r>
    </w:p>
    <w:p>
      <w:pPr>
        <w:spacing w:after="0" w:line="11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2"/>
          <w:szCs w:val="12"/>
          <w:color w:val="auto"/>
        </w:rPr>
        <w:t>As a result of extending the advance rates under the FILO loan, the applicable margin rates for borrowings were increased by approximately 150 basis points. Accordingly, current b</w:t>
      </w:r>
      <w:r>
        <w:rPr>
          <w:rFonts w:ascii="Times New Roman" w:cs="Times New Roman" w:eastAsia="Times New Roman" w:hAnsi="Times New Roman"/>
          <w:sz w:val="12"/>
          <w:szCs w:val="12"/>
          <w:color w:val="000033"/>
        </w:rPr>
        <w:t>orrowings made under the FILO loan bear interest,</w:t>
      </w:r>
      <w:r>
        <w:rPr>
          <w:rFonts w:ascii="Times New Roman" w:cs="Times New Roman" w:eastAsia="Times New Roman" w:hAnsi="Times New Roman"/>
          <w:sz w:val="12"/>
          <w:szCs w:val="12"/>
          <w:color w:val="auto"/>
        </w:rPr>
        <w:t xml:space="preserve"> calculated under either the Federal Funds rate or the LIBOR rate, at a rate equal to the following: (a) the Federal Funds rate plus a varying percentage based on the Company’s excess availability, of either 3.75% or 4.00% or (b) the LIBOR rate (the Company being able to select interest periods of 1 week, 1 month, 2 months, 3 months or 6 months) plus a varying percentage based on the Company’s excess availability, of either 4.75% or 5.00%. At October 31, 2020, the outstanding balance of $15.0 million was in a 6-month LIBOR-based contract with an interest rate of 6.00%.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Capital Expenditures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open stores and related square footage at October 31, 2020 and November 2, 2019,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October 31, 2020</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gridSpan w:val="3"/>
          </w:tcPr>
          <w:p>
            <w:pPr>
              <w:ind w:left="900"/>
              <w:spacing w:after="0"/>
              <w:rPr>
                <w:sz w:val="20"/>
                <w:szCs w:val="20"/>
                <w:color w:val="auto"/>
              </w:rPr>
            </w:pPr>
            <w:r>
              <w:rPr>
                <w:rFonts w:ascii="Times New Roman" w:cs="Times New Roman" w:eastAsia="Times New Roman" w:hAnsi="Times New Roman"/>
                <w:sz w:val="10"/>
                <w:szCs w:val="10"/>
                <w:color w:val="auto"/>
              </w:rPr>
              <w:t>November 2, 2019</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5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left="232"/>
              <w:spacing w:after="0" w:line="100" w:lineRule="exact"/>
              <w:rPr>
                <w:sz w:val="20"/>
                <w:szCs w:val="20"/>
                <w:color w:val="auto"/>
              </w:rPr>
            </w:pPr>
            <w:r>
              <w:rPr>
                <w:rFonts w:ascii="Times New Roman" w:cs="Times New Roman" w:eastAsia="Times New Roman" w:hAnsi="Times New Roman"/>
                <w:sz w:val="10"/>
                <w:szCs w:val="10"/>
                <w:color w:val="auto"/>
                <w:w w:val="96"/>
              </w:rPr>
              <w:t>Number of</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gridSpan w:val="2"/>
          </w:tcPr>
          <w:p>
            <w:pPr>
              <w:ind w:left="120"/>
              <w:spacing w:after="0" w:line="100" w:lineRule="exact"/>
              <w:rPr>
                <w:sz w:val="20"/>
                <w:szCs w:val="20"/>
                <w:color w:val="auto"/>
              </w:rPr>
            </w:pPr>
            <w:r>
              <w:rPr>
                <w:rFonts w:ascii="Times New Roman" w:cs="Times New Roman" w:eastAsia="Times New Roman" w:hAnsi="Times New Roman"/>
                <w:sz w:val="10"/>
                <w:szCs w:val="10"/>
                <w:color w:val="auto"/>
              </w:rPr>
              <w:t>Square</w:t>
            </w:r>
          </w:p>
        </w:tc>
        <w:tc>
          <w:tcPr>
            <w:tcW w:w="1720" w:type="dxa"/>
            <w:vAlign w:val="bottom"/>
            <w:gridSpan w:val="3"/>
          </w:tcPr>
          <w:p>
            <w:pPr>
              <w:ind w:left="360"/>
              <w:spacing w:after="0" w:line="100" w:lineRule="exact"/>
              <w:rPr>
                <w:sz w:val="20"/>
                <w:szCs w:val="20"/>
                <w:color w:val="auto"/>
              </w:rPr>
            </w:pPr>
            <w:r>
              <w:rPr>
                <w:rFonts w:ascii="Times New Roman" w:cs="Times New Roman" w:eastAsia="Times New Roman" w:hAnsi="Times New Roman"/>
                <w:sz w:val="10"/>
                <w:szCs w:val="10"/>
                <w:color w:val="auto"/>
              </w:rPr>
              <w:t>Number of</w:t>
            </w:r>
          </w:p>
        </w:tc>
        <w:tc>
          <w:tcPr>
            <w:tcW w:w="940" w:type="dxa"/>
            <w:vAlign w:val="bottom"/>
            <w:gridSpan w:val="2"/>
          </w:tcPr>
          <w:p>
            <w:pPr>
              <w:ind w:left="120"/>
              <w:spacing w:after="0" w:line="100" w:lineRule="exact"/>
              <w:rPr>
                <w:sz w:val="20"/>
                <w:szCs w:val="20"/>
                <w:color w:val="auto"/>
              </w:rPr>
            </w:pPr>
            <w:r>
              <w:rPr>
                <w:rFonts w:ascii="Times New Roman" w:cs="Times New Roman" w:eastAsia="Times New Roman" w:hAnsi="Times New Roman"/>
                <w:sz w:val="10"/>
                <w:szCs w:val="10"/>
                <w:color w:val="auto"/>
              </w:rPr>
              <w:t>Square</w:t>
            </w:r>
          </w:p>
        </w:tc>
      </w:tr>
      <w:tr>
        <w:trPr>
          <w:trHeight w:val="114"/>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Store Concept</w:t>
            </w:r>
          </w:p>
        </w:tc>
        <w:tc>
          <w:tcPr>
            <w:tcW w:w="140" w:type="dxa"/>
            <w:vAlign w:val="bottom"/>
          </w:tcPr>
          <w:p>
            <w:pPr>
              <w:spacing w:after="0"/>
              <w:rPr>
                <w:sz w:val="9"/>
                <w:szCs w:val="9"/>
                <w:color w:val="auto"/>
              </w:rPr>
            </w:pPr>
          </w:p>
        </w:tc>
        <w:tc>
          <w:tcPr>
            <w:tcW w:w="860" w:type="dxa"/>
            <w:vAlign w:val="bottom"/>
            <w:tcBorders>
              <w:bottom w:val="single" w:sz="8" w:color="auto"/>
            </w:tcBorders>
          </w:tcPr>
          <w:p>
            <w:pPr>
              <w:jc w:val="center"/>
              <w:ind w:left="212"/>
              <w:spacing w:after="0"/>
              <w:rPr>
                <w:sz w:val="20"/>
                <w:szCs w:val="20"/>
                <w:color w:val="auto"/>
              </w:rPr>
            </w:pPr>
            <w:r>
              <w:rPr>
                <w:rFonts w:ascii="Times New Roman" w:cs="Times New Roman" w:eastAsia="Times New Roman" w:hAnsi="Times New Roman"/>
                <w:sz w:val="10"/>
                <w:szCs w:val="10"/>
                <w:color w:val="auto"/>
                <w:w w:val="95"/>
              </w:rPr>
              <w:t>Stores</w:t>
            </w: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color w:val="auto"/>
              </w:rPr>
              <w:t>Footage</w:t>
            </w:r>
          </w:p>
        </w:tc>
        <w:tc>
          <w:tcPr>
            <w:tcW w:w="240" w:type="dxa"/>
            <w:vAlign w:val="bottom"/>
          </w:tcPr>
          <w:p>
            <w:pPr>
              <w:spacing w:after="0"/>
              <w:rPr>
                <w:sz w:val="9"/>
                <w:szCs w:val="9"/>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0"/>
                <w:szCs w:val="10"/>
                <w:color w:val="auto"/>
              </w:rPr>
              <w:t>Stores</w:t>
            </w:r>
          </w:p>
        </w:tc>
        <w:tc>
          <w:tcPr>
            <w:tcW w:w="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color w:val="auto"/>
              </w:rPr>
              <w:t>Footage</w:t>
            </w:r>
          </w:p>
        </w:tc>
        <w:tc>
          <w:tcPr>
            <w:tcW w:w="120" w:type="dxa"/>
            <w:vAlign w:val="bottom"/>
          </w:tcPr>
          <w:p>
            <w:pPr>
              <w:spacing w:after="0"/>
              <w:rPr>
                <w:sz w:val="9"/>
                <w:szCs w:val="9"/>
                <w:color w:val="auto"/>
              </w:rPr>
            </w:pPr>
          </w:p>
        </w:tc>
      </w:tr>
      <w:tr>
        <w:trPr>
          <w:trHeight w:val="126"/>
        </w:trPr>
        <w:tc>
          <w:tcPr>
            <w:tcW w:w="58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(square footage in thousands)</w:t>
            </w: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DXL Retail</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1,724</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1,736</w:t>
            </w:r>
          </w:p>
        </w:tc>
        <w:tc>
          <w:tcPr>
            <w:tcW w:w="120" w:type="dxa"/>
            <w:vAlign w:val="bottom"/>
            <w:shd w:val="clear" w:color="auto" w:fill="CFF0FC"/>
          </w:tcPr>
          <w:p>
            <w:pPr>
              <w:spacing w:after="0"/>
              <w:rPr>
                <w:sz w:val="14"/>
                <w:szCs w:val="14"/>
                <w:color w:val="auto"/>
              </w:rPr>
            </w:pPr>
          </w:p>
        </w:tc>
      </w:tr>
      <w:tr>
        <w:trPr>
          <w:trHeight w:val="154"/>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DXL Outlets</w:t>
            </w:r>
          </w:p>
        </w:tc>
        <w:tc>
          <w:tcPr>
            <w:tcW w:w="8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20" w:type="dxa"/>
            <w:vAlign w:val="bottom"/>
          </w:tcPr>
          <w:p>
            <w:pPr>
              <w:spacing w:after="0"/>
              <w:rPr>
                <w:sz w:val="13"/>
                <w:szCs w:val="13"/>
                <w:color w:val="auto"/>
              </w:rPr>
            </w:pPr>
          </w:p>
        </w:tc>
      </w:tr>
      <w:tr>
        <w:trPr>
          <w:trHeight w:val="154"/>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Casual Male XL Retail</w:t>
            </w: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20" w:type="dxa"/>
            <w:vAlign w:val="bottom"/>
            <w:shd w:val="clear" w:color="auto" w:fill="CFF0FC"/>
          </w:tcPr>
          <w:p>
            <w:pPr>
              <w:spacing w:after="0"/>
              <w:rPr>
                <w:sz w:val="13"/>
                <w:szCs w:val="13"/>
                <w:color w:val="auto"/>
              </w:rPr>
            </w:pPr>
          </w:p>
        </w:tc>
      </w:tr>
      <w:tr>
        <w:trPr>
          <w:trHeight w:val="154"/>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Casual Male Outlets</w:t>
            </w:r>
          </w:p>
        </w:tc>
        <w:tc>
          <w:tcPr>
            <w:tcW w:w="8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20" w:type="dxa"/>
            <w:vAlign w:val="bottom"/>
          </w:tcPr>
          <w:p>
            <w:pPr>
              <w:spacing w:after="0"/>
              <w:rPr>
                <w:sz w:val="13"/>
                <w:szCs w:val="13"/>
                <w:color w:val="auto"/>
              </w:rPr>
            </w:pPr>
          </w:p>
        </w:tc>
      </w:tr>
      <w:tr>
        <w:trPr>
          <w:trHeight w:val="154"/>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Rochester Clothing</w:t>
            </w:r>
          </w:p>
        </w:tc>
        <w:tc>
          <w:tcPr>
            <w:tcW w:w="86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FF0FC"/>
          </w:tcPr>
          <w:p>
            <w:pPr>
              <w:spacing w:after="0"/>
              <w:rPr>
                <w:sz w:val="13"/>
                <w:szCs w:val="13"/>
                <w:color w:val="auto"/>
              </w:rPr>
            </w:pPr>
          </w:p>
        </w:tc>
      </w:tr>
      <w:tr>
        <w:trPr>
          <w:trHeight w:val="147"/>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Stores</w:t>
            </w:r>
          </w:p>
        </w:tc>
        <w:tc>
          <w:tcPr>
            <w:tcW w:w="8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2,035</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2,087</w:t>
            </w:r>
          </w:p>
        </w:tc>
        <w:tc>
          <w:tcPr>
            <w:tcW w:w="120" w:type="dxa"/>
            <w:vAlign w:val="bottom"/>
          </w:tcPr>
          <w:p>
            <w:pPr>
              <w:spacing w:after="0"/>
              <w:rPr>
                <w:sz w:val="12"/>
                <w:szCs w:val="12"/>
                <w:color w:val="auto"/>
              </w:rPr>
            </w:pPr>
          </w:p>
        </w:tc>
      </w:tr>
    </w:tbl>
    <w:p>
      <w:pPr>
        <w:spacing w:after="0" w:line="12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In our efforts to preserve our liquidity, we have reduced the majority of our capital spending, unless such spending is necessary to our immediate business needs. Our capital expenditures for the first nine months of fiscal 2020 were $2.9 million as compared to $11.0 million for the first nine months of fiscal 2019. During the first nine months of fiscal 2020, we closed one DXL retail store, five Casual Male XL outlets and one Casual Male XL retail store.</w:t>
      </w:r>
    </w:p>
    <w:p>
      <w:pPr>
        <w:spacing w:after="0" w:line="10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Of the 316 stores in our portfolio as of October 31, 2020, 52 stores are controlled by lease agreements that have a natural expiration or kick-out option by the end of fiscal 2021; 44 stores are controlled by lease agreements that have a natural expiration or kick-out option in fiscal 2022; and 220 stores are controlled by lease agreements that have a natural expiration or kick-out option in fiscal 2023 or later. We review store leases on a case-by-case basis and will make decisions to renew or terminate leases based on specific store performance and their overall strategic importance to the brand.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416"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w:t>
      </w:r>
    </w:p>
    <w:p>
      <w:pPr>
        <w:spacing w:after="0" w:line="15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There have been no material changes to the critical accounting policies and estimates disclosed in our Form 10-K for the year ending February 1, 2020. See Note 1 to the Consolidated Financial Statements included in this report for information on recent accounting pronouncements and changes in accounting principles.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Non-GAAP Financial Measures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 xml:space="preserve">Adjusted net loss, adjusted net loss per diluted share, free cash flow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Times New Roman" w:cs="Times New Roman" w:eastAsia="Times New Roman" w:hAnsi="Times New Roman"/>
          <w:sz w:val="12"/>
          <w:szCs w:val="12"/>
          <w:i w:val="1"/>
          <w:iCs w:val="1"/>
          <w:color w:val="auto"/>
        </w:rPr>
        <w:t>(certain columns may not foot due to rounding)</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2"/>
          <w:szCs w:val="12"/>
          <w:i w:val="1"/>
          <w:iCs w:val="1"/>
          <w:u w:val="single" w:color="auto"/>
          <w:color w:val="auto"/>
        </w:rPr>
        <w:t>Adjusted net loss and adjusted net loss per diluted share</w:t>
      </w:r>
      <w:r>
        <w:rPr>
          <w:rFonts w:ascii="Times New Roman" w:cs="Times New Roman" w:eastAsia="Times New Roman" w:hAnsi="Times New Roman"/>
          <w:sz w:val="12"/>
          <w:szCs w:val="12"/>
          <w:color w:val="auto"/>
        </w:rPr>
        <w:t>. Adjusted net loss and adjusted net loss per share reflect an adjustment assuming a normal tax rate of 26% and the add-back of CEO transition, exits costs associated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London operations and impairment of assets.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34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6"/>
          </w:tcPr>
          <w:p>
            <w:pPr>
              <w:jc w:val="right"/>
              <w:ind w:right="40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gridSpan w:val="6"/>
          </w:tcPr>
          <w:p>
            <w:pPr>
              <w:jc w:val="right"/>
              <w:ind w:right="540"/>
              <w:spacing w:after="0"/>
              <w:rPr>
                <w:sz w:val="20"/>
                <w:szCs w:val="20"/>
                <w:color w:val="auto"/>
              </w:rPr>
            </w:pPr>
            <w:r>
              <w:rPr>
                <w:rFonts w:ascii="Times New Roman" w:cs="Times New Roman" w:eastAsia="Times New Roman" w:hAnsi="Times New Roman"/>
                <w:sz w:val="10"/>
                <w:szCs w:val="10"/>
                <w:color w:val="auto"/>
              </w:rPr>
              <w:t>October 31, 2020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6"/>
          </w:tcPr>
          <w:p>
            <w:pPr>
              <w:jc w:val="right"/>
              <w:ind w:right="640"/>
              <w:spacing w:after="0"/>
              <w:rPr>
                <w:sz w:val="20"/>
                <w:szCs w:val="20"/>
                <w:color w:val="auto"/>
              </w:rPr>
            </w:pPr>
            <w:r>
              <w:rPr>
                <w:rFonts w:ascii="Times New Roman" w:cs="Times New Roman" w:eastAsia="Times New Roman" w:hAnsi="Times New Roman"/>
                <w:sz w:val="10"/>
                <w:szCs w:val="10"/>
                <w:color w:val="auto"/>
              </w:rPr>
              <w:t>November 2, 2019</w:t>
            </w:r>
          </w:p>
        </w:tc>
        <w:tc>
          <w:tcPr>
            <w:tcW w:w="180" w:type="dxa"/>
            <w:vAlign w:val="bottom"/>
          </w:tcPr>
          <w:p>
            <w:pPr>
              <w:spacing w:after="0"/>
              <w:rPr>
                <w:sz w:val="9"/>
                <w:szCs w:val="9"/>
                <w:color w:val="auto"/>
              </w:rPr>
            </w:pPr>
          </w:p>
        </w:tc>
        <w:tc>
          <w:tcPr>
            <w:tcW w:w="1480" w:type="dxa"/>
            <w:vAlign w:val="bottom"/>
            <w:gridSpan w:val="5"/>
          </w:tcPr>
          <w:p>
            <w:pPr>
              <w:jc w:val="right"/>
              <w:ind w:right="560"/>
              <w:spacing w:after="0"/>
              <w:rPr>
                <w:sz w:val="20"/>
                <w:szCs w:val="20"/>
                <w:color w:val="auto"/>
              </w:rPr>
            </w:pPr>
            <w:r>
              <w:rPr>
                <w:rFonts w:ascii="Times New Roman" w:cs="Times New Roman" w:eastAsia="Times New Roman" w:hAnsi="Times New Roman"/>
                <w:sz w:val="10"/>
                <w:szCs w:val="10"/>
                <w:color w:val="auto"/>
              </w:rPr>
              <w:t>October 31, 2020</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gridSpan w:val="6"/>
          </w:tcPr>
          <w:p>
            <w:pPr>
              <w:jc w:val="right"/>
              <w:ind w:right="540"/>
              <w:spacing w:after="0"/>
              <w:rPr>
                <w:sz w:val="20"/>
                <w:szCs w:val="20"/>
                <w:color w:val="auto"/>
              </w:rPr>
            </w:pPr>
            <w:r>
              <w:rPr>
                <w:rFonts w:ascii="Times New Roman" w:cs="Times New Roman" w:eastAsia="Times New Roman" w:hAnsi="Times New Roman"/>
                <w:sz w:val="10"/>
                <w:szCs w:val="10"/>
                <w:color w:val="auto"/>
              </w:rPr>
              <w:t>November 2, 2019</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5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ind w:right="7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ind w:right="3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5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share</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color w:val="auto"/>
              </w:rPr>
              <w:t>share</w:t>
            </w:r>
          </w:p>
        </w:tc>
        <w:tc>
          <w:tcPr>
            <w:tcW w:w="180" w:type="dxa"/>
            <w:vAlign w:val="bottom"/>
          </w:tcPr>
          <w:p>
            <w:pPr>
              <w:spacing w:after="0"/>
              <w:rPr>
                <w:sz w:val="9"/>
                <w:szCs w:val="9"/>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share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share</w:t>
            </w:r>
          </w:p>
        </w:tc>
        <w:tc>
          <w:tcPr>
            <w:tcW w:w="0" w:type="dxa"/>
            <w:vAlign w:val="bottom"/>
          </w:tcPr>
          <w:p>
            <w:pPr>
              <w:spacing w:after="0"/>
              <w:rPr>
                <w:sz w:val="1"/>
                <w:szCs w:val="1"/>
                <w:color w:val="auto"/>
              </w:rPr>
            </w:pPr>
          </w:p>
        </w:tc>
      </w:tr>
      <w:tr>
        <w:trPr>
          <w:trHeight w:val="89"/>
        </w:trPr>
        <w:tc>
          <w:tcPr>
            <w:tcW w:w="4400" w:type="dxa"/>
            <w:vAlign w:val="bottom"/>
            <w:gridSpan w:val="3"/>
            <w:vMerge w:val="continue"/>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00" w:type="dxa"/>
            <w:vAlign w:val="bottom"/>
            <w:tcBorders>
              <w:top w:val="single" w:sz="8" w:color="auto"/>
            </w:tcBorders>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Net loss (GAAP basis)</w:t>
            </w:r>
          </w:p>
        </w:tc>
        <w:tc>
          <w:tcPr>
            <w:tcW w:w="2980" w:type="dxa"/>
            <w:vAlign w:val="bottom"/>
            <w:shd w:val="clear" w:color="auto" w:fill="CFF0FC"/>
          </w:tcPr>
          <w:p>
            <w:pPr>
              <w:spacing w:after="0"/>
              <w:rPr>
                <w:sz w:val="8"/>
                <w:szCs w:val="8"/>
                <w:color w:val="auto"/>
              </w:rPr>
            </w:pPr>
          </w:p>
        </w:tc>
        <w:tc>
          <w:tcPr>
            <w:tcW w:w="3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gridSpan w:val="2"/>
            <w:shd w:val="clear" w:color="auto" w:fill="CFF0FC"/>
          </w:tcPr>
          <w:p>
            <w:pPr>
              <w:jc w:val="right"/>
              <w:ind w:right="120"/>
              <w:spacing w:after="0" w:line="98" w:lineRule="exact"/>
              <w:rPr>
                <w:sz w:val="20"/>
                <w:szCs w:val="20"/>
                <w:color w:val="auto"/>
              </w:rPr>
            </w:pPr>
            <w:r>
              <w:rPr>
                <w:rFonts w:ascii="Times New Roman" w:cs="Times New Roman" w:eastAsia="Times New Roman" w:hAnsi="Times New Roman"/>
                <w:sz w:val="10"/>
                <w:szCs w:val="10"/>
                <w:color w:val="auto"/>
                <w:w w:val="95"/>
              </w:rPr>
              <w:t>(7,022)</w:t>
            </w:r>
          </w:p>
        </w:tc>
        <w:tc>
          <w:tcPr>
            <w:tcW w:w="160" w:type="dxa"/>
            <w:vAlign w:val="bottom"/>
            <w:gridSpan w:val="2"/>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ind w:right="120"/>
              <w:spacing w:after="0" w:line="98" w:lineRule="exact"/>
              <w:rPr>
                <w:sz w:val="20"/>
                <w:szCs w:val="20"/>
                <w:color w:val="auto"/>
              </w:rPr>
            </w:pPr>
            <w:r>
              <w:rPr>
                <w:rFonts w:ascii="Times New Roman" w:cs="Times New Roman" w:eastAsia="Times New Roman" w:hAnsi="Times New Roman"/>
                <w:sz w:val="10"/>
                <w:szCs w:val="10"/>
                <w:color w:val="auto"/>
              </w:rPr>
              <w:t>(0.14)</w:t>
            </w:r>
          </w:p>
        </w:tc>
        <w:tc>
          <w:tcPr>
            <w:tcW w:w="260" w:type="dxa"/>
            <w:vAlign w:val="bottom"/>
            <w:gridSpan w:val="2"/>
            <w:shd w:val="clear" w:color="auto" w:fill="CFF0FC"/>
          </w:tcPr>
          <w:p>
            <w:pPr>
              <w:jc w:val="right"/>
              <w:ind w:right="96"/>
              <w:spacing w:after="0" w:line="9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FF0FC"/>
          </w:tcPr>
          <w:p>
            <w:pPr>
              <w:jc w:val="right"/>
              <w:ind w:right="120"/>
              <w:spacing w:after="0" w:line="98" w:lineRule="exact"/>
              <w:rPr>
                <w:sz w:val="20"/>
                <w:szCs w:val="20"/>
                <w:color w:val="auto"/>
              </w:rPr>
            </w:pPr>
            <w:r>
              <w:rPr>
                <w:rFonts w:ascii="Times New Roman" w:cs="Times New Roman" w:eastAsia="Times New Roman" w:hAnsi="Times New Roman"/>
                <w:sz w:val="10"/>
                <w:szCs w:val="10"/>
                <w:color w:val="auto"/>
              </w:rPr>
              <w:t>(7,190)</w:t>
            </w:r>
          </w:p>
        </w:tc>
        <w:tc>
          <w:tcPr>
            <w:tcW w:w="180" w:type="dxa"/>
            <w:vAlign w:val="bottom"/>
            <w:gridSpan w:val="2"/>
            <w:shd w:val="clear" w:color="auto" w:fill="CFF0FC"/>
          </w:tcPr>
          <w:p>
            <w:pPr>
              <w:jc w:val="right"/>
              <w:ind w:right="16"/>
              <w:spacing w:after="0" w:line="9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FF0FC"/>
          </w:tcPr>
          <w:p>
            <w:pPr>
              <w:jc w:val="right"/>
              <w:ind w:right="200"/>
              <w:spacing w:after="0" w:line="98" w:lineRule="exact"/>
              <w:rPr>
                <w:sz w:val="20"/>
                <w:szCs w:val="20"/>
                <w:color w:val="auto"/>
              </w:rPr>
            </w:pPr>
            <w:r>
              <w:rPr>
                <w:rFonts w:ascii="Times New Roman" w:cs="Times New Roman" w:eastAsia="Times New Roman" w:hAnsi="Times New Roman"/>
                <w:sz w:val="10"/>
                <w:szCs w:val="10"/>
                <w:color w:val="auto"/>
              </w:rPr>
              <w:t>(0.14)</w:t>
            </w:r>
          </w:p>
        </w:tc>
        <w:tc>
          <w:tcPr>
            <w:tcW w:w="180" w:type="dxa"/>
            <w:vAlign w:val="bottom"/>
            <w:shd w:val="clear" w:color="auto" w:fill="CFF0FC"/>
          </w:tcPr>
          <w:p>
            <w:pPr>
              <w:jc w:val="right"/>
              <w:ind w:right="7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FF0FC"/>
          </w:tcPr>
          <w:p>
            <w:pPr>
              <w:jc w:val="right"/>
              <w:ind w:right="200"/>
              <w:spacing w:after="0" w:line="98" w:lineRule="exact"/>
              <w:rPr>
                <w:sz w:val="20"/>
                <w:szCs w:val="20"/>
                <w:color w:val="auto"/>
              </w:rPr>
            </w:pPr>
            <w:r>
              <w:rPr>
                <w:rFonts w:ascii="Times New Roman" w:cs="Times New Roman" w:eastAsia="Times New Roman" w:hAnsi="Times New Roman"/>
                <w:sz w:val="10"/>
                <w:szCs w:val="10"/>
                <w:color w:val="auto"/>
              </w:rPr>
              <w:t>(59,462)</w:t>
            </w:r>
          </w:p>
        </w:tc>
        <w:tc>
          <w:tcPr>
            <w:tcW w:w="80" w:type="dxa"/>
            <w:vAlign w:val="bottom"/>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FF0FC"/>
          </w:tcPr>
          <w:p>
            <w:pPr>
              <w:jc w:val="right"/>
              <w:ind w:right="100"/>
              <w:spacing w:after="0" w:line="98" w:lineRule="exact"/>
              <w:rPr>
                <w:sz w:val="20"/>
                <w:szCs w:val="20"/>
                <w:color w:val="auto"/>
              </w:rPr>
            </w:pPr>
            <w:r>
              <w:rPr>
                <w:rFonts w:ascii="Times New Roman" w:cs="Times New Roman" w:eastAsia="Times New Roman" w:hAnsi="Times New Roman"/>
                <w:sz w:val="10"/>
                <w:szCs w:val="10"/>
                <w:color w:val="auto"/>
              </w:rPr>
              <w:t>(1.16)</w:t>
            </w:r>
          </w:p>
        </w:tc>
        <w:tc>
          <w:tcPr>
            <w:tcW w:w="460" w:type="dxa"/>
            <w:vAlign w:val="bottom"/>
            <w:gridSpan w:val="2"/>
            <w:shd w:val="clear" w:color="auto" w:fill="CFF0FC"/>
          </w:tcPr>
          <w:p>
            <w:pPr>
              <w:jc w:val="right"/>
              <w:ind w:right="252"/>
              <w:spacing w:after="0" w:line="9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FF0FC"/>
          </w:tcPr>
          <w:p>
            <w:pPr>
              <w:jc w:val="right"/>
              <w:ind w:right="100"/>
              <w:spacing w:after="0" w:line="98" w:lineRule="exact"/>
              <w:rPr>
                <w:sz w:val="20"/>
                <w:szCs w:val="20"/>
                <w:color w:val="auto"/>
              </w:rPr>
            </w:pPr>
            <w:r>
              <w:rPr>
                <w:rFonts w:ascii="Times New Roman" w:cs="Times New Roman" w:eastAsia="Times New Roman" w:hAnsi="Times New Roman"/>
                <w:sz w:val="10"/>
                <w:szCs w:val="10"/>
                <w:color w:val="auto"/>
                <w:w w:val="99"/>
              </w:rPr>
              <w:t>(10,233)</w:t>
            </w:r>
          </w:p>
        </w:tc>
        <w:tc>
          <w:tcPr>
            <w:tcW w:w="180" w:type="dxa"/>
            <w:vAlign w:val="bottom"/>
            <w:gridSpan w:val="2"/>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ind w:right="80"/>
              <w:spacing w:after="0" w:line="98" w:lineRule="exact"/>
              <w:rPr>
                <w:sz w:val="20"/>
                <w:szCs w:val="20"/>
                <w:color w:val="auto"/>
              </w:rPr>
            </w:pPr>
            <w:r>
              <w:rPr>
                <w:rFonts w:ascii="Times New Roman" w:cs="Times New Roman" w:eastAsia="Times New Roman" w:hAnsi="Times New Roman"/>
                <w:sz w:val="10"/>
                <w:szCs w:val="10"/>
                <w:color w:val="auto"/>
              </w:rPr>
              <w:t>(0.21)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Adjust: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CEO transition costs</w:t>
            </w: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702</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Exit costs associated with London operations</w:t>
            </w:r>
          </w:p>
        </w:tc>
        <w:tc>
          <w:tcPr>
            <w:tcW w:w="32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1,737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1,737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Impairment of assets</w:t>
            </w:r>
          </w:p>
        </w:tc>
        <w:tc>
          <w:tcPr>
            <w:tcW w:w="320" w:type="dxa"/>
            <w:vAlign w:val="bottom"/>
            <w:shd w:val="clear" w:color="auto" w:fill="CFF0FC"/>
          </w:tcPr>
          <w:p>
            <w:pPr>
              <w:spacing w:after="0"/>
              <w:rPr>
                <w:sz w:val="9"/>
                <w:szCs w:val="9"/>
                <w:color w:val="auto"/>
              </w:rPr>
            </w:pPr>
          </w:p>
        </w:tc>
        <w:tc>
          <w:tcPr>
            <w:tcW w:w="420" w:type="dxa"/>
            <w:vAlign w:val="bottom"/>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w w:val="95"/>
              </w:rPr>
              <w:t>(1,135)</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15,200</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Add back actual income tax provision (benefit)</w:t>
            </w:r>
          </w:p>
        </w:tc>
        <w:tc>
          <w:tcPr>
            <w:tcW w:w="32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71</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(78)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Add income tax benefit, assuming a normal tax rate of 26%</w:t>
            </w: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2,114</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1,431</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11,490</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2,047</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20" w:type="dxa"/>
            <w:vAlign w:val="bottom"/>
            <w:gridSpan w:val="2"/>
          </w:tcPr>
          <w:p>
            <w:pPr>
              <w:spacing w:after="0"/>
              <w:rPr>
                <w:sz w:val="9"/>
                <w:szCs w:val="9"/>
                <w:color w:val="auto"/>
              </w:rPr>
            </w:pPr>
          </w:p>
        </w:tc>
        <w:tc>
          <w:tcPr>
            <w:tcW w:w="2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380" w:type="dxa"/>
            <w:vAlign w:val="bottom"/>
            <w:tcBorders>
              <w:top w:val="single" w:sz="8" w:color="CFF0FC"/>
            </w:tcBorders>
            <w:gridSpan w:val="2"/>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Adjusted net loss (non-GAAP basis)</w:t>
            </w:r>
          </w:p>
        </w:tc>
        <w:tc>
          <w:tcPr>
            <w:tcW w:w="320" w:type="dxa"/>
            <w:vAlign w:val="bottom"/>
            <w:tcBorders>
              <w:top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88"/>
              </w:rPr>
              <w:t>(6,016)</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(0.12)</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(4,071)</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(0.08)</w:t>
            </w:r>
          </w:p>
        </w:tc>
        <w:tc>
          <w:tcPr>
            <w:tcW w:w="24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7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(32,701)</w:t>
            </w:r>
          </w:p>
        </w:tc>
        <w:tc>
          <w:tcPr>
            <w:tcW w:w="24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(0.64)</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jc w:val="right"/>
              <w:ind w:right="25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(5,825)</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(0.12)</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20" w:type="dxa"/>
            <w:vAlign w:val="bottom"/>
            <w:gridSpan w:val="2"/>
          </w:tcPr>
          <w:p>
            <w:pPr>
              <w:spacing w:after="0"/>
              <w:rPr>
                <w:sz w:val="9"/>
                <w:szCs w:val="9"/>
                <w:color w:val="auto"/>
              </w:rPr>
            </w:pPr>
          </w:p>
        </w:tc>
        <w:tc>
          <w:tcPr>
            <w:tcW w:w="2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Weighted average number of common shares outstanding on a diluted basis</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51,545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50,089</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51,127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49,853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i w:val="1"/>
          <w:iCs w:val="1"/>
          <w:u w:val="single" w:color="auto"/>
          <w:color w:val="auto"/>
        </w:rPr>
        <w:t>Free Cash Flow.</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 define free cash flow as cash flow from operating activities less capital expenditures. Free cash flow excludes the mandatory and discretionary repayment of debt. Free cash flow is a metric that management uses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monitor liquidity. We expect to fund our ongoing capital expenditures with cash flow from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reconciles free cash flow: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2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20" w:type="dxa"/>
            <w:vAlign w:val="bottom"/>
            <w:gridSpan w:val="3"/>
          </w:tcPr>
          <w:p>
            <w:pPr>
              <w:jc w:val="right"/>
              <w:ind w:right="156"/>
              <w:spacing w:after="0"/>
              <w:rPr>
                <w:sz w:val="20"/>
                <w:szCs w:val="20"/>
                <w:color w:val="auto"/>
              </w:rPr>
            </w:pPr>
            <w:r>
              <w:rPr>
                <w:rFonts w:ascii="Times New Roman" w:cs="Times New Roman" w:eastAsia="Times New Roman" w:hAnsi="Times New Roman"/>
                <w:sz w:val="10"/>
                <w:szCs w:val="10"/>
                <w:color w:val="auto"/>
              </w:rPr>
              <w:t>For the nine months ended</w:t>
            </w: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24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00" w:type="dxa"/>
            <w:vAlign w:val="bottom"/>
            <w:gridSpan w:val="2"/>
          </w:tcPr>
          <w:p>
            <w:pPr>
              <w:jc w:val="right"/>
              <w:ind w:right="1080"/>
              <w:spacing w:after="0"/>
              <w:rPr>
                <w:sz w:val="20"/>
                <w:szCs w:val="20"/>
                <w:color w:val="auto"/>
              </w:rPr>
            </w:pPr>
            <w:r>
              <w:rPr>
                <w:rFonts w:ascii="Times New Roman" w:cs="Times New Roman" w:eastAsia="Times New Roman" w:hAnsi="Times New Roman"/>
                <w:sz w:val="10"/>
                <w:szCs w:val="10"/>
                <w:color w:val="auto"/>
              </w:rPr>
              <w:t>October 31, 2020</w:t>
            </w:r>
          </w:p>
        </w:tc>
        <w:tc>
          <w:tcPr>
            <w:tcW w:w="520" w:type="dxa"/>
            <w:vAlign w:val="bottom"/>
          </w:tcPr>
          <w:p>
            <w:pPr>
              <w:spacing w:after="0"/>
              <w:rPr>
                <w:sz w:val="9"/>
                <w:szCs w:val="9"/>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0"/>
                <w:szCs w:val="10"/>
                <w:color w:val="auto"/>
              </w:rPr>
              <w:t>November 2, 2019</w:t>
            </w:r>
          </w:p>
        </w:tc>
        <w:tc>
          <w:tcPr>
            <w:tcW w:w="0" w:type="dxa"/>
            <w:vAlign w:val="bottom"/>
          </w:tcPr>
          <w:p>
            <w:pPr>
              <w:spacing w:after="0"/>
              <w:rPr>
                <w:sz w:val="1"/>
                <w:szCs w:val="1"/>
                <w:color w:val="auto"/>
              </w:rPr>
            </w:pPr>
          </w:p>
        </w:tc>
      </w:tr>
      <w:tr>
        <w:trPr>
          <w:trHeight w:val="98"/>
        </w:trPr>
        <w:tc>
          <w:tcPr>
            <w:tcW w:w="4240" w:type="dxa"/>
            <w:vAlign w:val="bottom"/>
            <w:tcBorders>
              <w:top w:val="single" w:sz="8" w:color="CFF0FC"/>
            </w:tcBorders>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Cash flow from operating activities (GAAP basis)</w:t>
            </w:r>
          </w:p>
        </w:tc>
        <w:tc>
          <w:tcPr>
            <w:tcW w:w="230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ind w:right="2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76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(8.6)</w:t>
            </w:r>
          </w:p>
        </w:tc>
        <w:tc>
          <w:tcPr>
            <w:tcW w:w="340" w:type="dxa"/>
            <w:vAlign w:val="bottom"/>
            <w:tcBorders>
              <w:top w:val="single" w:sz="8" w:color="CFF0FC"/>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5"/>
                <w:szCs w:val="5"/>
                <w:color w:val="auto"/>
                <w:w w:val="78"/>
              </w:rPr>
              <w:t>$</w:t>
            </w:r>
          </w:p>
        </w:tc>
        <w:tc>
          <w:tcPr>
            <w:tcW w:w="162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(14.4)</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24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Capital expenditures, infrastructure projects</w:t>
            </w:r>
          </w:p>
        </w:tc>
        <w:tc>
          <w:tcPr>
            <w:tcW w:w="2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00" w:type="dxa"/>
            <w:vAlign w:val="bottom"/>
            <w:gridSpan w:val="2"/>
          </w:tcPr>
          <w:p>
            <w:pPr>
              <w:jc w:val="right"/>
              <w:ind w:right="320"/>
              <w:spacing w:after="0" w:line="109" w:lineRule="exact"/>
              <w:rPr>
                <w:sz w:val="20"/>
                <w:szCs w:val="20"/>
                <w:color w:val="auto"/>
              </w:rPr>
            </w:pPr>
            <w:r>
              <w:rPr>
                <w:rFonts w:ascii="Times New Roman" w:cs="Times New Roman" w:eastAsia="Times New Roman" w:hAnsi="Times New Roman"/>
                <w:sz w:val="10"/>
                <w:szCs w:val="10"/>
                <w:color w:val="auto"/>
              </w:rPr>
              <w:t>(2.0)</w:t>
            </w:r>
          </w:p>
        </w:tc>
        <w:tc>
          <w:tcPr>
            <w:tcW w:w="520" w:type="dxa"/>
            <w:vAlign w:val="bottom"/>
          </w:tcPr>
          <w:p>
            <w:pPr>
              <w:spacing w:after="0"/>
              <w:rPr>
                <w:sz w:val="9"/>
                <w:szCs w:val="9"/>
                <w:color w:val="auto"/>
              </w:rPr>
            </w:pPr>
          </w:p>
        </w:tc>
        <w:tc>
          <w:tcPr>
            <w:tcW w:w="174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color w:val="auto"/>
              </w:rPr>
              <w:t>(7.2)</w:t>
            </w:r>
          </w:p>
        </w:tc>
        <w:tc>
          <w:tcPr>
            <w:tcW w:w="0" w:type="dxa"/>
            <w:vAlign w:val="bottom"/>
          </w:tcPr>
          <w:p>
            <w:pPr>
              <w:spacing w:after="0"/>
              <w:rPr>
                <w:sz w:val="1"/>
                <w:szCs w:val="1"/>
                <w:color w:val="auto"/>
              </w:rPr>
            </w:pPr>
          </w:p>
        </w:tc>
      </w:tr>
      <w:tr>
        <w:trPr>
          <w:trHeight w:val="109"/>
        </w:trPr>
        <w:tc>
          <w:tcPr>
            <w:tcW w:w="424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Capital expenditures for DXL stores</w:t>
            </w:r>
          </w:p>
        </w:tc>
        <w:tc>
          <w:tcPr>
            <w:tcW w:w="2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100" w:type="dxa"/>
            <w:vAlign w:val="bottom"/>
            <w:gridSpan w:val="2"/>
            <w:shd w:val="clear" w:color="auto" w:fill="CFF0FC"/>
          </w:tcPr>
          <w:p>
            <w:pPr>
              <w:jc w:val="right"/>
              <w:ind w:right="320"/>
              <w:spacing w:after="0" w:line="109" w:lineRule="exact"/>
              <w:rPr>
                <w:sz w:val="20"/>
                <w:szCs w:val="20"/>
                <w:color w:val="auto"/>
              </w:rPr>
            </w:pPr>
            <w:r>
              <w:rPr>
                <w:rFonts w:ascii="Times New Roman" w:cs="Times New Roman" w:eastAsia="Times New Roman" w:hAnsi="Times New Roman"/>
                <w:sz w:val="10"/>
                <w:szCs w:val="10"/>
                <w:color w:val="auto"/>
              </w:rPr>
              <w:t>(0.9)</w:t>
            </w:r>
          </w:p>
        </w:tc>
        <w:tc>
          <w:tcPr>
            <w:tcW w:w="520" w:type="dxa"/>
            <w:vAlign w:val="bottom"/>
            <w:shd w:val="clear" w:color="auto" w:fill="CFF0FC"/>
          </w:tcPr>
          <w:p>
            <w:pPr>
              <w:spacing w:after="0"/>
              <w:rPr>
                <w:sz w:val="9"/>
                <w:szCs w:val="9"/>
                <w:color w:val="auto"/>
              </w:rPr>
            </w:pPr>
          </w:p>
        </w:tc>
        <w:tc>
          <w:tcPr>
            <w:tcW w:w="174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0"/>
                <w:szCs w:val="10"/>
                <w:color w:val="auto"/>
              </w:rPr>
              <w:t>(3.8)</w:t>
            </w:r>
          </w:p>
        </w:tc>
        <w:tc>
          <w:tcPr>
            <w:tcW w:w="0" w:type="dxa"/>
            <w:vAlign w:val="bottom"/>
          </w:tcPr>
          <w:p>
            <w:pPr>
              <w:spacing w:after="0"/>
              <w:rPr>
                <w:sz w:val="1"/>
                <w:szCs w:val="1"/>
                <w:color w:val="auto"/>
              </w:rPr>
            </w:pPr>
          </w:p>
        </w:tc>
      </w:tr>
      <w:tr>
        <w:trPr>
          <w:trHeight w:val="105"/>
        </w:trPr>
        <w:tc>
          <w:tcPr>
            <w:tcW w:w="4240" w:type="dxa"/>
            <w:vAlign w:val="bottom"/>
          </w:tcPr>
          <w:p>
            <w:pPr>
              <w:ind w:left="60"/>
              <w:spacing w:after="0" w:line="98" w:lineRule="exact"/>
              <w:rPr>
                <w:sz w:val="20"/>
                <w:szCs w:val="20"/>
                <w:color w:val="auto"/>
              </w:rPr>
            </w:pPr>
            <w:r>
              <w:rPr>
                <w:rFonts w:ascii="Times New Roman" w:cs="Times New Roman" w:eastAsia="Times New Roman" w:hAnsi="Times New Roman"/>
                <w:sz w:val="10"/>
                <w:szCs w:val="10"/>
                <w:color w:val="auto"/>
              </w:rPr>
              <w:t>Free Cash Flow (non-GAAP basis)</w:t>
            </w:r>
          </w:p>
        </w:tc>
        <w:tc>
          <w:tcPr>
            <w:tcW w:w="230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ind w:right="2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7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(11.6)</w:t>
            </w:r>
          </w:p>
        </w:tc>
        <w:tc>
          <w:tcPr>
            <w:tcW w:w="34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5"/>
                <w:szCs w:val="5"/>
                <w:color w:val="auto"/>
                <w:w w:val="78"/>
              </w:rPr>
              <w:t>$</w:t>
            </w:r>
          </w:p>
        </w:tc>
        <w:tc>
          <w:tcPr>
            <w:tcW w:w="16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(25.4)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704" w:right="299" w:bottom="1440" w:gutter="0" w:footer="0" w:header="0"/>
        </w:sectPr>
      </w:pPr>
    </w:p>
    <w:bookmarkStart w:id="28" w:name="page29"/>
    <w:bookmarkEnd w:id="28"/>
    <w:p>
      <w:pPr>
        <w:ind w:right="120"/>
        <w:spacing w:after="0" w:line="286" w:lineRule="auto"/>
        <w:rPr>
          <w:sz w:val="20"/>
          <w:szCs w:val="20"/>
          <w:color w:val="auto"/>
        </w:rPr>
      </w:pPr>
      <w:r>
        <w:rPr>
          <w:rFonts w:ascii="Times New Roman" w:cs="Times New Roman" w:eastAsia="Times New Roman" w:hAnsi="Times New Roman"/>
          <w:sz w:val="12"/>
          <w:szCs w:val="12"/>
          <w:i w:val="1"/>
          <w:iCs w:val="1"/>
          <w:u w:val="single" w:color="auto"/>
          <w:color w:val="auto"/>
        </w:rPr>
        <w:t>Adjusted EBITDA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Adjusted EBITDA is calculated as earnings before interest, taxes, depreciation and amortization and is before CEO transition costs, exit costs associated with London operations, and any impairment of assets. We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believe that adjusted EBITDA is useful to investors in evaluating our performance.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3"/>
          </w:tcPr>
          <w:p>
            <w:pPr>
              <w:jc w:val="right"/>
              <w:ind w:right="768"/>
              <w:spacing w:after="0"/>
              <w:rPr>
                <w:sz w:val="20"/>
                <w:szCs w:val="20"/>
                <w:color w:val="auto"/>
              </w:rPr>
            </w:pPr>
            <w:r>
              <w:rPr>
                <w:rFonts w:ascii="Times New Roman" w:cs="Times New Roman" w:eastAsia="Times New Roman" w:hAnsi="Times New Roman"/>
                <w:sz w:val="10"/>
                <w:szCs w:val="10"/>
                <w:color w:val="auto"/>
                <w:w w:val="96"/>
              </w:rPr>
              <w:t>For the three months ended</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20" w:type="dxa"/>
            <w:vAlign w:val="bottom"/>
            <w:gridSpan w:val="5"/>
          </w:tcPr>
          <w:p>
            <w:pPr>
              <w:jc w:val="right"/>
              <w:ind w:right="114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14"/>
        </w:trPr>
        <w:tc>
          <w:tcPr>
            <w:tcW w:w="4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October 31, 2020</w:t>
            </w: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November 2, 2019</w:t>
            </w:r>
          </w:p>
        </w:tc>
        <w:tc>
          <w:tcPr>
            <w:tcW w:w="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0"/>
                <w:szCs w:val="10"/>
                <w:color w:val="auto"/>
              </w:rPr>
              <w:t>October 31, 2020</w:t>
            </w:r>
          </w:p>
        </w:tc>
        <w:tc>
          <w:tcPr>
            <w:tcW w:w="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0"/>
                <w:szCs w:val="10"/>
                <w:color w:val="auto"/>
              </w:rPr>
              <w:t>November 2, 2019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46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i w:val="1"/>
                <w:iCs w:val="1"/>
                <w:color w:val="auto"/>
              </w:rPr>
              <w:t>(in millions)</w:t>
            </w:r>
          </w:p>
        </w:tc>
        <w:tc>
          <w:tcPr>
            <w:tcW w:w="1040" w:type="dxa"/>
            <w:vAlign w:val="bottom"/>
            <w:vMerge w:val="restart"/>
          </w:tcPr>
          <w:p>
            <w:pPr>
              <w:jc w:val="right"/>
              <w:ind w:right="968"/>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color w:val="auto"/>
              </w:rPr>
              <w:t>(7.0)</w:t>
            </w:r>
          </w:p>
        </w:tc>
        <w:tc>
          <w:tcPr>
            <w:tcW w:w="1200" w:type="dxa"/>
            <w:vAlign w:val="bottom"/>
            <w:vMerge w:val="restart"/>
          </w:tcPr>
          <w:p>
            <w:pPr>
              <w:jc w:val="right"/>
              <w:ind w:right="1128"/>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color w:val="auto"/>
              </w:rPr>
              <w:t>(7.2)</w:t>
            </w:r>
          </w:p>
        </w:tc>
        <w:tc>
          <w:tcPr>
            <w:tcW w:w="200" w:type="dxa"/>
            <w:vAlign w:val="bottom"/>
            <w:vMerge w:val="restart"/>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color w:val="auto"/>
              </w:rPr>
              <w:t>(59.5)</w:t>
            </w:r>
          </w:p>
        </w:tc>
        <w:tc>
          <w:tcPr>
            <w:tcW w:w="2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(10.2)</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46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color w:val="auto"/>
              </w:rPr>
              <w:t>Net loss (GAAP basis)</w:t>
            </w:r>
          </w:p>
        </w:tc>
        <w:tc>
          <w:tcPr>
            <w:tcW w:w="104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46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Add back:</w:t>
            </w:r>
          </w:p>
        </w:tc>
        <w:tc>
          <w:tcPr>
            <w:tcW w:w="10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CEO transition costs</w:t>
            </w:r>
          </w:p>
        </w:tc>
        <w:tc>
          <w:tcPr>
            <w:tcW w:w="104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Exit costs associated with London operations</w:t>
            </w:r>
          </w:p>
        </w:tc>
        <w:tc>
          <w:tcPr>
            <w:tcW w:w="104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1.7</w:t>
            </w: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Impairment of assets</w:t>
            </w:r>
          </w:p>
        </w:tc>
        <w:tc>
          <w:tcPr>
            <w:tcW w:w="1040" w:type="dxa"/>
            <w:vAlign w:val="bottom"/>
          </w:tcPr>
          <w:p>
            <w:pPr>
              <w:spacing w:after="0"/>
              <w:rPr>
                <w:sz w:val="9"/>
                <w:szCs w:val="9"/>
                <w:color w:val="auto"/>
              </w:rPr>
            </w:pPr>
          </w:p>
        </w:tc>
        <w:tc>
          <w:tcPr>
            <w:tcW w:w="68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0"/>
                <w:szCs w:val="10"/>
                <w:color w:val="auto"/>
              </w:rPr>
              <w:t>(1.1)</w:t>
            </w:r>
          </w:p>
        </w:tc>
        <w:tc>
          <w:tcPr>
            <w:tcW w:w="1200" w:type="dxa"/>
            <w:vAlign w:val="bottom"/>
          </w:tcPr>
          <w:p>
            <w:pPr>
              <w:spacing w:after="0"/>
              <w:rPr>
                <w:sz w:val="9"/>
                <w:szCs w:val="9"/>
                <w:color w:val="auto"/>
              </w:rPr>
            </w:pPr>
          </w:p>
        </w:tc>
        <w:tc>
          <w:tcPr>
            <w:tcW w:w="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15.2</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Provision (benefit) for income taxes</w:t>
            </w:r>
          </w:p>
        </w:tc>
        <w:tc>
          <w:tcPr>
            <w:tcW w:w="104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0.1</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09"/>
        </w:trPr>
        <w:tc>
          <w:tcPr>
            <w:tcW w:w="44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Interest expense</w:t>
            </w:r>
          </w:p>
        </w:tc>
        <w:tc>
          <w:tcPr>
            <w:tcW w:w="104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1.1</w:t>
            </w: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0.9</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2.9</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6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040" w:type="dxa"/>
            <w:vAlign w:val="bottom"/>
            <w:tcBorders>
              <w:bottom w:val="single" w:sz="8" w:color="auto"/>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5.3</w:t>
            </w:r>
          </w:p>
        </w:tc>
        <w:tc>
          <w:tcPr>
            <w:tcW w:w="300" w:type="dxa"/>
            <w:vAlign w:val="bottom"/>
            <w:shd w:val="clear" w:color="auto" w:fill="CFF0FC"/>
          </w:tcPr>
          <w:p>
            <w:pPr>
              <w:spacing w:after="0"/>
              <w:rPr>
                <w:sz w:val="9"/>
                <w:szCs w:val="9"/>
                <w:color w:val="auto"/>
              </w:rPr>
            </w:pPr>
          </w:p>
        </w:tc>
        <w:tc>
          <w:tcPr>
            <w:tcW w:w="120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6.3</w:t>
            </w:r>
          </w:p>
        </w:tc>
        <w:tc>
          <w:tcPr>
            <w:tcW w:w="44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2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16.4</w:t>
            </w:r>
          </w:p>
        </w:tc>
        <w:tc>
          <w:tcPr>
            <w:tcW w:w="28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2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18.9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46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color w:val="auto"/>
              </w:rPr>
              <w:t>Adjusted EBITDA (non-GAAP basis)</w:t>
            </w:r>
          </w:p>
        </w:tc>
        <w:tc>
          <w:tcPr>
            <w:tcW w:w="1040" w:type="dxa"/>
            <w:vAlign w:val="bottom"/>
          </w:tcPr>
          <w:p>
            <w:pPr>
              <w:jc w:val="right"/>
              <w:ind w:right="968"/>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60"/>
              <w:spacing w:after="0" w:line="98" w:lineRule="exact"/>
              <w:rPr>
                <w:sz w:val="20"/>
                <w:szCs w:val="20"/>
                <w:color w:val="auto"/>
              </w:rPr>
            </w:pPr>
            <w:r>
              <w:rPr>
                <w:rFonts w:ascii="Times New Roman" w:cs="Times New Roman" w:eastAsia="Times New Roman" w:hAnsi="Times New Roman"/>
                <w:sz w:val="10"/>
                <w:szCs w:val="10"/>
                <w:color w:val="auto"/>
              </w:rPr>
              <w:t>(1.7)</w:t>
            </w:r>
          </w:p>
        </w:tc>
        <w:tc>
          <w:tcPr>
            <w:tcW w:w="1200" w:type="dxa"/>
            <w:vAlign w:val="bottom"/>
          </w:tcPr>
          <w:p>
            <w:pPr>
              <w:jc w:val="right"/>
              <w:ind w:right="1128"/>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1.7</w:t>
            </w:r>
          </w:p>
        </w:tc>
        <w:tc>
          <w:tcPr>
            <w:tcW w:w="440" w:type="dxa"/>
            <w:vAlign w:val="bottom"/>
          </w:tcPr>
          <w:p>
            <w:pPr>
              <w:spacing w:after="0"/>
              <w:rPr>
                <w:sz w:val="8"/>
                <w:szCs w:val="8"/>
                <w:color w:val="auto"/>
              </w:rPr>
            </w:pPr>
          </w:p>
        </w:tc>
        <w:tc>
          <w:tcPr>
            <w:tcW w:w="200" w:type="dxa"/>
            <w:vAlign w:val="bottom"/>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gridSpan w:val="2"/>
          </w:tcPr>
          <w:p>
            <w:pPr>
              <w:jc w:val="right"/>
              <w:ind w:right="260"/>
              <w:spacing w:after="0" w:line="98" w:lineRule="exact"/>
              <w:rPr>
                <w:sz w:val="20"/>
                <w:szCs w:val="20"/>
                <w:color w:val="auto"/>
              </w:rPr>
            </w:pPr>
            <w:r>
              <w:rPr>
                <w:rFonts w:ascii="Times New Roman" w:cs="Times New Roman" w:eastAsia="Times New Roman" w:hAnsi="Times New Roman"/>
                <w:sz w:val="10"/>
                <w:szCs w:val="10"/>
                <w:color w:val="auto"/>
              </w:rPr>
              <w:t>(24.9)</w:t>
            </w:r>
          </w:p>
        </w:tc>
        <w:tc>
          <w:tcPr>
            <w:tcW w:w="200" w:type="dxa"/>
            <w:vAlign w:val="bottom"/>
          </w:tcPr>
          <w:p>
            <w:pPr>
              <w:jc w:val="right"/>
              <w:ind w:right="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13.6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normal course of business, our financial position and results of operations are routinely subject to a variety of risks, including market risk associated with interest rate movements on borrowings and foreign currency fluctuations.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regularly assess these risks and have established policies and business practices to protect against the adverse effects of these and other potential exposures.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Interest Rates</w:t>
      </w:r>
    </w:p>
    <w:p>
      <w:pPr>
        <w:spacing w:after="0" w:line="79"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2"/>
          <w:szCs w:val="12"/>
          <w:color w:val="auto"/>
        </w:rPr>
        <w:t>We utilize cash from operations and from our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4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2"/>
          <w:szCs w:val="12"/>
          <w:color w:val="auto"/>
        </w:rPr>
        <w:t>At October 31, 2020, we had outstanding borrowings of $68.3 million, of which $65.0 million were in LIBOR-based contracts with an interest rate of 4.00%. The remainder was prime-based borrowings, with a rate of 5.25%. At October 31, 2020, the $15.0 million outstanding borrowings under the FILO loan were in a LIBOR-based contract with an interest rate of 6.00%.</w:t>
      </w:r>
    </w:p>
    <w:p>
      <w:pPr>
        <w:spacing w:after="0" w:line="3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color w:val="auto"/>
        </w:rPr>
        <w:t>Based upon a sensitivity analysis as of October 31, 2020, assuming average outstanding borrowing during the first nine months of fiscal 2020 of $67.4 million under our Credit Facility and $15.0 million outstanding under our FILO loan, a 50 basis point increase in interest rates would have resulted in a potential increase in interest expense of approximately $412,000 on an annualized basis.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Foreign Currency</w:t>
      </w:r>
    </w:p>
    <w:p>
      <w:pPr>
        <w:spacing w:after="0" w:line="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color w:val="auto"/>
        </w:rPr>
        <w:t>Our two DXL stores located in Ontario, Canada conduct business in Canadian dollars. Sales from these stores were immaterial to consolidated sales. As such, we believe that movement in foreign currency exchange rates will not have a material adverse effect on our financial position or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Evaluation of Disclosure Controls and Procedures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31, 2020.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31, 2020, our disclosure controls and procedures were effective.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Changes in Internal Control over Financial Reporting</w:t>
      </w:r>
    </w:p>
    <w:p>
      <w:pPr>
        <w:spacing w:after="0" w:line="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color w:val="auto"/>
        </w:rPr>
        <w:t>While the majority of our employees are working remotely during the COVID-19 pandemic, we have not experienced any changes in our internal control over financial reporting (as defined in Rules 13a-15(f) and 15d-15(f) under the Exchange Act) during the three months ended October 31, 2020 that has materially affected, or is reasonably likely to materially affect, our internal control over financial reporting.</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416"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as described below, there have been no material changes to the risk factors as previously disclosed in Part I, Item 1A of our Fiscal 2019 Annual Report.</w:t>
      </w:r>
    </w:p>
    <w:p>
      <w:pPr>
        <w:spacing w:after="0" w:line="15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2"/>
          <w:szCs w:val="12"/>
          <w:b w:val="1"/>
          <w:bCs w:val="1"/>
          <w:i w:val="1"/>
          <w:iCs w:val="1"/>
          <w:color w:val="212121"/>
        </w:rPr>
        <w:t>The global impact of the COVID-19 pandemic has had and, based on the current status and uncertainty, will likely continue to have a significant adverse effect on our business, financial results, liquidity, supply chain and workforce.</w:t>
      </w:r>
    </w:p>
    <w:p>
      <w:pPr>
        <w:spacing w:after="0" w:line="3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color w:val="auto"/>
        </w:rPr>
        <w:t>On March 11, 2020, the World Health Organization declared the current outbreak of a novel coronavirus disease (“COVID-19”) a global pandemic. Federal, state and local agencies have mandated various restrictions including travel restrictions, restrictions on public gatherings, state of emergencies, stay-at-home orders and closure of all non-essential businesses, among others.</w:t>
      </w:r>
    </w:p>
    <w:p>
      <w:pPr>
        <w:spacing w:after="0" w:line="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 xml:space="preserve">The COVID-19 pandemic has had, and will likely continue to have, a significant adverse effect on our business, financial results and liquidity. All of our stores were closed on March 17, 2020 and remained closed through the end of April 2020, at which point we began to open our stores on a gradual basis through June 30, 2020. While our direct and wholesale businesses were operational, our total revenues for the first nine months of fiscal 2020 decreased by approximately 36.2%. Based on the continuing uncertainty regarding the pandemic, we are unable, within reason, to estimate the impact to the remainder of fiscal 2020. As such, we are focused on mitigating the effects of the COVID-19 pandemic and preserving our liquidity. These efforts included, among other things, (i) the furloughing of substantially all of our associates while our stores remained closed, (ii) temporarily reducing, on a tiered basis, the salaries of all members of management through August 2, 2020, (iii) suspending merit increases, (iv) implementing a restructuring program in the third quarter to reduce SG&amp;A costs by terminating services agreements, eliminating certain professional services and reduced marketing costs, (v) eliminating approximately 101 corporate positions and a total of 1,078 store associates since March 2020, (vi) suspending compensation for non-employee directors for the second quarter of fiscal 2020, (vii) eliminating capital expenditures and operating expenses, where possible, (viii) negotiating with vendors and landlords for extended and revised payment terms, (ix) cancelling approximately $148.0 million of on-order merchandise, at retail, (x) drawing approximately $30.0 million under our credit facility and amending that facility to increase our borrowing base availability by delaying the step-down of our advance rates and amending the agreement to permit the Company the ability to enter into an aggregate of up to $15.0 million in promissory notes with merchandise vendors, and (xi) pursuing all opportunities that may be available to us under the </w:t>
      </w:r>
      <w:r>
        <w:rPr>
          <w:rFonts w:ascii="Times New Roman" w:cs="Times New Roman" w:eastAsia="Times New Roman" w:hAnsi="Times New Roman"/>
          <w:sz w:val="12"/>
          <w:szCs w:val="12"/>
          <w:color w:val="212121"/>
        </w:rPr>
        <w:t>Coronavirus Aid, Relief and Economic Security Act, ("CARES Act").</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The above actions may not be successful in mitigating the effects of this pandemic, which is highly uncertain and difficult to predict, and the actions that we take may negatively impact or delay our strategic initiatives. For example, even though our stores have reopened, we cannot be assured that (i) consumer demand and, therefore, sales will return to levels experienced prior to the pandemic, (ii) if sales do not return to levels prior to the pandemic, sales will be at levels sufficient to support the ongoing business, (iii) new practices or protocols could impact our business and may continue and/or increase, for example, occupancy limitations, (iv) our stores can remain open if there is a resurgence of the virus and therefore need to close again, or (v) our associates will be willing to staff our stores, as a result of health concerns. Furthermore;</w:t>
      </w:r>
    </w:p>
    <w:p>
      <w:pPr>
        <w:spacing w:after="0" w:line="1" w:lineRule="exact"/>
        <w:rPr>
          <w:sz w:val="20"/>
          <w:szCs w:val="20"/>
          <w:color w:val="auto"/>
        </w:rPr>
      </w:pPr>
    </w:p>
    <w:p>
      <w:pPr>
        <w:ind w:left="740" w:hanging="376"/>
        <w:spacing w:after="0"/>
        <w:tabs>
          <w:tab w:leader="none" w:pos="7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effectively manage our operating costs on a lower sales base;</w:t>
      </w:r>
    </w:p>
    <w:p>
      <w:pPr>
        <w:spacing w:after="0" w:line="6" w:lineRule="exact"/>
        <w:rPr>
          <w:rFonts w:ascii="Times New Roman" w:cs="Times New Roman" w:eastAsia="Times New Roman" w:hAnsi="Times New Roman"/>
          <w:sz w:val="12"/>
          <w:szCs w:val="12"/>
          <w:color w:val="auto"/>
        </w:rPr>
      </w:pPr>
    </w:p>
    <w:p>
      <w:pPr>
        <w:ind w:left="740" w:hanging="376"/>
        <w:spacing w:after="0"/>
        <w:tabs>
          <w:tab w:leader="none" w:pos="7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effectively manage the availability under our Credit Facility;</w:t>
      </w:r>
    </w:p>
    <w:p>
      <w:pPr>
        <w:spacing w:after="0" w:line="6" w:lineRule="exact"/>
        <w:rPr>
          <w:rFonts w:ascii="Times New Roman" w:cs="Times New Roman" w:eastAsia="Times New Roman" w:hAnsi="Times New Roman"/>
          <w:sz w:val="12"/>
          <w:szCs w:val="12"/>
          <w:color w:val="auto"/>
        </w:rPr>
      </w:pPr>
    </w:p>
    <w:p>
      <w:pPr>
        <w:ind w:left="740" w:hanging="376"/>
        <w:spacing w:after="0"/>
        <w:tabs>
          <w:tab w:leader="none" w:pos="7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maintain or obtain favorable credit terms with our third-party vendors, making it harder to manage liquidity and receive inventory on a timely schedule;</w:t>
      </w:r>
    </w:p>
    <w:p>
      <w:pPr>
        <w:spacing w:after="0" w:line="6" w:lineRule="exact"/>
        <w:rPr>
          <w:rFonts w:ascii="Times New Roman" w:cs="Times New Roman" w:eastAsia="Times New Roman" w:hAnsi="Times New Roman"/>
          <w:sz w:val="12"/>
          <w:szCs w:val="12"/>
          <w:color w:val="auto"/>
        </w:rPr>
      </w:pPr>
    </w:p>
    <w:p>
      <w:pPr>
        <w:ind w:left="740" w:right="4720" w:hanging="376"/>
        <w:spacing w:after="0" w:line="252" w:lineRule="auto"/>
        <w:tabs>
          <w:tab w:leader="none" w:pos="72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cannot be assured that inventory costs will not increase or that inventory will be readily accessible from our vendors; and</w:t>
      </w:r>
    </w:p>
    <w:p>
      <w:pPr>
        <w:ind w:left="740" w:hanging="376"/>
        <w:spacing w:after="0"/>
        <w:tabs>
          <w:tab w:leader="none" w:pos="7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cannot be assured that we will not have further impairments of our long-lived assets.</w:t>
      </w:r>
    </w:p>
    <w:p>
      <w:pPr>
        <w:spacing w:after="0" w:line="13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In addition to the specific risks to our business noted above, we will also be subject to the long-term effects the COVID-19 pandemic may have on the U.S. economy as a whole. The U.S. is experiencing unprecedented unemployment and a possible economic recession that would likely impact consumer discretionary spending, and therefore consumer demand for our products. The magnitude of the impact of the COVID-19 pandemic will be determined by the length of time that the pandemic continues, and while government authorities’ measures relating to the pandemic may be relaxed as the pandemic abates, these measures may be reinstated as the pandemic continues to evolve.</w:t>
      </w:r>
    </w:p>
    <w:p>
      <w:pPr>
        <w:spacing w:after="0" w:line="11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color w:val="auto"/>
        </w:rPr>
        <w:t>In addition to the risks noted above, the COVID-19 pandemic may also heighten other risks described in our Fiscal 2019 Annual Report, including risks to our supply chain, the health and safety of our customers and employees, and our ability to maintain compliance with the financial covenants under our Credit Facility. For example, we are seeing disruption in the global supply chain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color w:val="auto"/>
        </w:rPr>
        <w:t>due to COVID-19 outbreaks in foreign ports and shortages of vessels and shipping containers that may impact our ability to import inventory in a timely manner.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12121"/>
        </w:rPr>
        <w:t>It is unlikely that we will be able to maintain the listing of our common stock on NASDAQ, and as a result our common stock will begin trading over-the-counter.</w:t>
      </w:r>
    </w:p>
    <w:p>
      <w:pPr>
        <w:spacing w:after="0" w:line="8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2"/>
          <w:szCs w:val="12"/>
          <w:color w:val="auto"/>
        </w:rPr>
        <w:t>On October 13, 2020, we received notification from the Listing Qualifications staff of The Nasdaq Stock Market LLC (“Nasdaq”) that our application to transfer from the Global Select Market to the Capital Market was approved and effective October 19, 2020. This request was in response to the notice from Nasdaq, received by the Company in September 2020, that the Company was not in compliance with Nasdaq Listing Rule 5450(b)(1)(A) based on information provided in the our Quarterly Report on Form 10-Q for the quarter ended August 1, 2020, which reported that our stockholders’ equity was below the $10.0 million minimum required for continued listing on the Nasdaq Global Market.</w:t>
      </w:r>
    </w:p>
    <w:p>
      <w:pPr>
        <w:spacing w:after="0" w:line="4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2"/>
          <w:szCs w:val="12"/>
          <w:color w:val="auto"/>
        </w:rPr>
        <w:t>In addition, as previously reported, in April 2020, the Company received a letter from Nasdaq indicating that, based upon the closing bid price of the Company’s common stock for the last 30 consecutive business days, the Company no longer met the requirement to maintain a minimum consolidated closing bid price of $1.00 per share, as set forth in Nasdaq Listing Rule 5450(a)(1) (the “Minimum Bid Price Rule”). The Company was provided a period of 180 days to regain compliance with the Minimum Bid Price Rule, which period was tolled due to the COVID-19 pandemic and will end on December 21, 2020. Upon transfer to the Nasdaq Capital Market, the Company was afforded the remainder of this compliance period.</w:t>
      </w:r>
    </w:p>
    <w:p>
      <w:pPr>
        <w:spacing w:after="0" w:line="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If the Company is unable to regain compliance with the Minimum Bid Price Rule before December 21, 2020, the Company may be eligible to seek an additional compliance period of 180 calendar days if it meets the continued listing requirement for minimum value of stockholder’s equity and all other continued listing standards for the Nasdaq Capital Market, with the exception of the Minimum Bid Price Rule, and provides written notice to Nasdaq of its intent to cure the deficiency during this second compliance period, by effecting a reverse stock split, if necessary. However, if it appears to Nasdaq that the Company will not be able to cure the deficiency, or if the Company is otherwise not eligible because it cannot meet the other requirements for continued listing, in particular the minimum value of stockholder’s equity, Nasdaq will provide notice to the Company that its common stock will be subject to delisting.</w:t>
      </w:r>
    </w:p>
    <w:p>
      <w:pPr>
        <w:spacing w:after="0" w:line="4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2"/>
          <w:szCs w:val="12"/>
          <w:color w:val="auto"/>
        </w:rPr>
        <w:t>If our common stock is delisted, or we elect to voluntarily delist our common stock from Nasdaq, our common stock would be eligible for quotation on "over-the-counter" markets, which are generally considered to be a less efficient system than listing on markets such as Nasdaq or other national exchanges because of lower trading volumes, transaction delays and reduced security analyst and news media coverage. Any delisting of our common stock could adversely affect the market liquidity of our common stock and the market price of our common stock could decrease.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None.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None.</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40"/>
          </w:cols>
          <w:pgMar w:left="300" w:top="271"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0"/>
        </w:trPr>
        <w:tc>
          <w:tcPr>
            <w:tcW w:w="1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308"/>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w:t>
            </w:r>
          </w:p>
        </w:tc>
        <w:tc>
          <w:tcPr>
            <w:tcW w:w="10080" w:type="dxa"/>
            <w:vAlign w:val="bottom"/>
            <w:gridSpan w:val="7"/>
          </w:tcPr>
          <w:p>
            <w:pPr>
              <w:spacing w:after="0"/>
              <w:rPr>
                <w:rFonts w:ascii="Times New Roman" w:cs="Times New Roman" w:eastAsia="Times New Roman" w:hAnsi="Times New Roman"/>
                <w:sz w:val="12"/>
                <w:szCs w:val="12"/>
                <w:u w:val="single" w:color="auto"/>
                <w:color w:val="0000EE"/>
              </w:rPr>
            </w:pPr>
            <w:hyperlink w:anchor="page34">
              <w:r>
                <w:rPr>
                  <w:rFonts w:ascii="Times New Roman" w:cs="Times New Roman" w:eastAsia="Times New Roman" w:hAnsi="Times New Roman"/>
                  <w:sz w:val="12"/>
                  <w:szCs w:val="12"/>
                  <w:u w:val="single" w:color="auto"/>
                  <w:color w:val="0000EE"/>
                </w:rPr>
                <w:t>Fifth Amended and Restated Non-Employee Director Compensation Plan</w:t>
              </w:r>
            </w:hyperlink>
            <w:r>
              <w:rPr>
                <w:rFonts w:ascii="Times New Roman" w:cs="Times New Roman" w:eastAsia="Times New Roman" w:hAnsi="Times New Roman"/>
                <w:sz w:val="12"/>
                <w:szCs w:val="12"/>
                <w:u w:val="single" w:color="auto"/>
                <w:color w:val="000000"/>
              </w:rPr>
              <w:t>.</w:t>
            </w: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w:t>
            </w:r>
          </w:p>
        </w:tc>
        <w:tc>
          <w:tcPr>
            <w:tcW w:w="10080" w:type="dxa"/>
            <w:vAlign w:val="bottom"/>
            <w:tcBorders>
              <w:bottom w:val="single" w:sz="8" w:color="0000EE"/>
            </w:tcBorders>
            <w:gridSpan w:val="7"/>
          </w:tcPr>
          <w:p>
            <w:pPr>
              <w:spacing w:after="0"/>
              <w:rPr>
                <w:rFonts w:ascii="Times New Roman" w:cs="Times New Roman" w:eastAsia="Times New Roman" w:hAnsi="Times New Roman"/>
                <w:sz w:val="12"/>
                <w:szCs w:val="12"/>
                <w:color w:val="0000EE"/>
              </w:rPr>
            </w:pPr>
            <w:hyperlink r:id="rId51">
              <w:r>
                <w:rPr>
                  <w:rFonts w:ascii="Times New Roman" w:cs="Times New Roman" w:eastAsia="Times New Roman" w:hAnsi="Times New Roman"/>
                  <w:sz w:val="12"/>
                  <w:szCs w:val="12"/>
                  <w:color w:val="0000EE"/>
                </w:rPr>
                <w:t>Amended Employment Agreement between the Company and Ujjwal Dhoot effective as of August 2, 2020 (included as Exhibit 10.2 to the Company’s Quarterly Report filed August 27, 2020 and incorporated</w:t>
              </w:r>
            </w:hyperlink>
          </w:p>
        </w:tc>
      </w:tr>
      <w:tr>
        <w:trPr>
          <w:trHeight w:val="125"/>
        </w:trPr>
        <w:tc>
          <w:tcPr>
            <w:tcW w:w="1100" w:type="dxa"/>
            <w:vAlign w:val="bottom"/>
          </w:tcPr>
          <w:p>
            <w:pPr>
              <w:spacing w:after="0"/>
              <w:rPr>
                <w:sz w:val="10"/>
                <w:szCs w:val="10"/>
                <w:color w:val="auto"/>
              </w:rPr>
            </w:pPr>
          </w:p>
        </w:tc>
        <w:tc>
          <w:tcPr>
            <w:tcW w:w="10080" w:type="dxa"/>
            <w:vAlign w:val="bottom"/>
            <w:gridSpan w:val="7"/>
          </w:tcPr>
          <w:p>
            <w:pPr>
              <w:spacing w:after="0" w:line="125" w:lineRule="exact"/>
              <w:rPr>
                <w:rFonts w:ascii="Times New Roman" w:cs="Times New Roman" w:eastAsia="Times New Roman" w:hAnsi="Times New Roman"/>
                <w:sz w:val="12"/>
                <w:szCs w:val="12"/>
                <w:color w:val="0000EE"/>
              </w:rPr>
            </w:pPr>
            <w:hyperlink r:id="rId51">
              <w:r>
                <w:rPr>
                  <w:rFonts w:ascii="Times New Roman" w:cs="Times New Roman" w:eastAsia="Times New Roman" w:hAnsi="Times New Roman"/>
                  <w:sz w:val="12"/>
                  <w:szCs w:val="12"/>
                  <w:color w:val="0000EE"/>
                </w:rPr>
                <w:t>herein by reference).</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97"/>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31.1</w:t>
            </w:r>
          </w:p>
        </w:tc>
        <w:tc>
          <w:tcPr>
            <w:tcW w:w="10080" w:type="dxa"/>
            <w:vAlign w:val="bottom"/>
            <w:gridSpan w:val="7"/>
          </w:tcPr>
          <w:p>
            <w:pPr>
              <w:spacing w:after="0"/>
              <w:rPr>
                <w:rFonts w:ascii="Times New Roman" w:cs="Times New Roman" w:eastAsia="Times New Roman" w:hAnsi="Times New Roman"/>
                <w:sz w:val="12"/>
                <w:szCs w:val="12"/>
                <w:u w:val="single" w:color="auto"/>
                <w:color w:val="0000EE"/>
              </w:rPr>
            </w:pPr>
            <w:hyperlink w:anchor="page42">
              <w:r>
                <w:rPr>
                  <w:rFonts w:ascii="Times New Roman" w:cs="Times New Roman" w:eastAsia="Times New Roman" w:hAnsi="Times New Roman"/>
                  <w:sz w:val="12"/>
                  <w:szCs w:val="12"/>
                  <w:u w:val="single" w:color="auto"/>
                  <w:color w:val="0000EE"/>
                </w:rPr>
                <w:t>Certification of the Chief Executive Officer of the Company pursuant to Rule 13a-14(a) under the Securities Exchange Act of 1934</w:t>
              </w:r>
            </w:hyperlink>
            <w:r>
              <w:rPr>
                <w:rFonts w:ascii="Times New Roman" w:cs="Times New Roman" w:eastAsia="Times New Roman" w:hAnsi="Times New Roman"/>
                <w:sz w:val="12"/>
                <w:szCs w:val="12"/>
                <w:u w:val="single" w:color="auto"/>
                <w:color w:val="000000"/>
              </w:rPr>
              <w:t>.</w:t>
            </w:r>
          </w:p>
        </w:tc>
      </w:tr>
      <w:tr>
        <w:trPr>
          <w:trHeight w:val="290"/>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31.2</w:t>
            </w:r>
          </w:p>
        </w:tc>
        <w:tc>
          <w:tcPr>
            <w:tcW w:w="10080" w:type="dxa"/>
            <w:vAlign w:val="bottom"/>
            <w:gridSpan w:val="7"/>
          </w:tcPr>
          <w:p>
            <w:pPr>
              <w:spacing w:after="0"/>
              <w:rPr>
                <w:rFonts w:ascii="Times New Roman" w:cs="Times New Roman" w:eastAsia="Times New Roman" w:hAnsi="Times New Roman"/>
                <w:sz w:val="12"/>
                <w:szCs w:val="12"/>
                <w:u w:val="single" w:color="auto"/>
                <w:color w:val="0000EE"/>
              </w:rPr>
            </w:pPr>
            <w:hyperlink w:anchor="page43">
              <w:r>
                <w:rPr>
                  <w:rFonts w:ascii="Times New Roman" w:cs="Times New Roman" w:eastAsia="Times New Roman" w:hAnsi="Times New Roman"/>
                  <w:sz w:val="12"/>
                  <w:szCs w:val="12"/>
                  <w:u w:val="single" w:color="auto"/>
                  <w:color w:val="0000EE"/>
                </w:rPr>
                <w:t>Certification of the Chief Financial Officer of the Company pursuant to Rule 13a-14(a) under the Securities Exchange Act of 1934</w:t>
              </w:r>
            </w:hyperlink>
            <w:r>
              <w:rPr>
                <w:rFonts w:ascii="Times New Roman" w:cs="Times New Roman" w:eastAsia="Times New Roman" w:hAnsi="Times New Roman"/>
                <w:sz w:val="12"/>
                <w:szCs w:val="12"/>
                <w:u w:val="single" w:color="auto"/>
                <w:color w:val="000000"/>
              </w:rPr>
              <w:t>.</w:t>
            </w:r>
          </w:p>
        </w:tc>
      </w:tr>
      <w:tr>
        <w:trPr>
          <w:trHeight w:val="290"/>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32.1</w:t>
            </w:r>
          </w:p>
        </w:tc>
        <w:tc>
          <w:tcPr>
            <w:tcW w:w="10080" w:type="dxa"/>
            <w:vAlign w:val="bottom"/>
            <w:gridSpan w:val="7"/>
          </w:tcPr>
          <w:p>
            <w:pPr>
              <w:spacing w:after="0"/>
              <w:rPr>
                <w:rFonts w:ascii="Times New Roman" w:cs="Times New Roman" w:eastAsia="Times New Roman" w:hAnsi="Times New Roman"/>
                <w:sz w:val="12"/>
                <w:szCs w:val="12"/>
                <w:u w:val="single" w:color="auto"/>
                <w:color w:val="0000EE"/>
              </w:rPr>
            </w:pPr>
            <w:hyperlink w:anchor="page44">
              <w:r>
                <w:rPr>
                  <w:rFonts w:ascii="Times New Roman" w:cs="Times New Roman" w:eastAsia="Times New Roman" w:hAnsi="Times New Roman"/>
                  <w:sz w:val="12"/>
                  <w:szCs w:val="12"/>
                  <w:u w:val="single" w:color="auto"/>
                  <w:color w:val="0000EE"/>
                </w:rPr>
                <w:t>Certification of Chief Executive Officer pursuant to 18 U.S.C. Section 1350, as adopted pursuant to Section 906 of the Sarbanes-Oxley Act of 2002.</w:t>
              </w:r>
            </w:hyperlink>
          </w:p>
        </w:tc>
      </w:tr>
      <w:tr>
        <w:trPr>
          <w:trHeight w:val="290"/>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32.2</w:t>
            </w:r>
          </w:p>
        </w:tc>
        <w:tc>
          <w:tcPr>
            <w:tcW w:w="10080" w:type="dxa"/>
            <w:vAlign w:val="bottom"/>
            <w:gridSpan w:val="7"/>
          </w:tcPr>
          <w:p>
            <w:pPr>
              <w:spacing w:after="0"/>
              <w:rPr>
                <w:rFonts w:ascii="Times New Roman" w:cs="Times New Roman" w:eastAsia="Times New Roman" w:hAnsi="Times New Roman"/>
                <w:sz w:val="12"/>
                <w:szCs w:val="12"/>
                <w:u w:val="single" w:color="auto"/>
                <w:color w:val="0000EE"/>
              </w:rPr>
            </w:pPr>
            <w:hyperlink w:anchor="page45">
              <w:r>
                <w:rPr>
                  <w:rFonts w:ascii="Times New Roman" w:cs="Times New Roman" w:eastAsia="Times New Roman" w:hAnsi="Times New Roman"/>
                  <w:sz w:val="12"/>
                  <w:szCs w:val="12"/>
                  <w:u w:val="single" w:color="auto"/>
                  <w:color w:val="0000EE"/>
                </w:rPr>
                <w:t>Certification of Chief Financial Officer pursuant to 18 U.S.C. Section 1350, as adopted pursuant to Section 906 of the Sarbanes-Oxley Act of 2002.</w:t>
              </w:r>
            </w:hyperlink>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101.INS</w:t>
            </w:r>
          </w:p>
        </w:tc>
        <w:tc>
          <w:tcPr>
            <w:tcW w:w="84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2"/>
                <w:szCs w:val="12"/>
                <w:color w:val="auto"/>
              </w:rPr>
              <w:t>Inline XBRL Instance Document. The instance document does not appear in the Interactive Data File because its XBRL tags are embedded within the Inline XBRL document.</w:t>
            </w:r>
          </w:p>
        </w:tc>
        <w:tc>
          <w:tcPr>
            <w:tcW w:w="1620" w:type="dxa"/>
            <w:vAlign w:val="bottom"/>
          </w:tcPr>
          <w:p>
            <w:pPr>
              <w:spacing w:after="0"/>
              <w:rPr>
                <w:sz w:val="22"/>
                <w:szCs w:val="22"/>
                <w:color w:val="auto"/>
              </w:rPr>
            </w:pPr>
          </w:p>
        </w:tc>
      </w:tr>
      <w:tr>
        <w:trPr>
          <w:trHeight w:val="270"/>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101.SCH</w:t>
            </w:r>
          </w:p>
        </w:tc>
        <w:tc>
          <w:tcPr>
            <w:tcW w:w="2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9"/>
              </w:rPr>
              <w:t>Inline XBRL Taxonomy Extension Schema Document.</w:t>
            </w:r>
          </w:p>
        </w:tc>
        <w:tc>
          <w:tcPr>
            <w:tcW w:w="7400" w:type="dxa"/>
            <w:vAlign w:val="bottom"/>
            <w:gridSpan w:val="5"/>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101.CAL</w:t>
            </w:r>
          </w:p>
        </w:tc>
        <w:tc>
          <w:tcPr>
            <w:tcW w:w="1008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270"/>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101.DEF</w:t>
            </w:r>
          </w:p>
        </w:tc>
        <w:tc>
          <w:tcPr>
            <w:tcW w:w="326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2"/>
                <w:szCs w:val="12"/>
                <w:color w:val="auto"/>
                <w:w w:val="99"/>
              </w:rPr>
              <w:t>Inline XBRL Taxonomy Extension Definition Linkbase Document.</w:t>
            </w:r>
          </w:p>
        </w:tc>
        <w:tc>
          <w:tcPr>
            <w:tcW w:w="100" w:type="dxa"/>
            <w:vAlign w:val="bottom"/>
            <w:tcBorders>
              <w:top w:val="single" w:sz="8" w:color="auto"/>
            </w:tcBorders>
          </w:tcPr>
          <w:p>
            <w:pPr>
              <w:spacing w:after="0"/>
              <w:rPr>
                <w:sz w:val="23"/>
                <w:szCs w:val="23"/>
                <w:color w:val="auto"/>
              </w:rPr>
            </w:pPr>
          </w:p>
        </w:tc>
        <w:tc>
          <w:tcPr>
            <w:tcW w:w="6720" w:type="dxa"/>
            <w:vAlign w:val="bottom"/>
            <w:gridSpan w:val="2"/>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101.LAB</w:t>
            </w:r>
          </w:p>
        </w:tc>
        <w:tc>
          <w:tcPr>
            <w:tcW w:w="3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w w:val="99"/>
              </w:rPr>
              <w:t>Inline XBRL Taxonomy Extension Label Linkbase Document.</w:t>
            </w:r>
          </w:p>
        </w:tc>
        <w:tc>
          <w:tcPr>
            <w:tcW w:w="7040" w:type="dxa"/>
            <w:vAlign w:val="bottom"/>
            <w:gridSpan w:val="4"/>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101.PRE</w:t>
            </w:r>
          </w:p>
        </w:tc>
        <w:tc>
          <w:tcPr>
            <w:tcW w:w="1008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50" w:lineRule="exact"/>
        <w:rPr>
          <w:sz w:val="20"/>
          <w:szCs w:val="20"/>
          <w:color w:val="auto"/>
        </w:rPr>
      </w:pPr>
    </w:p>
    <w:p>
      <w:pPr>
        <w:ind w:left="1100" w:hanging="1035"/>
        <w:spacing w:after="0"/>
        <w:tabs>
          <w:tab w:leader="none" w:pos="11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Cover Page Interactive Data File – The cover page interactive data file does not appear in the interactive data file because its XBRL tags are embedded within the Inline XBRL document.</w:t>
      </w:r>
    </w:p>
    <w:p>
      <w:pPr>
        <w:spacing w:after="0" w:line="296"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740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180"/>
          </w:cols>
          <w:pgMar w:left="300" w:top="433" w:right="4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8"/>
        </w:trPr>
        <w:tc>
          <w:tcPr>
            <w:tcW w:w="3260" w:type="dxa"/>
            <w:vAlign w:val="bottom"/>
          </w:tcPr>
          <w:p>
            <w:pPr>
              <w:spacing w:after="0"/>
              <w:rPr>
                <w:sz w:val="13"/>
                <w:szCs w:val="13"/>
                <w:color w:val="auto"/>
              </w:rPr>
            </w:pPr>
          </w:p>
        </w:tc>
        <w:tc>
          <w:tcPr>
            <w:tcW w:w="8040" w:type="dxa"/>
            <w:vAlign w:val="bottom"/>
            <w:gridSpan w:val="2"/>
          </w:tcPr>
          <w:p>
            <w:pPr>
              <w:ind w:left="2020"/>
              <w:spacing w:after="0"/>
              <w:rPr>
                <w:sz w:val="20"/>
                <w:szCs w:val="20"/>
                <w:color w:val="auto"/>
              </w:rPr>
            </w:pPr>
            <w:r>
              <w:rPr>
                <w:rFonts w:ascii="Times New Roman" w:cs="Times New Roman" w:eastAsia="Times New Roman" w:hAnsi="Times New Roman"/>
                <w:sz w:val="12"/>
                <w:szCs w:val="12"/>
                <w:color w:val="auto"/>
              </w:rPr>
              <w:t>SIGNATURES</w:t>
            </w:r>
          </w:p>
        </w:tc>
      </w:tr>
      <w:tr>
        <w:trPr>
          <w:trHeight w:val="290"/>
        </w:trPr>
        <w:tc>
          <w:tcPr>
            <w:tcW w:w="1130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tc>
      </w:tr>
      <w:tr>
        <w:trPr>
          <w:trHeight w:val="308"/>
        </w:trPr>
        <w:tc>
          <w:tcPr>
            <w:tcW w:w="3260" w:type="dxa"/>
            <w:vAlign w:val="bottom"/>
          </w:tcPr>
          <w:p>
            <w:pPr>
              <w:spacing w:after="0"/>
              <w:rPr>
                <w:sz w:val="24"/>
                <w:szCs w:val="24"/>
                <w:color w:val="auto"/>
              </w:rPr>
            </w:pPr>
          </w:p>
        </w:tc>
        <w:tc>
          <w:tcPr>
            <w:tcW w:w="8040" w:type="dxa"/>
            <w:vAlign w:val="bottom"/>
            <w:gridSpan w:val="2"/>
          </w:tcPr>
          <w:p>
            <w:pPr>
              <w:ind w:left="3200"/>
              <w:spacing w:after="0"/>
              <w:rPr>
                <w:sz w:val="20"/>
                <w:szCs w:val="20"/>
                <w:color w:val="auto"/>
              </w:rPr>
            </w:pPr>
            <w:r>
              <w:rPr>
                <w:rFonts w:ascii="Times New Roman" w:cs="Times New Roman" w:eastAsia="Times New Roman" w:hAnsi="Times New Roman"/>
                <w:sz w:val="12"/>
                <w:szCs w:val="12"/>
                <w:color w:val="auto"/>
              </w:rPr>
              <w:t>DESTINATION XL GROUP, INC.</w:t>
            </w:r>
          </w:p>
        </w:tc>
      </w:tr>
      <w:tr>
        <w:trPr>
          <w:trHeight w:val="308"/>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20, 2020</w:t>
            </w:r>
          </w:p>
        </w:tc>
        <w:tc>
          <w:tcPr>
            <w:tcW w:w="8040" w:type="dxa"/>
            <w:vAlign w:val="bottom"/>
            <w:gridSpan w:val="2"/>
          </w:tcPr>
          <w:p>
            <w:pPr>
              <w:ind w:left="3200"/>
              <w:spacing w:after="0"/>
              <w:rPr>
                <w:sz w:val="20"/>
                <w:szCs w:val="20"/>
                <w:color w:val="auto"/>
              </w:rPr>
            </w:pPr>
            <w:r>
              <w:rPr>
                <w:rFonts w:ascii="Times New Roman" w:cs="Times New Roman" w:eastAsia="Times New Roman" w:hAnsi="Times New Roman"/>
                <w:sz w:val="12"/>
                <w:szCs w:val="12"/>
                <w:color w:val="auto"/>
              </w:rPr>
              <w:t>By:  /S/ John F. Cooney</w:t>
            </w:r>
          </w:p>
        </w:tc>
      </w:tr>
      <w:tr>
        <w:trPr>
          <w:trHeight w:val="121"/>
        </w:trPr>
        <w:tc>
          <w:tcPr>
            <w:tcW w:w="32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456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John F. Cooney</w:t>
            </w:r>
          </w:p>
        </w:tc>
      </w:tr>
      <w:tr>
        <w:trPr>
          <w:trHeight w:val="145"/>
        </w:trPr>
        <w:tc>
          <w:tcPr>
            <w:tcW w:w="32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 Managing Director, Chief Accounting Officer and Corporate Controller (Duly</w:t>
            </w:r>
          </w:p>
        </w:tc>
      </w:tr>
      <w:tr>
        <w:trPr>
          <w:trHeight w:val="158"/>
        </w:trPr>
        <w:tc>
          <w:tcPr>
            <w:tcW w:w="32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Authorized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1300"/>
          </w:cols>
          <w:pgMar w:left="300" w:top="272" w:right="2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4"/>
          <w:szCs w:val="14"/>
          <w:color w:val="auto"/>
        </w:rPr>
        <w:t>Exhibit 10.1</w:t>
      </w:r>
    </w:p>
    <w:p>
      <w:pPr>
        <w:spacing w:after="0" w:line="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u w:val="single" w:color="auto"/>
          <w:color w:val="auto"/>
        </w:rPr>
        <w:t>DESTINATION XL GROUP, INC.</w:t>
      </w:r>
    </w:p>
    <w:p>
      <w:pPr>
        <w:spacing w:after="0" w:line="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u w:val="single" w:color="auto"/>
          <w:color w:val="auto"/>
        </w:rPr>
        <w:t>FIFTH AMENDED AND RESTATED</w:t>
      </w:r>
    </w:p>
    <w:p>
      <w:pPr>
        <w:spacing w:after="0" w:line="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u w:val="single" w:color="auto"/>
          <w:color w:val="auto"/>
        </w:rPr>
        <w:t>NON-EMPLOYEE DIRECTOR COMPENSATION PLAN</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Section 1. Establishment and Purpose</w:t>
      </w:r>
    </w:p>
    <w:p>
      <w:pPr>
        <w:spacing w:after="0" w:line="147"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4"/>
          <w:szCs w:val="14"/>
          <w:color w:val="auto"/>
        </w:rPr>
        <w:t>Destination XL Group, Inc. (the “Company”) hereby amends and restates the Destination XL Group, Inc. Fourth Amended and Restated Non-Employee Director Compensation Plan (as amended, the “Plan”), for the purpose of supporting the Company’s ongoing efforts to attract and retain exceptional directors to provide strategic guidance to the Company. The Plan also provides a convenient method by which non-employee directors of the Company may acquire shares of Common Stock of the Company (“Shares”) at fair market value by voluntarily electing to receive Shares in lieu of fees otherwise payable to them in cash for service as a director or member of a committee of the Board of Directors of the Company (the “Board”). Any Shares acquired by a Participant pursuant to this Plan shall come out of the pool of Shares reserved for issuance under Section 4 of this Plan, subject to adjustment as the Board may from time to time determine. The Participants are encouraged, but are not required, to select Shares for at least 50% of his/her compensation. The Plan shall be effective as of November 6, 2020. Elections for fiscal 2021 and thereafter must be submitted to the Company in accordance with Section 3(c) no later than December 31 of the year preceding the fiscal year for which the election is to be effective.</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Section 2. Definitions</w:t>
      </w:r>
    </w:p>
    <w:p>
      <w:pPr>
        <w:spacing w:after="0" w:line="147"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4"/>
          <w:szCs w:val="14"/>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w:t>
      </w:r>
    </w:p>
    <w:p>
      <w:pPr>
        <w:spacing w:after="0" w:line="90" w:lineRule="exact"/>
        <w:rPr>
          <w:sz w:val="20"/>
          <w:szCs w:val="20"/>
          <w:color w:val="auto"/>
        </w:rPr>
      </w:pPr>
    </w:p>
    <w:p>
      <w:pPr>
        <w:ind w:left="1068" w:right="20" w:hanging="1068"/>
        <w:spacing w:after="0" w:line="251" w:lineRule="auto"/>
        <w:tabs>
          <w:tab w:leader="none" w:pos="106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Chair/Lead Director</w:t>
      </w:r>
      <w:r>
        <w:rPr>
          <w:rFonts w:ascii="Times New Roman" w:cs="Times New Roman" w:eastAsia="Times New Roman" w:hAnsi="Times New Roman"/>
          <w:sz w:val="14"/>
          <w:szCs w:val="14"/>
          <w:color w:val="auto"/>
        </w:rPr>
        <w:t>” means an independent director whose responsibilities, if the Board Chair, shall be as set forth for the Chairman of the Board in the Company’s By-laws, and, if the Lead Director, shall include the following and any other responsibilities determined by the Board: (i) presiding at all meetings of the Board at which the Chairman is not present, including executive sessions of the independent directors; (ii) serving as liaison between the Chairman and the independent directors; (iii) reviewing and approving materials to be sent to the Board; (iv) approving the meeting agendas for the Board; (v) approving meeting schedules to assure that there is sufficient time for discussion of all agenda items; (vi) having the authority to call meetings of the independent directors; and (vii) if requested by major shareholders, ensuring that he or she is available for consultation and direct communication.</w:t>
      </w:r>
    </w:p>
    <w:p>
      <w:pPr>
        <w:spacing w:after="0" w:line="1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88835"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34" w:name="page35"/>
    <w:bookmarkEnd w:id="34"/>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w:t>
      </w:r>
      <w:r>
        <w:rPr>
          <w:rFonts w:ascii="Times New Roman" w:cs="Times New Roman" w:eastAsia="Times New Roman" w:hAnsi="Times New Roman"/>
          <w:sz w:val="14"/>
          <w:szCs w:val="14"/>
          <w:color w:val="auto"/>
        </w:rPr>
        <w:t>” means U.S. dollars.</w:t>
      </w:r>
    </w:p>
    <w:p>
      <w:pPr>
        <w:spacing w:after="0" w:line="146"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United States Securities and Exchange Commission or any successor agency.</w:t>
      </w:r>
    </w:p>
    <w:p>
      <w:pPr>
        <w:spacing w:after="0" w:line="146"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means the common stock of the Company, par value $.01 per share.</w:t>
      </w:r>
    </w:p>
    <w:p>
      <w:pPr>
        <w:spacing w:after="0" w:line="146"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Compensation</w:t>
      </w:r>
      <w:r>
        <w:rPr>
          <w:rFonts w:ascii="Times New Roman" w:cs="Times New Roman" w:eastAsia="Times New Roman" w:hAnsi="Times New Roman"/>
          <w:sz w:val="14"/>
          <w:szCs w:val="14"/>
          <w:color w:val="auto"/>
        </w:rPr>
        <w:t>” means an award under the Plan that is payable in the form of Cash and/or Shares pursuant to the terms and conditions set forth in this Plan.</w:t>
      </w:r>
    </w:p>
    <w:p>
      <w:pPr>
        <w:spacing w:after="0" w:line="146"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Compensation Payment Choice</w:t>
      </w:r>
      <w:r>
        <w:rPr>
          <w:rFonts w:ascii="Times New Roman" w:cs="Times New Roman" w:eastAsia="Times New Roman" w:hAnsi="Times New Roman"/>
          <w:sz w:val="14"/>
          <w:szCs w:val="14"/>
          <w:color w:val="auto"/>
        </w:rPr>
        <w:t>” means the form of payment of Compensation that a Participant selects in accordance with the terms hereof.</w:t>
      </w:r>
    </w:p>
    <w:p>
      <w:pPr>
        <w:spacing w:after="0" w:line="146"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from time to time, including rules thereunder and successor provisions and rules thereto.</w:t>
      </w:r>
    </w:p>
    <w:p>
      <w:pPr>
        <w:spacing w:after="0" w:line="146" w:lineRule="exact"/>
        <w:rPr>
          <w:rFonts w:ascii="Times New Roman" w:cs="Times New Roman" w:eastAsia="Times New Roman" w:hAnsi="Times New Roman"/>
          <w:sz w:val="14"/>
          <w:szCs w:val="14"/>
          <w:color w:val="auto"/>
        </w:rPr>
      </w:pPr>
    </w:p>
    <w:p>
      <w:pPr>
        <w:ind w:left="1068" w:right="20" w:hanging="1068"/>
        <w:spacing w:after="0" w:line="284" w:lineRule="auto"/>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Grant Date</w:t>
      </w:r>
      <w:r>
        <w:rPr>
          <w:rFonts w:ascii="Times New Roman" w:cs="Times New Roman" w:eastAsia="Times New Roman" w:hAnsi="Times New Roman"/>
          <w:sz w:val="14"/>
          <w:szCs w:val="14"/>
          <w:color w:val="auto"/>
        </w:rPr>
        <w:t>” means the following: each quarterly retainer, Board Chair/Lead Director and committee chairperson fees payable pursuant to Sections 3(a)(i)-(iv) hereof shall be paid on, and the Grant Dates shall be, the first business day of each quarter in each fiscal year.</w:t>
      </w:r>
    </w:p>
    <w:p>
      <w:pPr>
        <w:spacing w:after="0" w:line="89" w:lineRule="exact"/>
        <w:rPr>
          <w:rFonts w:ascii="Times New Roman" w:cs="Times New Roman" w:eastAsia="Times New Roman" w:hAnsi="Times New Roman"/>
          <w:sz w:val="14"/>
          <w:szCs w:val="14"/>
          <w:color w:val="auto"/>
        </w:rPr>
      </w:pPr>
    </w:p>
    <w:p>
      <w:pPr>
        <w:ind w:left="1068" w:right="140" w:hanging="1068"/>
        <w:spacing w:after="0" w:line="284" w:lineRule="auto"/>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 Compensation Plan</w:t>
      </w:r>
      <w:r>
        <w:rPr>
          <w:rFonts w:ascii="Times New Roman" w:cs="Times New Roman" w:eastAsia="Times New Roman" w:hAnsi="Times New Roman"/>
          <w:sz w:val="14"/>
          <w:szCs w:val="14"/>
          <w:color w:val="auto"/>
        </w:rPr>
        <w:t>” means the Company’s 2016 Incentive Compensation Plan, as amended from time to time, or any shareholder-approved successor plan to the Company’s 2016 Incentive Compensation Plan.</w:t>
      </w:r>
    </w:p>
    <w:p>
      <w:pPr>
        <w:spacing w:after="0" w:line="89" w:lineRule="exact"/>
        <w:rPr>
          <w:rFonts w:ascii="Times New Roman" w:cs="Times New Roman" w:eastAsia="Times New Roman" w:hAnsi="Times New Roman"/>
          <w:sz w:val="14"/>
          <w:szCs w:val="14"/>
          <w:color w:val="auto"/>
        </w:rPr>
      </w:pPr>
    </w:p>
    <w:p>
      <w:pPr>
        <w:ind w:left="1068" w:hanging="1068"/>
        <w:spacing w:after="0" w:line="284" w:lineRule="auto"/>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Irrevocable Election Agreement</w:t>
      </w:r>
      <w:r>
        <w:rPr>
          <w:rFonts w:ascii="Times New Roman" w:cs="Times New Roman" w:eastAsia="Times New Roman" w:hAnsi="Times New Roman"/>
          <w:sz w:val="14"/>
          <w:szCs w:val="14"/>
          <w:color w:val="auto"/>
        </w:rPr>
        <w:t xml:space="preserve">” means the written agreement,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between the Company and a Participant, which, together with the Plan, governs the Participant’s rights to payment of Compensation under the Plan.</w:t>
      </w:r>
    </w:p>
    <w:p>
      <w:pPr>
        <w:spacing w:after="0" w:line="89"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means The NASDAQ Stock Market, Inc., or other quotation system or exchange on which the Common Stock may be traded.</w:t>
      </w:r>
    </w:p>
    <w:p>
      <w:pPr>
        <w:spacing w:after="0" w:line="146"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Non-Employee Director</w:t>
      </w:r>
      <w:r>
        <w:rPr>
          <w:rFonts w:ascii="Times New Roman" w:cs="Times New Roman" w:eastAsia="Times New Roman" w:hAnsi="Times New Roman"/>
          <w:sz w:val="14"/>
          <w:szCs w:val="14"/>
          <w:color w:val="auto"/>
        </w:rPr>
        <w:t>” means a Director who satisfies the requirements set forth in Rule 16b-3(b)(3)(i) under the Exchange Act.</w:t>
      </w:r>
    </w:p>
    <w:p>
      <w:pPr>
        <w:spacing w:after="0" w:line="146"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a Non-Employee Director of the Company.</w:t>
      </w:r>
    </w:p>
    <w:p>
      <w:pPr>
        <w:spacing w:after="0" w:line="292"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88835"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08"/>
          </w:cols>
          <w:pgMar w:left="292" w:top="266" w:right="399" w:bottom="1440" w:gutter="0" w:footer="0" w:header="0"/>
        </w:sectPr>
      </w:pPr>
    </w:p>
    <w:bookmarkStart w:id="35" w:name="page36"/>
    <w:bookmarkEnd w:id="35"/>
    <w:p>
      <w:pPr>
        <w:ind w:left="1068" w:hanging="1068"/>
        <w:spacing w:after="0"/>
        <w:tabs>
          <w:tab w:leader="none" w:pos="106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means this Destination XL Group, Inc. Fifth Amended and Restated Non-Employee Director Compensation Plan, as amended from time to time.</w:t>
      </w:r>
    </w:p>
    <w:p>
      <w:pPr>
        <w:spacing w:after="0" w:line="146" w:lineRule="exact"/>
        <w:rPr>
          <w:rFonts w:ascii="Times New Roman" w:cs="Times New Roman" w:eastAsia="Times New Roman" w:hAnsi="Times New Roman"/>
          <w:sz w:val="14"/>
          <w:szCs w:val="14"/>
          <w:color w:val="auto"/>
        </w:rPr>
      </w:pPr>
    </w:p>
    <w:p>
      <w:pPr>
        <w:ind w:left="1068" w:hanging="1068"/>
        <w:spacing w:after="0" w:line="284" w:lineRule="auto"/>
        <w:tabs>
          <w:tab w:leader="none" w:pos="106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 from Service</w:t>
      </w:r>
      <w:r>
        <w:rPr>
          <w:rFonts w:ascii="Times New Roman" w:cs="Times New Roman" w:eastAsia="Times New Roman" w:hAnsi="Times New Roman"/>
          <w:sz w:val="14"/>
          <w:szCs w:val="14"/>
          <w:color w:val="auto"/>
        </w:rPr>
        <w:t>” means the earliest date on which a Participant has incurred a separation from service, within the meaning of Section 409A(a)(2) of the Code, with the Service Recipient.</w:t>
      </w:r>
    </w:p>
    <w:p>
      <w:pPr>
        <w:spacing w:after="0" w:line="89" w:lineRule="exact"/>
        <w:rPr>
          <w:rFonts w:ascii="Times New Roman" w:cs="Times New Roman" w:eastAsia="Times New Roman" w:hAnsi="Times New Roman"/>
          <w:sz w:val="14"/>
          <w:szCs w:val="14"/>
          <w:color w:val="auto"/>
        </w:rPr>
      </w:pPr>
    </w:p>
    <w:p>
      <w:pPr>
        <w:ind w:left="1068" w:right="40" w:hanging="1068"/>
        <w:spacing w:after="0" w:line="264" w:lineRule="auto"/>
        <w:tabs>
          <w:tab w:leader="none" w:pos="106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 Recipient</w:t>
      </w:r>
      <w:r>
        <w:rPr>
          <w:rFonts w:ascii="Times New Roman" w:cs="Times New Roman" w:eastAsia="Times New Roman" w:hAnsi="Times New Roman"/>
          <w:sz w:val="14"/>
          <w:szCs w:val="14"/>
          <w:color w:val="auto"/>
        </w:rPr>
        <w:t>” 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spacing w:after="0" w:line="102" w:lineRule="exact"/>
        <w:rPr>
          <w:rFonts w:ascii="Times New Roman" w:cs="Times New Roman" w:eastAsia="Times New Roman" w:hAnsi="Times New Roman"/>
          <w:sz w:val="14"/>
          <w:szCs w:val="14"/>
          <w:color w:val="auto"/>
        </w:rPr>
      </w:pPr>
    </w:p>
    <w:p>
      <w:pPr>
        <w:ind w:left="1068" w:hanging="1068"/>
        <w:spacing w:after="0"/>
        <w:tabs>
          <w:tab w:leader="none" w:pos="106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Regulations</w:t>
      </w:r>
      <w:r>
        <w:rPr>
          <w:rFonts w:ascii="Times New Roman" w:cs="Times New Roman" w:eastAsia="Times New Roman" w:hAnsi="Times New Roman"/>
          <w:sz w:val="14"/>
          <w:szCs w:val="14"/>
          <w:color w:val="auto"/>
        </w:rPr>
        <w:t>” means the regulations promulgated by the United States Treasury Department with respect to the Code, as amended from time to time.</w:t>
      </w:r>
    </w:p>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Section 3. Compensation; Irrevocable Election; Holding Requirement; Valuation.</w:t>
      </w:r>
    </w:p>
    <w:p>
      <w:pPr>
        <w:spacing w:after="0" w:line="147" w:lineRule="exact"/>
        <w:rPr>
          <w:sz w:val="20"/>
          <w:szCs w:val="20"/>
          <w:color w:val="auto"/>
        </w:rPr>
      </w:pPr>
    </w:p>
    <w:p>
      <w:pPr>
        <w:ind w:left="1068" w:hanging="1068"/>
        <w:spacing w:after="0"/>
        <w:tabs>
          <w:tab w:leader="none" w:pos="106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paid to the Participants shall be as follows:</w:t>
      </w:r>
    </w:p>
    <w:p>
      <w:pPr>
        <w:spacing w:after="0" w:line="146" w:lineRule="exact"/>
        <w:rPr>
          <w:rFonts w:ascii="Times New Roman" w:cs="Times New Roman" w:eastAsia="Times New Roman" w:hAnsi="Times New Roman"/>
          <w:sz w:val="14"/>
          <w:szCs w:val="14"/>
          <w:color w:val="auto"/>
        </w:rPr>
      </w:pPr>
    </w:p>
    <w:p>
      <w:pPr>
        <w:ind w:left="2148" w:hanging="671"/>
        <w:spacing w:after="0"/>
        <w:tabs>
          <w:tab w:leader="none" w:pos="214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retainer equal to $30,000 per fiscal quarter;</w:t>
      </w:r>
    </w:p>
    <w:p>
      <w:pPr>
        <w:spacing w:after="0" w:line="18" w:lineRule="exact"/>
        <w:rPr>
          <w:rFonts w:ascii="Times New Roman" w:cs="Times New Roman" w:eastAsia="Times New Roman" w:hAnsi="Times New Roman"/>
          <w:sz w:val="14"/>
          <w:szCs w:val="14"/>
          <w:color w:val="auto"/>
        </w:rPr>
      </w:pPr>
    </w:p>
    <w:p>
      <w:pPr>
        <w:ind w:left="2148" w:hanging="671"/>
        <w:spacing w:after="0"/>
        <w:tabs>
          <w:tab w:leader="none" w:pos="214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Board Chair/Lead Director, a fee equal to $5,000 per fiscal quarter;</w:t>
      </w:r>
    </w:p>
    <w:p>
      <w:pPr>
        <w:spacing w:after="0" w:line="2" w:lineRule="exact"/>
        <w:rPr>
          <w:rFonts w:ascii="Times New Roman" w:cs="Times New Roman" w:eastAsia="Times New Roman" w:hAnsi="Times New Roman"/>
          <w:sz w:val="14"/>
          <w:szCs w:val="14"/>
          <w:color w:val="auto"/>
        </w:rPr>
      </w:pPr>
    </w:p>
    <w:p>
      <w:pPr>
        <w:ind w:left="2148" w:hanging="671"/>
        <w:spacing w:after="0"/>
        <w:tabs>
          <w:tab w:leader="none" w:pos="214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chairperson of the Company’s audit committee, a fee equal to $2,500 per fiscal quarter;</w:t>
      </w:r>
    </w:p>
    <w:p>
      <w:pPr>
        <w:spacing w:after="0" w:line="2" w:lineRule="exact"/>
        <w:rPr>
          <w:rFonts w:ascii="Times New Roman" w:cs="Times New Roman" w:eastAsia="Times New Roman" w:hAnsi="Times New Roman"/>
          <w:sz w:val="14"/>
          <w:szCs w:val="14"/>
          <w:color w:val="auto"/>
        </w:rPr>
      </w:pPr>
    </w:p>
    <w:p>
      <w:pPr>
        <w:ind w:left="2148" w:hanging="671"/>
        <w:spacing w:after="0"/>
        <w:tabs>
          <w:tab w:leader="none" w:pos="214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chairperson of any of the Company’s other committees, a fee equal to $1,250 per fiscal quarter.</w:t>
      </w:r>
    </w:p>
    <w:p>
      <w:pPr>
        <w:spacing w:after="0" w:line="131" w:lineRule="exact"/>
        <w:rPr>
          <w:sz w:val="20"/>
          <w:szCs w:val="20"/>
          <w:color w:val="auto"/>
        </w:rPr>
      </w:pPr>
    </w:p>
    <w:p>
      <w:pPr>
        <w:ind w:left="1068" w:right="40"/>
        <w:spacing w:after="0" w:line="251" w:lineRule="auto"/>
        <w:rPr>
          <w:sz w:val="20"/>
          <w:szCs w:val="20"/>
          <w:color w:val="auto"/>
        </w:rPr>
      </w:pPr>
      <w:r>
        <w:rPr>
          <w:rFonts w:ascii="Times New Roman" w:cs="Times New Roman" w:eastAsia="Times New Roman" w:hAnsi="Times New Roman"/>
          <w:sz w:val="14"/>
          <w:szCs w:val="14"/>
          <w:color w:val="212121"/>
        </w:rPr>
        <w:t>The annual retainer, Board Chair/Lead Director and respective chairperson fees described above in Sections 3 (a)(i)-(iv), shall be earned on a quarterly basis based on the Company’s fiscal year and shall be payable by the Company on the first business day in each quarter in each fiscal year. In the event that, following the Grant Date, a Participant is initially elected or appointed to the Board on any date other than the first business day in each fiscal quarter (the Participant’s “Start Date)”, such Participant shall receive, on or as soon as practicable following such Start Date, a prorated portion of the retainer, Board Chair/Lead Director and chairperson fees, if applicable, otherwise payable to such Participant, with such prorated portion determined by multiplying the retainer, Board Chair/Lead Director and any applicable chairperson fees by a fraction, the numerator of which is the number of days remaining from the Start</w:t>
      </w:r>
    </w:p>
    <w:p>
      <w:pPr>
        <w:spacing w:after="0" w:line="1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8883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36" w:name="page37"/>
    <w:bookmarkEnd w:id="36"/>
    <w:p>
      <w:pPr>
        <w:ind w:left="1068" w:right="40"/>
        <w:spacing w:after="0" w:line="256" w:lineRule="auto"/>
        <w:rPr>
          <w:sz w:val="20"/>
          <w:szCs w:val="20"/>
          <w:color w:val="auto"/>
        </w:rPr>
      </w:pPr>
      <w:r>
        <w:rPr>
          <w:rFonts w:ascii="Times New Roman" w:cs="Times New Roman" w:eastAsia="Times New Roman" w:hAnsi="Times New Roman"/>
          <w:sz w:val="14"/>
          <w:szCs w:val="14"/>
          <w:color w:val="212121"/>
        </w:rPr>
        <w:t>Date until the end of the applicable fiscal quarter and the denominator of which is the number of days in the applicable fiscal quarter. If a Participant notifies the Company that he/she will not stand for re-election at the Company’s Annual Meeting of Stockholders (the “Annual Meeting”), but will serve as a Participant up until the date of the Annual Meeting, Participant will receive a pro-rated portion of his/her next quarterly retainer, Board Chair/Lead Director and chairperson fees, as applicable, calculated from the first day of the quarter in which the Annual Meeting occurs until the date of the Annual Meeting, payable in cash.</w:t>
      </w:r>
    </w:p>
    <w:p>
      <w:pPr>
        <w:spacing w:after="0" w:line="110" w:lineRule="exact"/>
        <w:rPr>
          <w:sz w:val="20"/>
          <w:szCs w:val="20"/>
          <w:color w:val="auto"/>
        </w:rPr>
      </w:pPr>
    </w:p>
    <w:p>
      <w:pPr>
        <w:jc w:val="both"/>
        <w:ind w:left="1068" w:hanging="1068"/>
        <w:spacing w:after="0" w:line="251" w:lineRule="auto"/>
        <w:tabs>
          <w:tab w:leader="none" w:pos="106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will have the right to elect payments of the values set forth above in any combination of Cash or Shares. Subject to the terms hereof, Compensation shall be paid on the applicable Grant Date Compensation paid in the form of Shares shall be made pursuant to this Plan, and can only be made in such form if there is a sufficient number of shares of Common Stock available under this Plan. Under Section 4 of this Plan, there is a maximum number of 250,000 Shares that may be granted each quarter. In the event that the Company does not have a sufficient number of shares of Common Stock due to this limit or if there is insufficient Shares remaining under this Plan to satisfy elections to receive Shares, the payments will be made in Cash to the extent of such insufficiency (Participants making similar elections will be allocated the remaining equity ratably in proportion to the respective equity amounts which would otherwise be payable to them absent such insufficiency).</w:t>
      </w:r>
    </w:p>
    <w:p>
      <w:pPr>
        <w:spacing w:after="0" w:line="112" w:lineRule="exact"/>
        <w:rPr>
          <w:rFonts w:ascii="Times New Roman" w:cs="Times New Roman" w:eastAsia="Times New Roman" w:hAnsi="Times New Roman"/>
          <w:sz w:val="14"/>
          <w:szCs w:val="14"/>
          <w:color w:val="auto"/>
        </w:rPr>
      </w:pPr>
    </w:p>
    <w:p>
      <w:pPr>
        <w:jc w:val="both"/>
        <w:ind w:left="1068" w:hanging="1068"/>
        <w:spacing w:after="0" w:line="257" w:lineRule="auto"/>
        <w:tabs>
          <w:tab w:leader="none" w:pos="106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elections by the Participants must be made in writing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and submitted to the General Counsel of the Company (or such other person as the Committee shall designate) no later than December 31</w:t>
      </w:r>
      <w:r>
        <w:rPr>
          <w:rFonts w:ascii="Times New Roman" w:cs="Times New Roman" w:eastAsia="Times New Roman" w:hAnsi="Times New Roman"/>
          <w:sz w:val="12"/>
          <w:szCs w:val="12"/>
          <w:color w:val="auto"/>
        </w:rPr>
        <w:t>st</w:t>
      </w:r>
      <w:r>
        <w:rPr>
          <w:rFonts w:ascii="Times New Roman" w:cs="Times New Roman" w:eastAsia="Times New Roman" w:hAnsi="Times New Roman"/>
          <w:sz w:val="14"/>
          <w:szCs w:val="14"/>
          <w:color w:val="auto"/>
        </w:rPr>
        <w:t xml:space="preserve"> of the year preceding the fiscal year for which the election is to be effective. All elections once submitted, are irrevocable for that fiscal year. In the event a timely election is not made or a person does not become a Participant until after the deadline for the election to be made or who becomes a Participant during a fiscal year, the payments will be made in cash until such election is made the following year.</w:t>
      </w:r>
    </w:p>
    <w:p>
      <w:pPr>
        <w:spacing w:after="0" w:line="107" w:lineRule="exact"/>
        <w:rPr>
          <w:rFonts w:ascii="Times New Roman" w:cs="Times New Roman" w:eastAsia="Times New Roman" w:hAnsi="Times New Roman"/>
          <w:sz w:val="14"/>
          <w:szCs w:val="14"/>
          <w:color w:val="auto"/>
        </w:rPr>
      </w:pPr>
    </w:p>
    <w:p>
      <w:pPr>
        <w:ind w:left="1068" w:right="20" w:hanging="1068"/>
        <w:spacing w:after="0" w:line="284" w:lineRule="auto"/>
        <w:tabs>
          <w:tab w:leader="none" w:pos="106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Requirement to Hold Equity.</w:t>
      </w:r>
      <w:r>
        <w:rPr>
          <w:rFonts w:ascii="Times New Roman" w:cs="Times New Roman" w:eastAsia="Times New Roman" w:hAnsi="Times New Roman"/>
          <w:sz w:val="14"/>
          <w:szCs w:val="14"/>
          <w:color w:val="auto"/>
        </w:rPr>
        <w:t xml:space="preserve"> Each Participant is required to hold any form of equity paid to the Participant pursuant to this Plan until a Participant’s Separation from Service, unless the Board, in its sole discretion, permits a sale of equity prior to a Participant’s Separation from Service.</w:t>
      </w:r>
    </w:p>
    <w:p>
      <w:pPr>
        <w:spacing w:after="0" w:line="89" w:lineRule="exact"/>
        <w:rPr>
          <w:rFonts w:ascii="Times New Roman" w:cs="Times New Roman" w:eastAsia="Times New Roman" w:hAnsi="Times New Roman"/>
          <w:sz w:val="14"/>
          <w:szCs w:val="14"/>
          <w:color w:val="auto"/>
        </w:rPr>
      </w:pPr>
    </w:p>
    <w:p>
      <w:pPr>
        <w:ind w:left="1068" w:hanging="1068"/>
        <w:spacing w:after="0" w:line="284" w:lineRule="auto"/>
        <w:tabs>
          <w:tab w:leader="none" w:pos="106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Valuation of Shares</w:t>
      </w:r>
      <w:r>
        <w:rPr>
          <w:rFonts w:ascii="Times New Roman" w:cs="Times New Roman" w:eastAsia="Times New Roman" w:hAnsi="Times New Roman"/>
          <w:sz w:val="14"/>
          <w:szCs w:val="14"/>
          <w:color w:val="auto"/>
        </w:rPr>
        <w:t>. For the purposes of determining the number of Shares to be issued to a Participant on a Grant Date, each Share shall be assigned a value equal to the closing sale price of a share of Common</w:t>
      </w:r>
    </w:p>
    <w:p>
      <w:pPr>
        <w:spacing w:after="0" w:line="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8883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37" w:name="page38"/>
    <w:bookmarkEnd w:id="37"/>
    <w:p>
      <w:pPr>
        <w:jc w:val="both"/>
        <w:ind w:left="1060"/>
        <w:spacing w:after="0" w:line="263" w:lineRule="auto"/>
        <w:rPr>
          <w:sz w:val="20"/>
          <w:szCs w:val="20"/>
          <w:color w:val="auto"/>
        </w:rPr>
      </w:pPr>
      <w:r>
        <w:rPr>
          <w:rFonts w:ascii="Times New Roman" w:cs="Times New Roman" w:eastAsia="Times New Roman" w:hAnsi="Times New Roman"/>
          <w:sz w:val="14"/>
          <w:szCs w:val="14"/>
          <w:color w:val="auto"/>
        </w:rPr>
        <w:t xml:space="preserve">Stock as reported by NASDAQ, or other quotation system or exchange on which the Common Stock may be traded, on the effective Grant Date. Any Shares granted pursuant to this Plan shall be fully vested on the Grant Date. Payouts of Shares under the Plan will be in the form of whole Shares only; the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balance of any foregone fees not payable in whole Shares will not be paid.</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4. Number of Shares Under the Plan</w:t>
      </w:r>
      <w:r>
        <w:rPr>
          <w:rFonts w:ascii="Times New Roman" w:cs="Times New Roman" w:eastAsia="Times New Roman" w:hAnsi="Times New Roman"/>
          <w:sz w:val="14"/>
          <w:szCs w:val="14"/>
          <w:color w:val="auto"/>
        </w:rPr>
        <w:t>. Subject to adjustment as the Board may from time to time determine, the total number of Shares reserved and available under the Plan with respect to elections to receive Shares in lieu of fees was initially 500,000, and shall be increased to 1,500,000, as adjusted for any stock dividends, combinations, splits, recapitalizations and the like with respect to the Common Stock. Further, beginning with the first quarter payment for fiscal 2021, the maximum number of Shares that can be granted each quarter is 250,000 Shares. As discussed above, if the aggregate number of Shares needed for the payment of Compensation to all Participants in a given quarter exceeds 250,000 Shares, the provision of Section 3(b) shall apply.</w:t>
      </w:r>
    </w:p>
    <w:p>
      <w:pPr>
        <w:spacing w:after="0" w:line="1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u w:val="single" w:color="auto"/>
          <w:color w:val="auto"/>
        </w:rPr>
        <w:t>Section 5. Additional Compensation</w:t>
      </w:r>
      <w:r>
        <w:rPr>
          <w:rFonts w:ascii="Times New Roman" w:cs="Times New Roman" w:eastAsia="Times New Roman" w:hAnsi="Times New Roman"/>
          <w:sz w:val="14"/>
          <w:szCs w:val="14"/>
          <w:color w:val="auto"/>
        </w:rPr>
        <w:t>. In the event of the creation of a special Board committee tasked with working on a significant corporate event (a “Special Committee”), the Board shall determine the amount, timing and form of payment of any additional compensation which it determines should be paid to the Participants serving on the Special Committee.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6. Amendment and Termination.</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7. Unfunded Obligation.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8883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8" w:name="page39"/>
    <w:bookmarkEnd w:id="38"/>
    <w:p>
      <w:pPr>
        <w:jc w:val="both"/>
        <w:ind w:right="20"/>
        <w:spacing w:after="0" w:line="263" w:lineRule="auto"/>
        <w:rPr>
          <w:sz w:val="20"/>
          <w:szCs w:val="20"/>
          <w:color w:val="auto"/>
        </w:rPr>
      </w:pPr>
      <w:r>
        <w:rPr>
          <w:rFonts w:ascii="Times New Roman" w:cs="Times New Roman" w:eastAsia="Times New Roman" w:hAnsi="Times New Roman"/>
          <w:sz w:val="14"/>
          <w:szCs w:val="14"/>
          <w:color w:val="auto"/>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 (regardless of the fact that payment hereunder is not being made under the Incentive Compensation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8. Withholding.</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9. Applicable Law.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Plan shall be construed and enforced in accordance with the laws of the State of Delaware, except to the extent superseded by federal law.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10. Administration and Interpretation.</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Plan will be administered by the Committee.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11. Code Section 409A.</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It is intended that the Compensation granted pursuant to this Plan be exempt from Section 409A of the Code (“Section 409A”) because it is believed the Compensation payable in cash and Shares should qualify for the short-term deferral exception contained in Treasury Regulation §1.409A-1(b)(4). The provisions of the Plan shall be interpreted in a manner consistent with the foregoing intentions.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8883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4"/>
          <w:szCs w:val="14"/>
          <w:color w:val="auto"/>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that the Committee determines that the Compensation is not so exempt, to amend the Plan (and any agreements relating to any Compensation) in such manner as the Committee determines shall deem necessary or appropriate to comply with the requirements of Section 409A.</w:t>
      </w:r>
    </w:p>
    <w:p>
      <w:pPr>
        <w:spacing w:after="0" w:line="1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THIS SPACE IS LEFT BLANK INTENTIONALLY</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88835"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DESTINATION XL GROUP,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FIFTH AMENDED AND RESTATED NON-EMPLOYEE DIRECTOR COMPENSATION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IRREVOCABLE ELECTION AGREEMENT</w:t>
      </w:r>
    </w:p>
    <w:p>
      <w:pPr>
        <w:spacing w:after="0" w:line="13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1"/>
          <w:szCs w:val="11"/>
          <w:color w:val="auto"/>
        </w:rPr>
        <w:t>TO:</w:t>
      </w:r>
      <w:r>
        <w:rPr>
          <w:sz w:val="20"/>
          <w:szCs w:val="20"/>
          <w:color w:val="auto"/>
        </w:rPr>
        <w:tab/>
      </w:r>
      <w:r>
        <w:rPr>
          <w:rFonts w:ascii="Times New Roman" w:cs="Times New Roman" w:eastAsia="Times New Roman" w:hAnsi="Times New Roman"/>
          <w:sz w:val="11"/>
          <w:szCs w:val="11"/>
          <w:color w:val="auto"/>
        </w:rPr>
        <w:t>General Counsel: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 _____________________________, hereby elect to receive my Destination XL Group, Inc. Non-Employee Director Compensation (as defined in the Destination XL Group, Inc. Fifth Amended and Restated Non-Employee Director Compensation Plan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“Plan”)) as follows:</w:t>
      </w:r>
    </w:p>
    <w:p>
      <w:pPr>
        <w:spacing w:after="0" w:line="129" w:lineRule="exact"/>
        <w:rPr>
          <w:sz w:val="20"/>
          <w:szCs w:val="20"/>
          <w:color w:val="auto"/>
        </w:rPr>
      </w:pPr>
    </w:p>
    <w:tbl>
      <w:tblPr>
        <w:tblLayout w:type="fixed"/>
        <w:tblInd w:w="130" w:type="dxa"/>
        <w:tblCellMar>
          <w:top w:w="0" w:type="dxa"/>
          <w:left w:w="0" w:type="dxa"/>
          <w:bottom w:w="0" w:type="dxa"/>
          <w:right w:w="0" w:type="dxa"/>
        </w:tblCellMar>
      </w:tblPr>
      <w:tr>
        <w:trPr>
          <w:trHeight w:val="270"/>
        </w:trPr>
        <w:tc>
          <w:tcPr>
            <w:tcW w:w="1060" w:type="dxa"/>
            <w:vAlign w:val="bottom"/>
            <w:tcBorders>
              <w:top w:val="single" w:sz="8" w:color="auto"/>
              <w:left w:val="single" w:sz="8" w:color="auto"/>
              <w:right w:val="single" w:sz="8" w:color="auto"/>
            </w:tcBorders>
          </w:tcPr>
          <w:p>
            <w:pPr>
              <w:spacing w:after="0"/>
              <w:rPr>
                <w:sz w:val="23"/>
                <w:szCs w:val="23"/>
                <w:color w:val="auto"/>
              </w:rPr>
            </w:pPr>
          </w:p>
        </w:tc>
        <w:tc>
          <w:tcPr>
            <w:tcW w:w="960" w:type="dxa"/>
            <w:vAlign w:val="bottom"/>
            <w:tcBorders>
              <w:top w:val="single" w:sz="8" w:color="auto"/>
              <w:right w:val="single" w:sz="8" w:color="auto"/>
            </w:tcBorders>
          </w:tcPr>
          <w:p>
            <w:pPr>
              <w:spacing w:after="0"/>
              <w:rPr>
                <w:sz w:val="23"/>
                <w:szCs w:val="23"/>
                <w:color w:val="auto"/>
              </w:rPr>
            </w:pPr>
          </w:p>
        </w:tc>
        <w:tc>
          <w:tcPr>
            <w:tcW w:w="800" w:type="dxa"/>
            <w:vAlign w:val="bottom"/>
            <w:tcBorders>
              <w:top w:val="single" w:sz="8" w:color="auto"/>
              <w:right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DXLG</w:t>
            </w:r>
          </w:p>
        </w:tc>
        <w:tc>
          <w:tcPr>
            <w:tcW w:w="9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COMPENSATION</w:t>
            </w:r>
          </w:p>
        </w:tc>
        <w:tc>
          <w:tcPr>
            <w:tcW w:w="960" w:type="dxa"/>
            <w:vAlign w:val="bottom"/>
            <w:tcBorders>
              <w:right w:val="single" w:sz="8" w:color="auto"/>
            </w:tcBorders>
            <w:vMerge w:val="restart"/>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Cash</w:t>
            </w:r>
          </w:p>
        </w:tc>
        <w:tc>
          <w:tcPr>
            <w:tcW w:w="800" w:type="dxa"/>
            <w:vAlign w:val="bottom"/>
            <w:tcBorders>
              <w:right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TOTAL</w:t>
            </w:r>
          </w:p>
        </w:tc>
        <w:tc>
          <w:tcPr>
            <w:tcW w:w="0" w:type="dxa"/>
            <w:vAlign w:val="bottom"/>
          </w:tcPr>
          <w:p>
            <w:pPr>
              <w:spacing w:after="0"/>
              <w:rPr>
                <w:sz w:val="1"/>
                <w:szCs w:val="1"/>
                <w:color w:val="auto"/>
              </w:rPr>
            </w:pPr>
          </w:p>
        </w:tc>
      </w:tr>
      <w:tr>
        <w:trPr>
          <w:trHeight w:val="133"/>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vMerge w:val="continue"/>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Retainer*</w:t>
            </w:r>
          </w:p>
        </w:tc>
        <w:tc>
          <w:tcPr>
            <w:tcW w:w="960" w:type="dxa"/>
            <w:vAlign w:val="bottom"/>
            <w:tcBorders>
              <w:right w:val="single" w:sz="8" w:color="auto"/>
            </w:tcBorders>
            <w:vMerge w:val="restart"/>
          </w:tcPr>
          <w:p>
            <w:pPr>
              <w:jc w:val="right"/>
              <w:ind w:right="446"/>
              <w:spacing w:after="0"/>
              <w:rPr>
                <w:sz w:val="20"/>
                <w:szCs w:val="20"/>
                <w:color w:val="auto"/>
              </w:rPr>
            </w:pPr>
            <w:r>
              <w:rPr>
                <w:rFonts w:ascii="Times New Roman" w:cs="Times New Roman" w:eastAsia="Times New Roman" w:hAnsi="Times New Roman"/>
                <w:sz w:val="11"/>
                <w:szCs w:val="11"/>
                <w:color w:val="auto"/>
                <w:w w:val="92"/>
              </w:rPr>
              <w:t>_______%</w:t>
            </w:r>
          </w:p>
        </w:tc>
        <w:tc>
          <w:tcPr>
            <w:tcW w:w="800" w:type="dxa"/>
            <w:vAlign w:val="bottom"/>
            <w:tcBorders>
              <w:right w:val="single" w:sz="8" w:color="auto"/>
            </w:tcBorders>
            <w:vMerge w:val="restart"/>
          </w:tcPr>
          <w:p>
            <w:pPr>
              <w:jc w:val="right"/>
              <w:ind w:right="346"/>
              <w:spacing w:after="0"/>
              <w:rPr>
                <w:sz w:val="20"/>
                <w:szCs w:val="20"/>
                <w:color w:val="auto"/>
              </w:rPr>
            </w:pPr>
            <w:r>
              <w:rPr>
                <w:rFonts w:ascii="Times New Roman" w:cs="Times New Roman" w:eastAsia="Times New Roman" w:hAnsi="Times New Roman"/>
                <w:sz w:val="11"/>
                <w:szCs w:val="11"/>
                <w:color w:val="auto"/>
                <w:w w:val="90"/>
              </w:rPr>
              <w:t>______%</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95"/>
        </w:trPr>
        <w:tc>
          <w:tcPr>
            <w:tcW w:w="106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Board Chair /</w:t>
            </w:r>
          </w:p>
        </w:tc>
        <w:tc>
          <w:tcPr>
            <w:tcW w:w="960" w:type="dxa"/>
            <w:vAlign w:val="bottom"/>
            <w:tcBorders>
              <w:right w:val="single" w:sz="8" w:color="auto"/>
            </w:tcBorders>
            <w:vMerge w:val="restart"/>
          </w:tcPr>
          <w:p>
            <w:pPr>
              <w:jc w:val="right"/>
              <w:ind w:right="446"/>
              <w:spacing w:after="0"/>
              <w:rPr>
                <w:sz w:val="20"/>
                <w:szCs w:val="20"/>
                <w:color w:val="auto"/>
              </w:rPr>
            </w:pPr>
            <w:r>
              <w:rPr>
                <w:rFonts w:ascii="Times New Roman" w:cs="Times New Roman" w:eastAsia="Times New Roman" w:hAnsi="Times New Roman"/>
                <w:sz w:val="11"/>
                <w:szCs w:val="11"/>
                <w:color w:val="auto"/>
                <w:w w:val="92"/>
              </w:rPr>
              <w:t>_______%</w:t>
            </w:r>
          </w:p>
        </w:tc>
        <w:tc>
          <w:tcPr>
            <w:tcW w:w="800" w:type="dxa"/>
            <w:vAlign w:val="bottom"/>
            <w:tcBorders>
              <w:right w:val="single" w:sz="8" w:color="auto"/>
            </w:tcBorders>
            <w:vMerge w:val="restart"/>
          </w:tcPr>
          <w:p>
            <w:pPr>
              <w:jc w:val="right"/>
              <w:ind w:right="346"/>
              <w:spacing w:after="0"/>
              <w:rPr>
                <w:sz w:val="20"/>
                <w:szCs w:val="20"/>
                <w:color w:val="auto"/>
              </w:rPr>
            </w:pPr>
            <w:r>
              <w:rPr>
                <w:rFonts w:ascii="Times New Roman" w:cs="Times New Roman" w:eastAsia="Times New Roman" w:hAnsi="Times New Roman"/>
                <w:sz w:val="11"/>
                <w:szCs w:val="11"/>
                <w:color w:val="auto"/>
                <w:w w:val="90"/>
              </w:rPr>
              <w:t>______%</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25"/>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Lead Director</w:t>
            </w: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800" w:type="dxa"/>
            <w:vAlign w:val="bottom"/>
            <w:tcBorders>
              <w:bottom w:val="single" w:sz="8" w:color="auto"/>
              <w:right w:val="single" w:sz="8" w:color="auto"/>
            </w:tcBorders>
            <w:vMerge w:val="continue"/>
          </w:tcPr>
          <w:p>
            <w:pPr>
              <w:spacing w:after="0"/>
              <w:rPr>
                <w:sz w:val="10"/>
                <w:szCs w:val="10"/>
                <w:color w:val="auto"/>
              </w:rPr>
            </w:pPr>
          </w:p>
        </w:tc>
        <w:tc>
          <w:tcPr>
            <w:tcW w:w="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Committee Chair Fee</w:t>
            </w: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92"/>
              </w:rPr>
              <w:t>_______%</w:t>
            </w:r>
          </w:p>
        </w:tc>
        <w:tc>
          <w:tcPr>
            <w:tcW w:w="800" w:type="dxa"/>
            <w:vAlign w:val="bottom"/>
            <w:tcBorders>
              <w:bottom w:val="single" w:sz="8" w:color="auto"/>
              <w:right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90"/>
              </w:rPr>
              <w:t>______%</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*Participants are encouraged, but are not required, to select at least 50% of Retainer in the form of DXLG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You have the opportunity to decide the Compensation Payment Choice of Cash and/or DXLG Shares. Your selected choice(s) for any given year must equal 100%.</w:t>
      </w:r>
    </w:p>
    <w:p>
      <w:pPr>
        <w:spacing w:after="0" w:line="14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1"/>
          <w:szCs w:val="11"/>
          <w:color w:val="auto"/>
        </w:rPr>
        <w:t>I understand and acknowledge that as discussed in Section 4 of the Plan, if the aggregate equity to be granted to all Participants in a quarter exceeds the maximum number of Shares permitted, I will receive a pro-rated allocation of that maximum amount, with the shortfall paid in Cash.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 understand and acknowledge that any equity must be held until my Separation from Service, unless the Board, in its sole discretion, permits a sale of equity prior to my Separation from Service.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 understand and acknowledge that this election is irrevocable. I understand and acknowledge that I must be a Non-Employee Director of the Company on the dates each portion of the Compensation is paid in order to qualify for such payment.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 understand and acknowledge that if there is any conflict between this form or any part of it and the Plan, the provisions of the Plan shall govern.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 have hereunto set my hand and seal this ____ day of ___________, 20___.</w:t>
      </w:r>
    </w:p>
    <w:p>
      <w:pPr>
        <w:sectPr>
          <w:pgSz w:w="11900" w:h="16838" w:orient="portrait"/>
          <w:cols w:equalWidth="0" w:num="1">
            <w:col w:w="11280"/>
          </w:cols>
          <w:pgMar w:left="300" w:top="125" w:right="319" w:bottom="1440" w:gutter="0" w:footer="0" w:header="0"/>
        </w:sectPr>
      </w:pPr>
    </w:p>
    <w:p>
      <w:pPr>
        <w:spacing w:after="0" w:line="281" w:lineRule="exact"/>
        <w:rPr>
          <w:sz w:val="20"/>
          <w:szCs w:val="20"/>
          <w:color w:val="auto"/>
        </w:rPr>
      </w:pPr>
    </w:p>
    <w:p>
      <w:pPr>
        <w:jc w:val="both"/>
        <w:spacing w:after="0" w:line="337" w:lineRule="auto"/>
        <w:rPr>
          <w:sz w:val="20"/>
          <w:szCs w:val="20"/>
          <w:color w:val="auto"/>
        </w:rPr>
      </w:pPr>
      <w:r>
        <w:rPr>
          <w:rFonts w:ascii="Times New Roman" w:cs="Times New Roman" w:eastAsia="Times New Roman" w:hAnsi="Times New Roman"/>
          <w:sz w:val="10"/>
          <w:szCs w:val="10"/>
          <w:color w:val="auto"/>
        </w:rPr>
        <w:t>_____________________________ (Signature) (Printed name)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w:t>
      </w:r>
    </w:p>
    <w:p>
      <w:pPr>
        <w:spacing w:after="0" w:line="292" w:lineRule="exact"/>
        <w:rPr>
          <w:sz w:val="20"/>
          <w:szCs w:val="20"/>
          <w:color w:val="auto"/>
        </w:rPr>
      </w:pPr>
    </w:p>
    <w:p>
      <w:pPr>
        <w:sectPr>
          <w:pgSz w:w="11900" w:h="16838" w:orient="portrait"/>
          <w:cols w:equalWidth="0" w:num="2">
            <w:col w:w="1560" w:space="440"/>
            <w:col w:w="9280"/>
          </w:cols>
          <w:pgMar w:left="300" w:top="125"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25" w:right="31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Destination XL Group, Inc.;</w:t>
      </w:r>
    </w:p>
    <w:p>
      <w:pPr>
        <w:spacing w:after="0" w:line="79" w:lineRule="exact"/>
        <w:rPr>
          <w:rFonts w:ascii="Times New Roman" w:cs="Times New Roman" w:eastAsia="Times New Roman" w:hAnsi="Times New Roman"/>
          <w:sz w:val="12"/>
          <w:szCs w:val="12"/>
          <w:color w:val="auto"/>
        </w:rPr>
      </w:pPr>
    </w:p>
    <w:p>
      <w:pPr>
        <w:ind w:left="508" w:right="100" w:hanging="508"/>
        <w:spacing w:after="0" w:line="286" w:lineRule="auto"/>
        <w:tabs>
          <w:tab w:leader="none" w:pos="5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2"/>
          <w:szCs w:val="12"/>
          <w:color w:val="auto"/>
        </w:rPr>
      </w:pPr>
    </w:p>
    <w:p>
      <w:pPr>
        <w:ind w:left="508" w:right="100" w:hanging="508"/>
        <w:spacing w:after="0" w:line="286" w:lineRule="auto"/>
        <w:tabs>
          <w:tab w:leader="none" w:pos="5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Times New Roman" w:cs="Times New Roman" w:eastAsia="Times New Roman" w:hAnsi="Times New Roman"/>
          <w:sz w:val="12"/>
          <w:szCs w:val="12"/>
          <w:color w:val="auto"/>
        </w:rPr>
      </w:pPr>
    </w:p>
    <w:p>
      <w:pPr>
        <w:ind w:left="508" w:right="300" w:hanging="508"/>
        <w:spacing w:after="0" w:line="286" w:lineRule="auto"/>
        <w:tabs>
          <w:tab w:leader="none" w:pos="5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2"/>
          <w:szCs w:val="12"/>
          <w:color w:val="auto"/>
        </w:rPr>
      </w:pPr>
    </w:p>
    <w:p>
      <w:pPr>
        <w:ind w:left="1008" w:right="20" w:hanging="500"/>
        <w:spacing w:after="0" w:line="286" w:lineRule="auto"/>
        <w:tabs>
          <w:tab w:leader="none" w:pos="1008"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2"/>
          <w:szCs w:val="12"/>
          <w:color w:val="auto"/>
        </w:rPr>
      </w:pPr>
    </w:p>
    <w:p>
      <w:pPr>
        <w:ind w:left="1008" w:right="220" w:hanging="500"/>
        <w:spacing w:after="0" w:line="286" w:lineRule="auto"/>
        <w:tabs>
          <w:tab w:leader="none" w:pos="1008"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2"/>
          <w:szCs w:val="12"/>
          <w:color w:val="auto"/>
        </w:rPr>
      </w:pPr>
    </w:p>
    <w:p>
      <w:pPr>
        <w:ind w:left="1008" w:right="140" w:hanging="500"/>
        <w:spacing w:after="0" w:line="286" w:lineRule="auto"/>
        <w:tabs>
          <w:tab w:leader="none" w:pos="1008"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2"/>
          <w:szCs w:val="12"/>
          <w:color w:val="auto"/>
        </w:rPr>
      </w:pPr>
    </w:p>
    <w:p>
      <w:pPr>
        <w:ind w:left="1008" w:right="200" w:hanging="500"/>
        <w:spacing w:after="0" w:line="286" w:lineRule="auto"/>
        <w:tabs>
          <w:tab w:leader="none" w:pos="1008"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Times New Roman" w:cs="Times New Roman" w:eastAsia="Times New Roman" w:hAnsi="Times New Roman"/>
          <w:sz w:val="12"/>
          <w:szCs w:val="12"/>
          <w:color w:val="auto"/>
        </w:rPr>
      </w:pPr>
    </w:p>
    <w:p>
      <w:pPr>
        <w:ind w:left="508" w:right="80" w:hanging="508"/>
        <w:spacing w:after="0" w:line="286" w:lineRule="auto"/>
        <w:tabs>
          <w:tab w:leader="none" w:pos="5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Times New Roman" w:cs="Times New Roman" w:eastAsia="Times New Roman" w:hAnsi="Times New Roman"/>
          <w:sz w:val="12"/>
          <w:szCs w:val="12"/>
          <w:color w:val="auto"/>
        </w:rPr>
      </w:pPr>
    </w:p>
    <w:p>
      <w:pPr>
        <w:ind w:left="1008" w:right="160" w:hanging="500"/>
        <w:spacing w:after="0" w:line="286" w:lineRule="auto"/>
        <w:tabs>
          <w:tab w:leader="none" w:pos="1008"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2"/>
          <w:szCs w:val="12"/>
          <w:color w:val="auto"/>
        </w:rPr>
      </w:pPr>
    </w:p>
    <w:p>
      <w:pPr>
        <w:ind w:left="1008" w:hanging="500"/>
        <w:spacing w:after="0"/>
        <w:tabs>
          <w:tab w:leader="none" w:pos="1008"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647" w:val="left"/>
        </w:tabs>
        <w:rPr>
          <w:sz w:val="20"/>
          <w:szCs w:val="20"/>
          <w:color w:val="auto"/>
        </w:rPr>
      </w:pPr>
      <w:r>
        <w:rPr>
          <w:rFonts w:ascii="Times New Roman" w:cs="Times New Roman" w:eastAsia="Times New Roman" w:hAnsi="Times New Roman"/>
          <w:sz w:val="12"/>
          <w:szCs w:val="12"/>
          <w:color w:val="auto"/>
        </w:rPr>
        <w:t>Date:  November 20, 2020</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Harvey S. Kanter</w:t>
      </w:r>
    </w:p>
    <w:p>
      <w:pPr>
        <w:spacing w:after="0" w:line="9"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Times New Roman" w:cs="Times New Roman" w:eastAsia="Times New Roman" w:hAnsi="Times New Roman"/>
          <w:sz w:val="10"/>
          <w:szCs w:val="10"/>
          <w:b w:val="1"/>
          <w:bCs w:val="1"/>
          <w:color w:val="auto"/>
        </w:rPr>
        <w:t>Chief Executive Officer</w:t>
      </w:r>
    </w:p>
    <w:p>
      <w:pPr>
        <w:sectPr>
          <w:pgSz w:w="11900" w:h="16838" w:orient="portrait"/>
          <w:cols w:equalWidth="0" w:num="1">
            <w:col w:w="11308"/>
          </w:cols>
          <w:pgMar w:left="292" w:top="125" w:right="2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Destination XL Group, Inc.;</w:t>
      </w:r>
    </w:p>
    <w:p>
      <w:pPr>
        <w:spacing w:after="0" w:line="79" w:lineRule="exact"/>
        <w:rPr>
          <w:rFonts w:ascii="Times New Roman" w:cs="Times New Roman" w:eastAsia="Times New Roman" w:hAnsi="Times New Roman"/>
          <w:sz w:val="12"/>
          <w:szCs w:val="12"/>
          <w:color w:val="auto"/>
        </w:rPr>
      </w:pPr>
    </w:p>
    <w:p>
      <w:pPr>
        <w:ind w:left="508" w:right="100" w:hanging="508"/>
        <w:spacing w:after="0" w:line="286" w:lineRule="auto"/>
        <w:tabs>
          <w:tab w:leader="none" w:pos="5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2"/>
          <w:szCs w:val="12"/>
          <w:color w:val="auto"/>
        </w:rPr>
      </w:pPr>
    </w:p>
    <w:p>
      <w:pPr>
        <w:ind w:left="508" w:right="100" w:hanging="508"/>
        <w:spacing w:after="0" w:line="286" w:lineRule="auto"/>
        <w:tabs>
          <w:tab w:leader="none" w:pos="5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Times New Roman" w:cs="Times New Roman" w:eastAsia="Times New Roman" w:hAnsi="Times New Roman"/>
          <w:sz w:val="12"/>
          <w:szCs w:val="12"/>
          <w:color w:val="auto"/>
        </w:rPr>
      </w:pPr>
    </w:p>
    <w:p>
      <w:pPr>
        <w:ind w:left="508" w:right="300" w:hanging="508"/>
        <w:spacing w:after="0" w:line="286" w:lineRule="auto"/>
        <w:tabs>
          <w:tab w:leader="none" w:pos="5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2"/>
          <w:szCs w:val="12"/>
          <w:color w:val="auto"/>
        </w:rPr>
      </w:pPr>
    </w:p>
    <w:p>
      <w:pPr>
        <w:ind w:left="1008" w:right="20" w:hanging="500"/>
        <w:spacing w:after="0" w:line="286" w:lineRule="auto"/>
        <w:tabs>
          <w:tab w:leader="none" w:pos="1008"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2"/>
          <w:szCs w:val="12"/>
          <w:color w:val="auto"/>
        </w:rPr>
      </w:pPr>
    </w:p>
    <w:p>
      <w:pPr>
        <w:ind w:left="1008" w:right="220" w:hanging="500"/>
        <w:spacing w:after="0" w:line="286" w:lineRule="auto"/>
        <w:tabs>
          <w:tab w:leader="none" w:pos="1008"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2"/>
          <w:szCs w:val="12"/>
          <w:color w:val="auto"/>
        </w:rPr>
      </w:pPr>
    </w:p>
    <w:p>
      <w:pPr>
        <w:ind w:left="1008" w:right="140" w:hanging="500"/>
        <w:spacing w:after="0" w:line="286" w:lineRule="auto"/>
        <w:tabs>
          <w:tab w:leader="none" w:pos="1008"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2"/>
          <w:szCs w:val="12"/>
          <w:color w:val="auto"/>
        </w:rPr>
      </w:pPr>
    </w:p>
    <w:p>
      <w:pPr>
        <w:ind w:left="1008" w:right="200" w:hanging="500"/>
        <w:spacing w:after="0" w:line="286" w:lineRule="auto"/>
        <w:tabs>
          <w:tab w:leader="none" w:pos="1008"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Times New Roman" w:cs="Times New Roman" w:eastAsia="Times New Roman" w:hAnsi="Times New Roman"/>
          <w:sz w:val="12"/>
          <w:szCs w:val="12"/>
          <w:color w:val="auto"/>
        </w:rPr>
      </w:pPr>
    </w:p>
    <w:p>
      <w:pPr>
        <w:ind w:left="508" w:right="80" w:hanging="508"/>
        <w:spacing w:after="0" w:line="286" w:lineRule="auto"/>
        <w:tabs>
          <w:tab w:leader="none" w:pos="5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Times New Roman" w:cs="Times New Roman" w:eastAsia="Times New Roman" w:hAnsi="Times New Roman"/>
          <w:sz w:val="12"/>
          <w:szCs w:val="12"/>
          <w:color w:val="auto"/>
        </w:rPr>
      </w:pPr>
    </w:p>
    <w:p>
      <w:pPr>
        <w:ind w:left="1008" w:right="160" w:hanging="500"/>
        <w:spacing w:after="0" w:line="286" w:lineRule="auto"/>
        <w:tabs>
          <w:tab w:leader="none" w:pos="1008"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2"/>
          <w:szCs w:val="12"/>
          <w:color w:val="auto"/>
        </w:rPr>
      </w:pPr>
    </w:p>
    <w:p>
      <w:pPr>
        <w:ind w:left="1008" w:hanging="500"/>
        <w:spacing w:after="0"/>
        <w:tabs>
          <w:tab w:leader="none" w:pos="1008"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567" w:val="left"/>
        </w:tabs>
        <w:rPr>
          <w:sz w:val="20"/>
          <w:szCs w:val="20"/>
          <w:color w:val="auto"/>
        </w:rPr>
      </w:pPr>
      <w:r>
        <w:rPr>
          <w:rFonts w:ascii="Times New Roman" w:cs="Times New Roman" w:eastAsia="Times New Roman" w:hAnsi="Times New Roman"/>
          <w:sz w:val="12"/>
          <w:szCs w:val="12"/>
          <w:color w:val="auto"/>
        </w:rPr>
        <w:t>Date:  November 20, 2020</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Peter H. Stratton, Jr.</w:t>
      </w:r>
    </w:p>
    <w:p>
      <w:pPr>
        <w:spacing w:after="0" w:line="9"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Times New Roman" w:cs="Times New Roman" w:eastAsia="Times New Roman" w:hAnsi="Times New Roman"/>
          <w:sz w:val="10"/>
          <w:szCs w:val="10"/>
          <w:b w:val="1"/>
          <w:bCs w:val="1"/>
          <w:color w:val="auto"/>
        </w:rPr>
        <w:t>Chief Financial Officer</w:t>
      </w:r>
    </w:p>
    <w:p>
      <w:pPr>
        <w:sectPr>
          <w:pgSz w:w="11900" w:h="16838" w:orient="portrait"/>
          <w:cols w:equalWidth="0" w:num="1">
            <w:col w:w="11308"/>
          </w:cols>
          <w:pgMar w:left="292" w:top="125" w:right="2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100" w:firstLine="513"/>
        <w:spacing w:after="0" w:line="286" w:lineRule="auto"/>
        <w:rPr>
          <w:sz w:val="20"/>
          <w:szCs w:val="20"/>
          <w:color w:val="auto"/>
        </w:rPr>
      </w:pPr>
      <w:r>
        <w:rPr>
          <w:rFonts w:ascii="Times New Roman" w:cs="Times New Roman" w:eastAsia="Times New Roman" w:hAnsi="Times New Roman"/>
          <w:sz w:val="12"/>
          <w:szCs w:val="12"/>
          <w:color w:val="auto"/>
        </w:rPr>
        <w:t>In connection with the Quarterly Report on Form 10-Q of Destination XL Group, Inc. (the “Company”) for the period ended October 31, 2020, as filed with the Securities and Exchange Commission on the date hereof (the “Report”), I, Harvey S. Kanter, Chief Executive Officer of the Company, certify pursuant to 18 U.S.C. § 1350, as adopted pursuant to § 906 of the Sarbanes-Oxley Act of 2002, that:</w:t>
      </w:r>
    </w:p>
    <w:p>
      <w:pPr>
        <w:spacing w:after="0" w:line="33" w:lineRule="exact"/>
        <w:rPr>
          <w:sz w:val="20"/>
          <w:szCs w:val="20"/>
          <w:color w:val="auto"/>
        </w:rPr>
      </w:pPr>
    </w:p>
    <w:p>
      <w:pPr>
        <w:ind w:left="1240" w:hanging="176"/>
        <w:spacing w:after="0"/>
        <w:tabs>
          <w:tab w:leader="none" w:pos="12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(the “Exchange Act”); and</w:t>
      </w:r>
    </w:p>
    <w:p>
      <w:pPr>
        <w:spacing w:after="0" w:line="79" w:lineRule="exact"/>
        <w:rPr>
          <w:rFonts w:ascii="Times New Roman" w:cs="Times New Roman" w:eastAsia="Times New Roman" w:hAnsi="Times New Roman"/>
          <w:sz w:val="12"/>
          <w:szCs w:val="12"/>
          <w:color w:val="auto"/>
        </w:rPr>
      </w:pPr>
    </w:p>
    <w:p>
      <w:pPr>
        <w:ind w:left="1240" w:hanging="176"/>
        <w:spacing w:after="0"/>
        <w:tabs>
          <w:tab w:leader="none" w:pos="12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9" w:lineRule="auto"/>
        <w:rPr>
          <w:sz w:val="20"/>
          <w:szCs w:val="20"/>
          <w:color w:val="auto"/>
        </w:rPr>
      </w:pPr>
      <w:r>
        <w:rPr>
          <w:rFonts w:ascii="Times New Roman" w:cs="Times New Roman" w:eastAsia="Times New Roman" w:hAnsi="Times New Roman"/>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34" w:lineRule="exact"/>
        <w:rPr>
          <w:sz w:val="20"/>
          <w:szCs w:val="20"/>
          <w:color w:val="auto"/>
        </w:rPr>
      </w:pPr>
    </w:p>
    <w:p>
      <w:pPr>
        <w:spacing w:after="0"/>
        <w:tabs>
          <w:tab w:leader="none" w:pos="6760" w:val="left"/>
          <w:tab w:leader="none" w:pos="8640" w:val="left"/>
        </w:tabs>
        <w:rPr>
          <w:sz w:val="20"/>
          <w:szCs w:val="20"/>
          <w:color w:val="auto"/>
        </w:rPr>
      </w:pPr>
      <w:r>
        <w:rPr>
          <w:rFonts w:ascii="Times New Roman" w:cs="Times New Roman" w:eastAsia="Times New Roman" w:hAnsi="Times New Roman"/>
          <w:sz w:val="12"/>
          <w:szCs w:val="12"/>
          <w:color w:val="auto"/>
        </w:rPr>
        <w:t>Date:  November 20, 2020</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Harvey S. Kanter</w:t>
      </w:r>
    </w:p>
    <w:p>
      <w:pPr>
        <w:spacing w:after="0" w:line="9"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-65405</wp:posOffset>
            </wp:positionV>
            <wp:extent cx="272605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Times New Roman" w:cs="Times New Roman" w:eastAsia="Times New Roman" w:hAnsi="Times New Roman"/>
          <w:sz w:val="10"/>
          <w:szCs w:val="10"/>
          <w:b w:val="1"/>
          <w:bCs w:val="1"/>
          <w:color w:val="auto"/>
        </w:rPr>
        <w:t>Chief Executive Officer</w:t>
      </w:r>
    </w:p>
    <w:p>
      <w:pPr>
        <w:spacing w:after="0" w:line="121" w:lineRule="exact"/>
        <w:rPr>
          <w:sz w:val="20"/>
          <w:szCs w:val="20"/>
          <w:color w:val="auto"/>
        </w:rPr>
      </w:pPr>
    </w:p>
    <w:p>
      <w:pPr>
        <w:ind w:right="280" w:firstLine="513"/>
        <w:spacing w:after="0" w:line="286" w:lineRule="auto"/>
        <w:rPr>
          <w:sz w:val="20"/>
          <w:szCs w:val="20"/>
          <w:color w:val="auto"/>
        </w:rPr>
      </w:pPr>
      <w:r>
        <w:rPr>
          <w:rFonts w:ascii="Times New Roman" w:cs="Times New Roman" w:eastAsia="Times New Roman" w:hAnsi="Times New Roman"/>
          <w:sz w:val="12"/>
          <w:szCs w:val="12"/>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300"/>
          </w:cols>
          <w:pgMar w:left="300" w:top="125" w:right="2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100" w:firstLine="513"/>
        <w:spacing w:after="0" w:line="286" w:lineRule="auto"/>
        <w:rPr>
          <w:sz w:val="20"/>
          <w:szCs w:val="20"/>
          <w:color w:val="auto"/>
        </w:rPr>
      </w:pPr>
      <w:r>
        <w:rPr>
          <w:rFonts w:ascii="Times New Roman" w:cs="Times New Roman" w:eastAsia="Times New Roman" w:hAnsi="Times New Roman"/>
          <w:sz w:val="12"/>
          <w:szCs w:val="12"/>
          <w:color w:val="auto"/>
        </w:rPr>
        <w:t>In connection with the Quarterly Report on Form 10-Q of Destination XL Group, Inc. (the “Company”) for the period ended October 31, 2020,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33" w:lineRule="exact"/>
        <w:rPr>
          <w:sz w:val="20"/>
          <w:szCs w:val="20"/>
          <w:color w:val="auto"/>
        </w:rPr>
      </w:pPr>
    </w:p>
    <w:p>
      <w:pPr>
        <w:ind w:left="1240" w:hanging="176"/>
        <w:spacing w:after="0"/>
        <w:tabs>
          <w:tab w:leader="none" w:pos="12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(the “Exchange Act”); and</w:t>
      </w:r>
    </w:p>
    <w:p>
      <w:pPr>
        <w:spacing w:after="0" w:line="79" w:lineRule="exact"/>
        <w:rPr>
          <w:rFonts w:ascii="Times New Roman" w:cs="Times New Roman" w:eastAsia="Times New Roman" w:hAnsi="Times New Roman"/>
          <w:sz w:val="12"/>
          <w:szCs w:val="12"/>
          <w:color w:val="auto"/>
        </w:rPr>
      </w:pPr>
    </w:p>
    <w:p>
      <w:pPr>
        <w:ind w:left="1240" w:hanging="176"/>
        <w:spacing w:after="0"/>
        <w:tabs>
          <w:tab w:leader="none" w:pos="12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9" w:lineRule="auto"/>
        <w:rPr>
          <w:sz w:val="20"/>
          <w:szCs w:val="20"/>
          <w:color w:val="auto"/>
        </w:rPr>
      </w:pPr>
      <w:r>
        <w:rPr>
          <w:rFonts w:ascii="Times New Roman" w:cs="Times New Roman" w:eastAsia="Times New Roman" w:hAnsi="Times New Roman"/>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34" w:lineRule="exact"/>
        <w:rPr>
          <w:sz w:val="20"/>
          <w:szCs w:val="20"/>
          <w:color w:val="auto"/>
        </w:rPr>
      </w:pPr>
    </w:p>
    <w:p>
      <w:pPr>
        <w:spacing w:after="0"/>
        <w:tabs>
          <w:tab w:leader="none" w:pos="6760" w:val="left"/>
          <w:tab w:leader="none" w:pos="8560" w:val="left"/>
        </w:tabs>
        <w:rPr>
          <w:sz w:val="20"/>
          <w:szCs w:val="20"/>
          <w:color w:val="auto"/>
        </w:rPr>
      </w:pPr>
      <w:r>
        <w:rPr>
          <w:rFonts w:ascii="Times New Roman" w:cs="Times New Roman" w:eastAsia="Times New Roman" w:hAnsi="Times New Roman"/>
          <w:sz w:val="12"/>
          <w:szCs w:val="12"/>
          <w:color w:val="auto"/>
        </w:rPr>
        <w:t>Date:  November 20, 2020</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Peter H. Stratton, Jr.</w:t>
      </w:r>
    </w:p>
    <w:p>
      <w:pPr>
        <w:spacing w:after="0" w:line="9"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-65405</wp:posOffset>
            </wp:positionV>
            <wp:extent cx="272605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Times New Roman" w:cs="Times New Roman" w:eastAsia="Times New Roman" w:hAnsi="Times New Roman"/>
          <w:sz w:val="10"/>
          <w:szCs w:val="10"/>
          <w:b w:val="1"/>
          <w:bCs w:val="1"/>
          <w:color w:val="auto"/>
        </w:rPr>
        <w:t>Chief Financial Officer</w:t>
      </w:r>
    </w:p>
    <w:p>
      <w:pPr>
        <w:spacing w:after="0" w:line="121" w:lineRule="exact"/>
        <w:rPr>
          <w:sz w:val="20"/>
          <w:szCs w:val="20"/>
          <w:color w:val="auto"/>
        </w:rPr>
      </w:pPr>
    </w:p>
    <w:p>
      <w:pPr>
        <w:ind w:right="280" w:firstLine="513"/>
        <w:spacing w:after="0" w:line="286" w:lineRule="auto"/>
        <w:rPr>
          <w:sz w:val="20"/>
          <w:szCs w:val="20"/>
          <w:color w:val="auto"/>
        </w:rPr>
      </w:pPr>
      <w:r>
        <w:rPr>
          <w:rFonts w:ascii="Times New Roman" w:cs="Times New Roman" w:eastAsia="Times New Roman" w:hAnsi="Times New Roman"/>
          <w:sz w:val="12"/>
          <w:szCs w:val="12"/>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00"/>
      </w:cols>
      <w:pgMar w:left="30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04"/>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Letter"/>
      <w:start w:val="14"/>
    </w:lvl>
  </w:abstractNum>
  <w:abstractNum w:abstractNumId="12">
    <w:nsid w:val="41A7C4C9"/>
    <w:multiLevelType w:val="hybridMultilevel"/>
    <w:lvl w:ilvl="0">
      <w:lvlJc w:val="left"/>
      <w:lvlText w:val="(%1)"/>
      <w:numFmt w:val="lowerLetter"/>
      <w:start w:val="1"/>
    </w:lvl>
    <w:lvl w:ilvl="1">
      <w:lvlJc w:val="left"/>
      <w:lvlText w:val="%2."/>
      <w:numFmt w:val="lowerRoman"/>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1" Type="http://schemas.openxmlformats.org/officeDocument/2006/relationships/hyperlink" Target="http://www.sec.gov/Archives/edgar/data/813298/000156459020041484/dxlg-ex102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2020-11-20T12:01:25Z</dcterms:created>
  <dcterms:modified xsi:type="dcterms:W3CDTF">2020-11-20T12:01:25Z</dcterms:modified>
</cp:coreProperties>
</file>