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SCHEDULE 13D/A</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(Amendment No. 59)</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Casual Male Retail Group, Inc.</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25057L102</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Seymour Holtzman</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c/o Jewelcor Companies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100 N. Wilkes Barre Blvd.</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Wilkes-Barre, Pennsylvania 18702</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(570) 822-6277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Address and Telephone Number of</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Person Authorized to Receive Notices</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and Communications)</w:t>
      </w: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18"/>
          <w:szCs w:val="18"/>
          <w:u w:val="single" w:color="auto"/>
          <w:color w:val="auto"/>
        </w:rPr>
        <w:t>August 27, 2009</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Event which Requires Filing</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of this Statement)</w:t>
      </w:r>
    </w:p>
    <w:p>
      <w:pPr>
        <w:spacing w:after="0" w:line="23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76" w:right="65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Explanatory Note: The purpose of this Amendment is to correct the percentage of ownership as stated in Seymour Holtzman's ownership table on line 13 and in Item 5, which was previously incorrectly reported as 13.37%.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34"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1880" w:right="6060" w:hanging="1296"/>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S.S. OR I.R.S. IDENTIFICATION NO. OF ABOVE PERSON </w:t>
      </w:r>
      <w:r>
        <w:rPr>
          <w:rFonts w:ascii="Arial" w:cs="Arial" w:eastAsia="Arial" w:hAnsi="Arial"/>
          <w:sz w:val="18"/>
          <w:szCs w:val="18"/>
          <w:color w:val="auto"/>
        </w:rPr>
        <w:t>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p>
      <w:pPr>
        <w:spacing w:after="0"/>
        <w:tabs>
          <w:tab w:leader="none" w:pos="560" w:val="left"/>
          <w:tab w:leader="none" w:pos="10860" w:val="left"/>
          <w:tab w:leader="none" w:pos="11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4"/>
          <w:szCs w:val="14"/>
          <w:color w:val="auto"/>
        </w:rPr>
        <w:t>o</w:t>
      </w:r>
    </w:p>
    <w:p>
      <w:pPr>
        <w:spacing w:after="0" w:line="256" w:lineRule="exact"/>
        <w:rPr>
          <w:sz w:val="20"/>
          <w:szCs w:val="20"/>
          <w:color w:val="auto"/>
        </w:rPr>
      </w:pPr>
    </w:p>
    <w:p>
      <w:pPr>
        <w:jc w:val="both"/>
        <w:ind w:left="10860"/>
        <w:spacing w:after="0"/>
        <w:tabs>
          <w:tab w:leader="none" w:pos="11320" w:val="left"/>
        </w:tabs>
        <w:rPr>
          <w:sz w:val="20"/>
          <w:szCs w:val="20"/>
          <w:color w:val="auto"/>
        </w:rPr>
      </w:pPr>
      <w:r>
        <w:rPr>
          <w:rFonts w:ascii="Arial" w:cs="Arial" w:eastAsia="Arial" w:hAnsi="Arial"/>
          <w:sz w:val="18"/>
          <w:szCs w:val="18"/>
          <w:color w:val="auto"/>
        </w:rPr>
        <w:t>(b)</w:t>
        <w:tab/>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spacing w:after="0"/>
        <w:tabs>
          <w:tab w:leader="none" w:pos="560" w:val="left"/>
          <w:tab w:leader="none" w:pos="46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5"/>
          <w:szCs w:val="15"/>
          <w:color w:val="auto"/>
        </w:rPr>
        <w:t>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1720" w:right="6900" w:hanging="1712"/>
        <w:spacing w:after="0" w:line="281" w:lineRule="auto"/>
        <w:tabs>
          <w:tab w:leader="none" w:pos="586"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 of America</w:t>
      </w:r>
    </w:p>
    <w:p>
      <w:pPr>
        <w:spacing w:after="0" w:line="1" w:lineRule="exact"/>
        <w:rPr>
          <w:rFonts w:ascii="Arial" w:cs="Arial" w:eastAsia="Arial" w:hAnsi="Arial"/>
          <w:sz w:val="18"/>
          <w:szCs w:val="18"/>
          <w:color w:val="auto"/>
        </w:rPr>
      </w:pPr>
    </w:p>
    <w:p>
      <w:pPr>
        <w:ind w:left="3740" w:right="6340" w:hanging="1335"/>
        <w:spacing w:after="0" w:line="336" w:lineRule="auto"/>
        <w:tabs>
          <w:tab w:leader="none" w:pos="3092"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5,630,069(1)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line="176" w:lineRule="exact"/>
              <w:rPr>
                <w:sz w:val="20"/>
                <w:szCs w:val="20"/>
                <w:color w:val="auto"/>
              </w:rPr>
            </w:pPr>
            <w:r>
              <w:rPr>
                <w:rFonts w:ascii="Arial" w:cs="Arial" w:eastAsia="Arial" w:hAnsi="Arial"/>
                <w:sz w:val="18"/>
                <w:szCs w:val="18"/>
                <w:b w:val="1"/>
                <w:bCs w:val="1"/>
                <w:color w:val="auto"/>
              </w:rPr>
              <w:t>NUMBER OF</w:t>
            </w:r>
          </w:p>
        </w:tc>
        <w:tc>
          <w:tcPr>
            <w:tcW w:w="780" w:type="dxa"/>
            <w:vAlign w:val="bottom"/>
            <w:tcBorders>
              <w:bottom w:val="single" w:sz="8" w:color="auto"/>
            </w:tcBorders>
          </w:tcPr>
          <w:p>
            <w:pPr>
              <w:spacing w:after="0"/>
              <w:rPr>
                <w:sz w:val="15"/>
                <w:szCs w:val="15"/>
                <w:color w:val="auto"/>
              </w:rPr>
            </w:pPr>
          </w:p>
        </w:tc>
        <w:tc>
          <w:tcPr>
            <w:tcW w:w="8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b w:val="1"/>
                <w:bCs w:val="1"/>
                <w:color w:val="auto"/>
              </w:rPr>
              <w:t>SHARES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8)</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208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780" w:type="dxa"/>
            <w:vAlign w:val="bottom"/>
          </w:tcPr>
          <w:p>
            <w:pPr>
              <w:spacing w:after="0"/>
              <w:rPr>
                <w:sz w:val="21"/>
                <w:szCs w:val="21"/>
                <w:color w:val="auto"/>
              </w:rPr>
            </w:pPr>
          </w:p>
        </w:tc>
        <w:tc>
          <w:tcPr>
            <w:tcW w:w="8560" w:type="dxa"/>
            <w:vAlign w:val="bottom"/>
          </w:tcPr>
          <w:p>
            <w:pPr>
              <w:ind w:left="8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7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780" w:type="dxa"/>
            <w:vAlign w:val="bottom"/>
            <w:tcBorders>
              <w:bottom w:val="single" w:sz="8" w:color="auto"/>
            </w:tcBorders>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80" w:type="dxa"/>
            <w:vAlign w:val="bottom"/>
            <w:vMerge w:val="continue"/>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8"/>
                <w:szCs w:val="18"/>
                <w:color w:val="auto"/>
                <w:w w:val="99"/>
              </w:rPr>
              <w:t>9)</w:t>
            </w:r>
          </w:p>
        </w:tc>
        <w:tc>
          <w:tcPr>
            <w:tcW w:w="8560" w:type="dxa"/>
            <w:vAlign w:val="bottom"/>
          </w:tcPr>
          <w:p>
            <w:pPr>
              <w:ind w:left="240"/>
              <w:spacing w:after="0" w:line="162"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780" w:type="dxa"/>
            <w:vAlign w:val="bottom"/>
          </w:tcPr>
          <w:p>
            <w:pPr>
              <w:spacing w:after="0"/>
              <w:rPr>
                <w:sz w:val="18"/>
                <w:szCs w:val="18"/>
                <w:color w:val="auto"/>
              </w:rPr>
            </w:pPr>
          </w:p>
        </w:tc>
        <w:tc>
          <w:tcPr>
            <w:tcW w:w="8560" w:type="dxa"/>
            <w:vAlign w:val="bottom"/>
            <w:vMerge w:val="restart"/>
          </w:tcPr>
          <w:p>
            <w:pPr>
              <w:ind w:left="880"/>
              <w:spacing w:after="0"/>
              <w:rPr>
                <w:sz w:val="20"/>
                <w:szCs w:val="20"/>
                <w:color w:val="auto"/>
              </w:rPr>
            </w:pPr>
            <w:r>
              <w:rPr>
                <w:rFonts w:ascii="Arial" w:cs="Arial" w:eastAsia="Arial" w:hAnsi="Arial"/>
                <w:sz w:val="18"/>
                <w:szCs w:val="18"/>
                <w:color w:val="auto"/>
              </w:rPr>
              <w:t>5,630,069(1)</w:t>
            </w:r>
          </w:p>
        </w:tc>
        <w:tc>
          <w:tcPr>
            <w:tcW w:w="0" w:type="dxa"/>
            <w:vAlign w:val="bottom"/>
          </w:tcPr>
          <w:p>
            <w:pPr>
              <w:spacing w:after="0"/>
              <w:rPr>
                <w:sz w:val="1"/>
                <w:szCs w:val="1"/>
                <w:color w:val="auto"/>
              </w:rPr>
            </w:pPr>
          </w:p>
        </w:tc>
      </w:tr>
      <w:tr>
        <w:trPr>
          <w:trHeight w:val="86"/>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780" w:type="dxa"/>
            <w:vAlign w:val="bottom"/>
          </w:tcPr>
          <w:p>
            <w:pPr>
              <w:spacing w:after="0"/>
              <w:rPr>
                <w:sz w:val="7"/>
                <w:szCs w:val="7"/>
                <w:color w:val="auto"/>
              </w:rPr>
            </w:pPr>
          </w:p>
        </w:tc>
        <w:tc>
          <w:tcPr>
            <w:tcW w:w="8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780" w:type="dxa"/>
            <w:vAlign w:val="bottom"/>
            <w:tcBorders>
              <w:bottom w:val="single" w:sz="8" w:color="auto"/>
            </w:tcBorders>
          </w:tcPr>
          <w:p>
            <w:pPr>
              <w:spacing w:after="0"/>
              <w:rPr>
                <w:sz w:val="10"/>
                <w:szCs w:val="10"/>
                <w:color w:val="auto"/>
              </w:rPr>
            </w:pPr>
          </w:p>
        </w:tc>
        <w:tc>
          <w:tcPr>
            <w:tcW w:w="8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vMerge w:val="continue"/>
          </w:tcPr>
          <w:p>
            <w:pPr>
              <w:spacing w:after="0"/>
              <w:rPr>
                <w:sz w:val="8"/>
                <w:szCs w:val="8"/>
                <w:color w:val="auto"/>
              </w:rPr>
            </w:pPr>
          </w:p>
        </w:tc>
        <w:tc>
          <w:tcPr>
            <w:tcW w:w="7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10)</w:t>
            </w:r>
          </w:p>
        </w:tc>
        <w:tc>
          <w:tcPr>
            <w:tcW w:w="8560" w:type="dxa"/>
            <w:vAlign w:val="bottom"/>
            <w:vMerge w:val="restart"/>
          </w:tcPr>
          <w:p>
            <w:pPr>
              <w:ind w:left="240"/>
              <w:spacing w:after="0" w:line="201"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8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580" w:right="3900" w:hanging="3659"/>
        <w:spacing w:after="0" w:line="266"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5,630,069(1)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right="3300" w:hanging="4793"/>
        <w:spacing w:after="0" w:line="282"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 xml:space="preserve">CHECK BOX IF THE AGGREGATE AMOUNT IN ROW (11) EXCLUDES CERTAIN SHARES </w:t>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PERCENT OF CLASS REPRESENTED BY AMOUNT IN ROW (11)</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ind w:firstLine="8"/>
        <w:spacing w:after="0" w:line="277"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options to purchase an aggregate of 1,690,000 shares of Common Stock and warrants to purchase an aggregate of 80,000 shares of Common Stock, all of which are immediately exercisable and are directly beneficially owned by Mr.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ind w:left="4480"/>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CUSIP No. 25057L102</w:t>
      </w:r>
    </w:p>
    <w:p>
      <w:pPr>
        <w:spacing w:after="0" w:line="234"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1240" w:right="6060" w:hanging="648"/>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S.S. OR I.R.S. IDENTIFICATION NO. OF ABOVE PERSON </w:t>
      </w:r>
      <w:r>
        <w:rPr>
          <w:rFonts w:ascii="Arial" w:cs="Arial" w:eastAsia="Arial" w:hAnsi="Arial"/>
          <w:sz w:val="18"/>
          <w:szCs w:val="18"/>
          <w:color w:val="auto"/>
        </w:rPr>
        <w:t>Evelyn Holtzman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87"/>
              </w:rPr>
              <w:t>2)</w:t>
            </w:r>
          </w:p>
        </w:tc>
        <w:tc>
          <w:tcPr>
            <w:tcW w:w="800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w:t>
            </w:r>
          </w:p>
        </w:tc>
        <w:tc>
          <w:tcPr>
            <w:tcW w:w="220" w:type="dxa"/>
            <w:vAlign w:val="bottom"/>
            <w:tcBorders>
              <w:top w:val="single" w:sz="8" w:color="auto"/>
            </w:tcBorders>
          </w:tcPr>
          <w:p>
            <w:pPr>
              <w:ind w:left="140"/>
              <w:spacing w:after="0"/>
              <w:rPr>
                <w:sz w:val="20"/>
                <w:szCs w:val="20"/>
                <w:color w:val="auto"/>
              </w:rPr>
            </w:pPr>
            <w:r>
              <w:rPr>
                <w:rFonts w:ascii="Arial" w:cs="Arial" w:eastAsia="Arial" w:hAnsi="Arial"/>
                <w:sz w:val="15"/>
                <w:szCs w:val="15"/>
                <w:color w:val="auto"/>
                <w:w w:val="71"/>
              </w:rPr>
              <w:t>o</w:t>
            </w:r>
          </w:p>
        </w:tc>
      </w:tr>
      <w:tr>
        <w:trPr>
          <w:trHeight w:val="441"/>
        </w:trPr>
        <w:tc>
          <w:tcPr>
            <w:tcW w:w="3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2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220" w:type="dxa"/>
            <w:vAlign w:val="bottom"/>
          </w:tcPr>
          <w:p>
            <w:pPr>
              <w:ind w:left="140"/>
              <w:spacing w:after="0"/>
              <w:rPr>
                <w:sz w:val="20"/>
                <w:szCs w:val="20"/>
                <w:color w:val="auto"/>
              </w:rPr>
            </w:pPr>
            <w:r>
              <w:rPr>
                <w:rFonts w:ascii="Arial" w:cs="Arial" w:eastAsia="Arial" w:hAnsi="Arial"/>
                <w:sz w:val="17"/>
                <w:szCs w:val="17"/>
                <w:color w:val="auto"/>
                <w:w w:val="70"/>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spacing w:after="0"/>
        <w:tabs>
          <w:tab w:leader="none" w:pos="560" w:val="left"/>
          <w:tab w:leader="none" w:pos="34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SOURCE OF FUNDS</w:t>
      </w:r>
      <w:r>
        <w:rPr>
          <w:sz w:val="20"/>
          <w:szCs w:val="20"/>
          <w:color w:val="auto"/>
        </w:rPr>
        <w:tab/>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1720" w:right="6900" w:hanging="1712"/>
        <w:spacing w:after="0" w:line="281" w:lineRule="auto"/>
        <w:tabs>
          <w:tab w:leader="none" w:pos="58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 of America</w:t>
      </w:r>
    </w:p>
    <w:p>
      <w:pPr>
        <w:spacing w:after="0" w:line="1" w:lineRule="exact"/>
        <w:rPr>
          <w:rFonts w:ascii="Arial" w:cs="Arial" w:eastAsia="Arial" w:hAnsi="Arial"/>
          <w:sz w:val="18"/>
          <w:szCs w:val="18"/>
          <w:color w:val="auto"/>
        </w:rPr>
      </w:pPr>
    </w:p>
    <w:p>
      <w:pPr>
        <w:ind w:left="3740" w:right="6340" w:hanging="1335"/>
        <w:spacing w:after="0" w:line="313" w:lineRule="auto"/>
        <w:tabs>
          <w:tab w:leader="none" w:pos="3092"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780" w:type="dxa"/>
            <w:vAlign w:val="bottom"/>
            <w:tcBorders>
              <w:bottom w:val="single" w:sz="8" w:color="auto"/>
            </w:tcBorders>
          </w:tcPr>
          <w:p>
            <w:pPr>
              <w:spacing w:after="0"/>
              <w:rPr>
                <w:sz w:val="17"/>
                <w:szCs w:val="17"/>
                <w:color w:val="auto"/>
              </w:rPr>
            </w:pPr>
          </w:p>
        </w:tc>
        <w:tc>
          <w:tcPr>
            <w:tcW w:w="8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b w:val="1"/>
                <w:bCs w:val="1"/>
                <w:color w:val="auto"/>
              </w:rPr>
              <w:t>SHARES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8)</w:t>
            </w:r>
          </w:p>
        </w:tc>
        <w:tc>
          <w:tcPr>
            <w:tcW w:w="856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208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780" w:type="dxa"/>
            <w:vAlign w:val="bottom"/>
          </w:tcPr>
          <w:p>
            <w:pPr>
              <w:spacing w:after="0"/>
              <w:rPr>
                <w:sz w:val="21"/>
                <w:szCs w:val="21"/>
                <w:color w:val="auto"/>
              </w:rPr>
            </w:pPr>
          </w:p>
        </w:tc>
        <w:tc>
          <w:tcPr>
            <w:tcW w:w="8560" w:type="dxa"/>
            <w:vAlign w:val="bottom"/>
          </w:tcPr>
          <w:p>
            <w:pPr>
              <w:jc w:val="right"/>
              <w:ind w:right="7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7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780" w:type="dxa"/>
            <w:vAlign w:val="bottom"/>
            <w:tcBorders>
              <w:bottom w:val="single" w:sz="8" w:color="auto"/>
            </w:tcBorders>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80" w:type="dxa"/>
            <w:vAlign w:val="bottom"/>
            <w:vMerge w:val="continue"/>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8"/>
                <w:szCs w:val="18"/>
                <w:color w:val="auto"/>
                <w:w w:val="99"/>
              </w:rPr>
              <w:t>9)</w:t>
            </w:r>
          </w:p>
        </w:tc>
        <w:tc>
          <w:tcPr>
            <w:tcW w:w="8560" w:type="dxa"/>
            <w:vAlign w:val="bottom"/>
          </w:tcPr>
          <w:p>
            <w:pPr>
              <w:ind w:left="240"/>
              <w:spacing w:after="0" w:line="162"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780" w:type="dxa"/>
            <w:vAlign w:val="bottom"/>
          </w:tcPr>
          <w:p>
            <w:pPr>
              <w:spacing w:after="0"/>
              <w:rPr>
                <w:sz w:val="18"/>
                <w:szCs w:val="18"/>
                <w:color w:val="auto"/>
              </w:rPr>
            </w:pPr>
          </w:p>
        </w:tc>
        <w:tc>
          <w:tcPr>
            <w:tcW w:w="8560" w:type="dxa"/>
            <w:vAlign w:val="bottom"/>
          </w:tcPr>
          <w:p>
            <w:pPr>
              <w:jc w:val="right"/>
              <w:ind w:right="7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7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780" w:type="dxa"/>
            <w:vAlign w:val="bottom"/>
            <w:tcBorders>
              <w:bottom w:val="single" w:sz="8" w:color="auto"/>
            </w:tcBorders>
          </w:tcPr>
          <w:p>
            <w:pPr>
              <w:spacing w:after="0"/>
              <w:rPr>
                <w:sz w:val="10"/>
                <w:szCs w:val="10"/>
                <w:color w:val="auto"/>
              </w:rPr>
            </w:pPr>
          </w:p>
        </w:tc>
        <w:tc>
          <w:tcPr>
            <w:tcW w:w="8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vMerge w:val="continue"/>
          </w:tcPr>
          <w:p>
            <w:pPr>
              <w:spacing w:after="0"/>
              <w:rPr>
                <w:sz w:val="8"/>
                <w:szCs w:val="8"/>
                <w:color w:val="auto"/>
              </w:rPr>
            </w:pPr>
          </w:p>
        </w:tc>
        <w:tc>
          <w:tcPr>
            <w:tcW w:w="7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2"/>
              </w:rPr>
              <w:t>10)</w:t>
            </w:r>
          </w:p>
        </w:tc>
        <w:tc>
          <w:tcPr>
            <w:tcW w:w="8560" w:type="dxa"/>
            <w:vAlign w:val="bottom"/>
            <w:vMerge w:val="restart"/>
          </w:tcPr>
          <w:p>
            <w:pPr>
              <w:ind w:left="240"/>
              <w:spacing w:after="0" w:line="201"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jc w:val="right"/>
              <w:ind w:right="7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0 —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right="3300" w:hanging="4793"/>
        <w:spacing w:after="0" w:line="282"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 xml:space="preserve">CHECK BOX IF THE AGGREGATE AMOUNT IN ROW (11) EXCLUDES CERTAIN SHARES </w:t>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PERCENT OF CLASS REPRESENTED BY AMOUNT IN ROW (11)</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jc w:val="both"/>
        <w:ind w:firstLine="648"/>
        <w:spacing w:after="0" w:line="259" w:lineRule="auto"/>
        <w:rPr>
          <w:sz w:val="20"/>
          <w:szCs w:val="20"/>
          <w:color w:val="auto"/>
        </w:rPr>
      </w:pPr>
      <w:r>
        <w:rPr>
          <w:rFonts w:ascii="Arial" w:cs="Arial" w:eastAsia="Arial" w:hAnsi="Arial"/>
          <w:sz w:val="18"/>
          <w:szCs w:val="18"/>
          <w:color w:val="auto"/>
        </w:rPr>
        <w:t>This Amendment No. 59 amends and supplements the Schedule 13D, dated November 27, 1998, as amended to date (the “Schedule 13D”), originally filed with the Securities and Exchange Commission by Jewelcor Management, Inc. (“JMI”) and others with respect to the common stock, $.01 par value (the “Common Stock”), of Casual Male Retail Group, Inc., a Delaware corporation (the “Company”). The address of the principal business and principal offices of the Company is 555 Turnpike Street, Canton, Massachusetts, 02021.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is hereby amended and supplemented as follows: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27, 2009, JMI executed an Amendment to Consulting Agreement with Casual Male Retail Group, Inc., dated as of May 17, 2009, which amends certain portions of the Consulting Agreement as previously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5(a) of the Schedule 13D is hereby amended and supplemented as follows: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4, 2009, the Reporting Persons included in this filing may be deemed to be the beneficial owners of 5,630,069 shares of Common Stock, representing an aggregate of approximately 12.83% of the outstanding shares of Common Stock based upon the 42,110,170 shares of Common Stock outstanding as of August 25, 2009 as reported by the Company in its Form 10-Q filed on August 25, 2009. Such amount includes options to purchase an aggregate of 1,690,000 shares of Common Stock and warrants to purchase an aggregate of 80,000 shares of Common Stock, all of which are immediately exercisable and are directly beneficially owned by Mr. Holtzman.</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2009, Seymour Holtzman beneficially owns 5,630,069 shares of Common Stock, representing an aggregate of approximately 12.83% of the outstanding shares of Common Stock. Such amount includes options to purchase an aggregate of 1,690,000 shares of Common Stock and warrants to purchase an aggregate of 80,000 shares of Common Stock, all of which are immediately exercisable and are directly beneficially owned by Mr. Holtzman.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is hereby amended and supplemented as follows: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27, 2009, JMI executed an Amendment to Consulting Agreement with Casual Male Retail Group, Inc., dated as of May 17, 2009, which amends certain portions of the Consulting Agreement as previously amended.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Exhibit 1. Amendment to Consulting Agreement dated as of May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knowledge and belief of the undersigned, the undersigned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11, 2009</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Seymour Holtzman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9246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924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50430" cy="9246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92468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upperLetter"/>
      <w:start w:val="1"/>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6"/>
    </w:lvl>
    <w:lvl w:ilvl="1">
      <w:lvlJc w:val="left"/>
      <w:lvlText w:val="%2)"/>
      <w:numFmt w:val="decimal"/>
      <w:start w:val="7"/>
    </w:lvl>
  </w:abstractNum>
  <w:abstractNum w:abstractNumId="4">
    <w:nsid w:val="7545E146"/>
    <w:multiLevelType w:val="hybridMultilevel"/>
    <w:lvl w:ilvl="0">
      <w:lvlJc w:val="left"/>
      <w:lvlText w:val="%1)"/>
      <w:numFmt w:val="decimal"/>
      <w:start w:val="14"/>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lvl w:ilvl="1">
      <w:lvlJc w:val="left"/>
      <w:lvlText w:val="%2"/>
      <w:numFmt w:val="upperLetter"/>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6"/>
    </w:lvl>
    <w:lvl w:ilvl="1">
      <w:lvlJc w:val="left"/>
      <w:lvlText w:val="%2)"/>
      <w:numFmt w:val="decimal"/>
      <w:start w:val="7"/>
    </w:lvl>
  </w:abstractNum>
  <w:abstractNum w:abstractNumId="10">
    <w:nsid w:val="1F16E9E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2019-12-10T07:01:11Z</dcterms:created>
  <dcterms:modified xsi:type="dcterms:W3CDTF">2019-12-10T07:01:11Z</dcterms:modified>
</cp:coreProperties>
</file>