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 value $.01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148711104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1" w:lineRule="exact"/>
        <w:rPr>
          <w:sz w:val="24"/>
          <w:szCs w:val="24"/>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 OF REPORTING PERSONS/</w:t>
      </w:r>
    </w:p>
    <w:p>
      <w:pPr>
        <w:spacing w:after="0" w:line="3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 (13-2670991)</w:t>
      </w:r>
    </w:p>
    <w:p>
      <w:pPr>
        <w:spacing w:after="0" w:line="200" w:lineRule="exact"/>
        <w:rPr>
          <w:sz w:val="24"/>
          <w:szCs w:val="24"/>
          <w:color w:val="auto"/>
        </w:rPr>
      </w:pPr>
    </w:p>
    <w:p>
      <w:pPr>
        <w:spacing w:after="0" w:line="204"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spacing w:after="0" w:line="204" w:lineRule="exact"/>
        <w:rPr>
          <w:sz w:val="24"/>
          <w:szCs w:val="24"/>
          <w:color w:val="auto"/>
        </w:rPr>
      </w:pPr>
    </w:p>
    <w:p>
      <w:pPr>
        <w:ind w:left="1280" w:right="7479" w:hanging="640"/>
        <w:spacing w:after="0" w:line="536" w:lineRule="auto"/>
        <w:tabs>
          <w:tab w:leader="none" w:pos="964"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7259" w:hanging="640"/>
        <w:spacing w:after="0" w:line="476" w:lineRule="auto"/>
        <w:tabs>
          <w:tab w:leader="none" w:pos="964"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 w:lineRule="exact"/>
        <w:rPr>
          <w:rFonts w:ascii="Courier New" w:cs="Courier New" w:eastAsia="Courier New" w:hAnsi="Courier New"/>
          <w:sz w:val="18"/>
          <w:szCs w:val="18"/>
          <w:color w:val="auto"/>
        </w:rPr>
      </w:pPr>
    </w:p>
    <w:p>
      <w:pPr>
        <w:ind w:left="1280" w:right="6939" w:hanging="640"/>
        <w:spacing w:after="0" w:line="476" w:lineRule="auto"/>
        <w:tabs>
          <w:tab w:leader="none" w:pos="964"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 w:lineRule="exact"/>
        <w:rPr>
          <w:rFonts w:ascii="Courier New" w:cs="Courier New" w:eastAsia="Courier New" w:hAnsi="Courier New"/>
          <w:sz w:val="18"/>
          <w:szCs w:val="18"/>
          <w:color w:val="auto"/>
        </w:rPr>
      </w:pPr>
    </w:p>
    <w:p>
      <w:pPr>
        <w:ind w:left="1280" w:right="6739" w:hanging="640"/>
        <w:spacing w:after="0" w:line="476" w:lineRule="auto"/>
        <w:tabs>
          <w:tab w:leader="none" w:pos="964"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640" w:right="3579" w:hanging="632"/>
        <w:spacing w:after="0" w:line="585" w:lineRule="auto"/>
        <w:tabs>
          <w:tab w:leader="none" w:pos="3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18,200</w:t>
      </w:r>
    </w:p>
    <w:p>
      <w:pPr>
        <w:sectPr>
          <w:pgSz w:w="11900" w:h="17011" w:orient="portrait"/>
          <w:cols w:equalWidth="0" w:num="1">
            <w:col w:w="10219"/>
          </w:cols>
          <w:pgMar w:left="240" w:top="218" w:right="1440" w:bottom="0" w:gutter="0" w:footer="0" w:header="0"/>
        </w:sectPr>
      </w:pPr>
    </w:p>
    <w:bookmarkStart w:id="1" w:name="page2"/>
    <w:bookmarkEnd w:id="1"/>
    <w:p>
      <w:pPr>
        <w:ind w:left="640" w:hanging="632"/>
        <w:spacing w:after="0"/>
        <w:tabs>
          <w:tab w:leader="none" w:pos="6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640" w:right="4419" w:hanging="632"/>
        <w:spacing w:after="0" w:line="476"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tabs>
          <w:tab w:leader="none" w:pos="1040" w:val="left"/>
        </w:tabs>
        <w:rPr>
          <w:sz w:val="20"/>
          <w:szCs w:val="20"/>
          <w:color w:val="auto"/>
        </w:rPr>
      </w:pPr>
      <w:r>
        <w:rPr>
          <w:rFonts w:ascii="Courier New" w:cs="Courier New" w:eastAsia="Courier New" w:hAnsi="Courier New"/>
          <w:sz w:val="18"/>
          <w:szCs w:val="18"/>
          <w:color w:val="auto"/>
        </w:rPr>
        <w:t>HC</w:t>
      </w:r>
      <w:r>
        <w:rPr>
          <w:sz w:val="20"/>
          <w:szCs w:val="20"/>
          <w:color w:val="auto"/>
        </w:rPr>
        <w:tab/>
      </w:r>
      <w:r>
        <w:rPr>
          <w:rFonts w:ascii="Courier New" w:cs="Courier New" w:eastAsia="Courier New" w:hAnsi="Courier New"/>
          <w:sz w:val="16"/>
          <w:szCs w:val="16"/>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NAME OF REPORTING PERSONS/</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USA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0"/>
          <w:szCs w:val="20"/>
          <w:color w:val="auto"/>
        </w:rPr>
      </w:pPr>
    </w:p>
    <w:p>
      <w:pPr>
        <w:spacing w:after="0" w:line="204" w:lineRule="exact"/>
        <w:rPr>
          <w:sz w:val="20"/>
          <w:szCs w:val="20"/>
          <w:color w:val="auto"/>
        </w:rPr>
      </w:pPr>
    </w:p>
    <w:p>
      <w:pPr>
        <w:ind w:left="1280" w:right="7479" w:hanging="640"/>
        <w:spacing w:after="0" w:line="536" w:lineRule="auto"/>
        <w:tabs>
          <w:tab w:leader="none" w:pos="964"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7259" w:hanging="640"/>
        <w:spacing w:after="0" w:line="476" w:lineRule="auto"/>
        <w:tabs>
          <w:tab w:leader="none" w:pos="96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 w:lineRule="exact"/>
        <w:rPr>
          <w:rFonts w:ascii="Courier New" w:cs="Courier New" w:eastAsia="Courier New" w:hAnsi="Courier New"/>
          <w:sz w:val="18"/>
          <w:szCs w:val="18"/>
          <w:color w:val="auto"/>
        </w:rPr>
      </w:pPr>
    </w:p>
    <w:p>
      <w:pPr>
        <w:ind w:left="1280" w:right="6939" w:hanging="640"/>
        <w:spacing w:after="0" w:line="476" w:lineRule="auto"/>
        <w:tabs>
          <w:tab w:leader="none" w:pos="96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 w:lineRule="exact"/>
        <w:rPr>
          <w:rFonts w:ascii="Courier New" w:cs="Courier New" w:eastAsia="Courier New" w:hAnsi="Courier New"/>
          <w:sz w:val="18"/>
          <w:szCs w:val="18"/>
          <w:color w:val="auto"/>
        </w:rPr>
      </w:pPr>
    </w:p>
    <w:p>
      <w:pPr>
        <w:ind w:left="1280" w:right="6739" w:hanging="640"/>
        <w:spacing w:after="0" w:line="476" w:lineRule="auto"/>
        <w:tabs>
          <w:tab w:leader="none" w:pos="96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640" w:right="3579" w:hanging="632"/>
        <w:spacing w:after="0" w:line="476" w:lineRule="auto"/>
        <w:tabs>
          <w:tab w:leader="none" w:pos="32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18,200</w:t>
      </w:r>
    </w:p>
    <w:p>
      <w:pPr>
        <w:spacing w:after="0" w:line="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0.05%</w:t>
      </w:r>
    </w:p>
    <w:p>
      <w:pPr>
        <w:spacing w:after="0" w:line="201" w:lineRule="exact"/>
        <w:rPr>
          <w:sz w:val="20"/>
          <w:szCs w:val="20"/>
          <w:color w:val="auto"/>
        </w:rPr>
      </w:pPr>
    </w:p>
    <w:p>
      <w:pPr>
        <w:ind w:left="640" w:right="7259" w:hanging="632"/>
        <w:spacing w:after="0" w:line="688" w:lineRule="auto"/>
        <w:tabs>
          <w:tab w:leader="none" w:pos="42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HC (See Item 4)</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NAME OF REPORTING PERSONS/</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USA</w:t>
      </w:r>
    </w:p>
    <w:p>
      <w:pPr>
        <w:sectPr>
          <w:pgSz w:w="11900" w:h="16838" w:orient="portrait"/>
          <w:cols w:equalWidth="0" w:num="1">
            <w:col w:w="10219"/>
          </w:cols>
          <w:pgMar w:left="24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1280" w:right="7479" w:hanging="640"/>
        <w:spacing w:after="0" w:line="536" w:lineRule="auto"/>
        <w:tabs>
          <w:tab w:leader="none" w:pos="96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7259" w:hanging="640"/>
        <w:spacing w:after="0" w:line="476" w:lineRule="auto"/>
        <w:tabs>
          <w:tab w:leader="none" w:pos="964"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 w:lineRule="exact"/>
        <w:rPr>
          <w:rFonts w:ascii="Courier New" w:cs="Courier New" w:eastAsia="Courier New" w:hAnsi="Courier New"/>
          <w:sz w:val="18"/>
          <w:szCs w:val="18"/>
          <w:color w:val="auto"/>
        </w:rPr>
      </w:pPr>
    </w:p>
    <w:p>
      <w:pPr>
        <w:ind w:left="1280" w:right="6939" w:hanging="640"/>
        <w:spacing w:after="0" w:line="476" w:lineRule="auto"/>
        <w:tabs>
          <w:tab w:leader="none" w:pos="964"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 w:lineRule="exact"/>
        <w:rPr>
          <w:rFonts w:ascii="Courier New" w:cs="Courier New" w:eastAsia="Courier New" w:hAnsi="Courier New"/>
          <w:sz w:val="18"/>
          <w:szCs w:val="18"/>
          <w:color w:val="auto"/>
        </w:rPr>
      </w:pPr>
    </w:p>
    <w:p>
      <w:pPr>
        <w:ind w:left="1280" w:right="6739" w:hanging="640"/>
        <w:spacing w:after="0" w:line="476" w:lineRule="auto"/>
        <w:tabs>
          <w:tab w:leader="none" w:pos="964"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640" w:right="3579" w:hanging="632"/>
        <w:spacing w:after="0" w:line="476" w:lineRule="auto"/>
        <w:tabs>
          <w:tab w:leader="none" w:pos="32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18,200</w:t>
      </w:r>
    </w:p>
    <w:p>
      <w:pPr>
        <w:spacing w:after="0" w:line="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640" w:right="4419" w:hanging="632"/>
        <w:spacing w:after="0" w:line="476"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tabs>
          <w:tab w:leader="none" w:pos="1040" w:val="left"/>
        </w:tabs>
        <w:rPr>
          <w:sz w:val="20"/>
          <w:szCs w:val="20"/>
          <w:color w:val="auto"/>
        </w:rPr>
      </w:pPr>
      <w:r>
        <w:rPr>
          <w:rFonts w:ascii="Courier New" w:cs="Courier New" w:eastAsia="Courier New" w:hAnsi="Courier New"/>
          <w:sz w:val="18"/>
          <w:szCs w:val="18"/>
          <w:color w:val="auto"/>
        </w:rPr>
        <w:t>HC</w:t>
      </w:r>
      <w:r>
        <w:rPr>
          <w:sz w:val="20"/>
          <w:szCs w:val="20"/>
          <w:color w:val="auto"/>
        </w:rPr>
        <w:tab/>
      </w:r>
      <w:r>
        <w:rPr>
          <w:rFonts w:ascii="Courier New" w:cs="Courier New" w:eastAsia="Courier New" w:hAnsi="Courier New"/>
          <w:sz w:val="16"/>
          <w:szCs w:val="16"/>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NAME OF REPORTING PERSONS/</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California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0"/>
          <w:szCs w:val="20"/>
          <w:color w:val="auto"/>
        </w:rPr>
      </w:pPr>
    </w:p>
    <w:p>
      <w:pPr>
        <w:spacing w:after="0" w:line="204" w:lineRule="exact"/>
        <w:rPr>
          <w:sz w:val="20"/>
          <w:szCs w:val="20"/>
          <w:color w:val="auto"/>
        </w:rPr>
      </w:pPr>
    </w:p>
    <w:p>
      <w:pPr>
        <w:ind w:left="1280" w:right="6939" w:hanging="640"/>
        <w:spacing w:after="0" w:line="536" w:lineRule="auto"/>
        <w:tabs>
          <w:tab w:leader="none" w:pos="964"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18,200 (See Item 4)</w:t>
      </w:r>
    </w:p>
    <w:p>
      <w:pPr>
        <w:ind w:left="320" w:hanging="312"/>
        <w:spacing w:after="0"/>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1280" w:right="6939" w:hanging="1272"/>
        <w:spacing w:after="0" w:line="536" w:lineRule="auto"/>
        <w:tabs>
          <w:tab w:leader="none" w:pos="33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18,200 (See Item 4)</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 SHARED DISPOSITIVE POWER</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640" w:right="3579" w:hanging="632"/>
        <w:spacing w:after="0" w:line="476" w:lineRule="auto"/>
        <w:tabs>
          <w:tab w:leader="none" w:pos="32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18,200</w:t>
      </w:r>
    </w:p>
    <w:p>
      <w:pPr>
        <w:spacing w:after="0" w:line="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ectPr>
          <w:pgSz w:w="11900" w:h="16838" w:orient="portrait"/>
          <w:cols w:equalWidth="0" w:num="1">
            <w:col w:w="10219"/>
          </w:cols>
          <w:pgMar w:left="240" w:top="312" w:right="1440" w:bottom="0" w:gutter="0" w:footer="0" w:header="0"/>
        </w:sectPr>
      </w:pPr>
    </w:p>
    <w:bookmarkStart w:id="3" w:name="page4"/>
    <w:bookmarkEnd w:id="3"/>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0.05%</w:t>
      </w:r>
    </w:p>
    <w:p>
      <w:pPr>
        <w:spacing w:after="0" w:line="201" w:lineRule="exact"/>
        <w:rPr>
          <w:sz w:val="20"/>
          <w:szCs w:val="20"/>
          <w:color w:val="auto"/>
        </w:rPr>
      </w:pPr>
    </w:p>
    <w:p>
      <w:pPr>
        <w:ind w:left="640" w:right="7259" w:hanging="632"/>
        <w:spacing w:after="0" w:line="585" w:lineRule="auto"/>
        <w:tabs>
          <w:tab w:leader="none" w:pos="42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69"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Casual Male Retail Group, Inc.</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555 Turnpike Street</w:t>
      </w:r>
    </w:p>
    <w:p>
      <w:pPr>
        <w:spacing w:after="0" w:line="31"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169"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spacing w:after="0" w:line="30"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Advisers, Inc.</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(ii), (iii),and (iv):</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One Franklin Parkway</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San Mateo, CA</w:t>
      </w:r>
      <w:r>
        <w:rPr>
          <w:sz w:val="20"/>
          <w:szCs w:val="20"/>
          <w:color w:val="auto"/>
        </w:rPr>
        <w:tab/>
      </w:r>
      <w:r>
        <w:rPr>
          <w:rFonts w:ascii="Courier New" w:cs="Courier New" w:eastAsia="Courier New" w:hAnsi="Courier New"/>
          <w:sz w:val="16"/>
          <w:szCs w:val="16"/>
          <w:color w:val="auto"/>
        </w:rPr>
        <w:t>94403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Place of Organization or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Delaware</w:t>
      </w:r>
    </w:p>
    <w:p>
      <w:pPr>
        <w:spacing w:after="0" w:line="31" w:lineRule="exact"/>
        <w:rPr>
          <w:sz w:val="20"/>
          <w:szCs w:val="20"/>
          <w:color w:val="auto"/>
        </w:rPr>
      </w:pPr>
    </w:p>
    <w:p>
      <w:pPr>
        <w:ind w:left="1060" w:hanging="525"/>
        <w:spacing w:after="0"/>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 (iv): California</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 par value $.01</w:t>
      </w:r>
    </w:p>
    <w:p>
      <w:pPr>
        <w:spacing w:after="0" w:line="201" w:lineRule="exact"/>
        <w:rPr>
          <w:sz w:val="20"/>
          <w:szCs w:val="20"/>
          <w:color w:val="auto"/>
        </w:rPr>
      </w:pPr>
    </w:p>
    <w:p>
      <w:pPr>
        <w:ind w:left="540" w:right="8419" w:hanging="532"/>
        <w:spacing w:after="0" w:line="688" w:lineRule="auto"/>
        <w:tabs>
          <w:tab w:leader="none" w:pos="43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148711104</w:t>
      </w:r>
    </w:p>
    <w:p>
      <w:pPr>
        <w:spacing w:after="0" w:line="379"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Item 3. This statement is filed pursuant to Rule 13d-1(b) or 13d-2 and the persons filing are: Franklin Resources, Inc., a parent holding company in accordance with Section 240.13d-1(b)1(ii)(G); Charles B. Johnson, a control person in accordance with Section 240.13d-1(b)1(ii)(G); Rupert H. Johnson, Jr., a control person in accordance with Section 240.13d-1(b)1(ii)(G); and Franklin Advisers, Inc., an investment adviser in accordance with Section 240.13d-1(b)1(ii)(E). (Note: See Item 4)</w:t>
      </w:r>
    </w:p>
    <w:p>
      <w:pPr>
        <w:spacing w:after="0" w:line="9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including any subsidiary(ies) set forth in Item 7 below,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as amended (the "1934 Act") the beneficial owner of the securities covered by this statement.</w:t>
      </w:r>
    </w:p>
    <w:p>
      <w:pPr>
        <w:spacing w:after="0" w:line="104" w:lineRule="exact"/>
        <w:rPr>
          <w:sz w:val="20"/>
          <w:szCs w:val="20"/>
          <w:color w:val="auto"/>
        </w:rPr>
      </w:pPr>
    </w:p>
    <w:p>
      <w:pPr>
        <w:ind w:right="1779"/>
        <w:spacing w:after="0" w:line="282" w:lineRule="auto"/>
        <w:rPr>
          <w:sz w:val="20"/>
          <w:szCs w:val="20"/>
          <w:color w:val="auto"/>
        </w:rPr>
      </w:pPr>
      <w:r>
        <w:rPr>
          <w:rFonts w:ascii="Courier New" w:cs="Courier New" w:eastAsia="Courier New" w:hAnsi="Courier New"/>
          <w:sz w:val="16"/>
          <w:szCs w:val="16"/>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formerly Franklin Mutual Advisers, Inc., an indirect wholly owned investment advisory subsidiary of FRI, are exercised independently from FRI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w:t>
      </w:r>
    </w:p>
    <w:p>
      <w:pPr>
        <w:sectPr>
          <w:pgSz w:w="11900" w:h="16844" w:orient="portrait"/>
          <w:cols w:equalWidth="0" w:num="1">
            <w:col w:w="10219"/>
          </w:cols>
          <w:pgMar w:left="240" w:top="110" w:right="1440" w:bottom="0" w:gutter="0" w:footer="0" w:header="0"/>
        </w:sectPr>
      </w:pPr>
    </w:p>
    <w:bookmarkStart w:id="4" w:name="page5"/>
    <w:bookmarkEnd w:id="4"/>
    <w:p>
      <w:pPr>
        <w:ind w:right="1779"/>
        <w:spacing w:after="0" w:line="274" w:lineRule="auto"/>
        <w:rPr>
          <w:sz w:val="20"/>
          <w:szCs w:val="20"/>
          <w:color w:val="auto"/>
        </w:rPr>
      </w:pPr>
      <w:r>
        <w:rPr>
          <w:rFonts w:ascii="Courier New" w:cs="Courier New" w:eastAsia="Courier New" w:hAnsi="Courier New"/>
          <w:sz w:val="18"/>
          <w:szCs w:val="18"/>
          <w:color w:val="auto"/>
        </w:rPr>
        <w:t>affiliates of information that relates to the voting and investment powers over the securities owned by their respective advisory clients. Consequently, FMA and the FRI affiliates are each reporting the securities over which they hold investment and voting power separately from each other.</w:t>
      </w:r>
    </w:p>
    <w:p>
      <w:pPr>
        <w:spacing w:after="0" w:line="82"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104"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90" w:lineRule="exact"/>
        <w:rPr>
          <w:sz w:val="20"/>
          <w:szCs w:val="20"/>
          <w:color w:val="auto"/>
        </w:rPr>
      </w:pPr>
    </w:p>
    <w:p>
      <w:pPr>
        <w:ind w:left="740" w:right="6739" w:hanging="416"/>
        <w:spacing w:after="0" w:line="585"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18,200</w:t>
      </w:r>
    </w:p>
    <w:p>
      <w:pPr>
        <w:spacing w:after="0" w:line="2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0.05%</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0"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9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180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800" w:type="dxa"/>
            <w:vAlign w:val="bottom"/>
            <w:vMerge w:val="restart"/>
          </w:tcPr>
          <w:p>
            <w:pPr>
              <w:jc w:val="right"/>
              <w:ind w:right="129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w:t>
            </w: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Jr.:</w:t>
            </w: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0"/>
                <w:szCs w:val="20"/>
                <w:color w:val="auto"/>
              </w:rPr>
            </w:pPr>
            <w:r>
              <w:rPr>
                <w:rFonts w:ascii="Courier New" w:cs="Courier New" w:eastAsia="Courier New" w:hAnsi="Courier New"/>
                <w:sz w:val="18"/>
                <w:szCs w:val="18"/>
                <w:color w:val="auto"/>
              </w:rPr>
              <w:t>Franklin Advisers,</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Inc.:</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18,200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(ii) Shared power to vote or to direct the vote: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0"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9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180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800" w:type="dxa"/>
            <w:vAlign w:val="bottom"/>
            <w:vMerge w:val="restart"/>
          </w:tcPr>
          <w:p>
            <w:pPr>
              <w:jc w:val="right"/>
              <w:ind w:right="129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w:t>
            </w: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Jr.:</w:t>
            </w: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0"/>
                <w:szCs w:val="20"/>
                <w:color w:val="auto"/>
              </w:rPr>
            </w:pPr>
            <w:r>
              <w:rPr>
                <w:rFonts w:ascii="Courier New" w:cs="Courier New" w:eastAsia="Courier New" w:hAnsi="Courier New"/>
                <w:sz w:val="18"/>
                <w:szCs w:val="18"/>
                <w:color w:val="auto"/>
              </w:rPr>
              <w:t>Franklin Advisers,</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Inc.:</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18,200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Item 5. 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8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or power to direct the receipt of dividends from, as well as the proceeds from the sale of, such securities reported on in this statement.</w:t>
      </w:r>
    </w:p>
    <w:p>
      <w:pPr>
        <w:spacing w:after="0" w:line="90"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ectPr>
          <w:pgSz w:w="11900" w:h="16838" w:orient="portrait"/>
          <w:cols w:equalWidth="0" w:num="1">
            <w:col w:w="10219"/>
          </w:cols>
          <w:pgMar w:left="240" w:top="110" w:right="1440" w:bottom="0" w:gutter="0" w:footer="0" w:header="0"/>
        </w:sectPr>
      </w:pPr>
    </w:p>
    <w:p>
      <w:pPr>
        <w:spacing w:after="0" w:line="6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Franklin Advisers, Inc.</w:t>
      </w:r>
    </w:p>
    <w:p>
      <w:pPr>
        <w:spacing w:after="0" w:line="5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also Item 4)</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 3(e)</w:t>
      </w:r>
    </w:p>
    <w:p>
      <w:pPr>
        <w:spacing w:after="0" w:line="426" w:lineRule="exact"/>
        <w:rPr>
          <w:sz w:val="20"/>
          <w:szCs w:val="20"/>
          <w:color w:val="auto"/>
        </w:rPr>
      </w:pPr>
    </w:p>
    <w:p>
      <w:pPr>
        <w:sectPr>
          <w:pgSz w:w="11900" w:h="16838" w:orient="portrait"/>
          <w:cols w:equalWidth="0" w:num="2">
            <w:col w:w="3500" w:space="720"/>
            <w:col w:w="5999"/>
          </w:cols>
          <w:pgMar w:left="240" w:top="110" w:right="1440" w:bottom="0" w:gutter="0" w:footer="0" w:header="0"/>
          <w:type w:val="continuous"/>
        </w:sect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 (See also Item 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ectPr>
          <w:pgSz w:w="11900" w:h="16838" w:orient="portrait"/>
          <w:cols w:equalWidth="0" w:num="1">
            <w:col w:w="10219"/>
          </w:cols>
          <w:pgMar w:left="240" w:top="110" w:right="1440" w:bottom="0" w:gutter="0" w:footer="0" w:header="0"/>
          <w:type w:val="continuous"/>
        </w:sectPr>
      </w:pPr>
    </w:p>
    <w:bookmarkStart w:id="5" w:name="page6"/>
    <w:bookmarkEnd w:id="5"/>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or not held in connection with or as a participant in any transaction having that purposes or effect.</w:t>
      </w:r>
    </w:p>
    <w:p>
      <w:pPr>
        <w:spacing w:after="0" w:line="93" w:lineRule="exact"/>
        <w:rPr>
          <w:sz w:val="20"/>
          <w:szCs w:val="20"/>
          <w:color w:val="auto"/>
        </w:rPr>
      </w:pPr>
    </w:p>
    <w:p>
      <w:pPr>
        <w:ind w:right="2199"/>
        <w:spacing w:after="0" w:line="292"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66" w:lineRule="exact"/>
        <w:rPr>
          <w:sz w:val="20"/>
          <w:szCs w:val="20"/>
          <w:color w:val="auto"/>
        </w:rPr>
      </w:pPr>
    </w:p>
    <w:p>
      <w:pPr>
        <w:ind w:right="1779"/>
        <w:spacing w:after="0" w:line="402" w:lineRule="auto"/>
        <w:rPr>
          <w:sz w:val="20"/>
          <w:szCs w:val="20"/>
          <w:color w:val="auto"/>
        </w:rPr>
      </w:pPr>
      <w:r>
        <w:rPr>
          <w:rFonts w:ascii="Courier New" w:cs="Courier New" w:eastAsia="Courier New" w:hAnsi="Courier New"/>
          <w:sz w:val="16"/>
          <w:szCs w:val="16"/>
          <w:color w:val="auto"/>
        </w:rPr>
        <w:t>After reasonable inquiry and to the best of our knowledge and belief, we certify that the information set forth in this statement is true, complete and correct.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9, 2005</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Franklin Resources, Inc.</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Charles B. Johnson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Rupert H. Johnson, Jr.</w:t>
      </w:r>
    </w:p>
    <w:p>
      <w:pPr>
        <w:jc w:val="center"/>
        <w:ind w:right="1879"/>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/s/BARBARA J. GREEN</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Barbara J. Green</w:t>
      </w:r>
    </w:p>
    <w:p>
      <w:pPr>
        <w:ind w:left="420"/>
        <w:spacing w:after="0"/>
        <w:rPr>
          <w:sz w:val="20"/>
          <w:szCs w:val="20"/>
          <w:color w:val="auto"/>
        </w:rPr>
      </w:pPr>
      <w:r>
        <w:rPr>
          <w:rFonts w:ascii="Courier New" w:cs="Courier New" w:eastAsia="Courier New" w:hAnsi="Courier New"/>
          <w:sz w:val="18"/>
          <w:szCs w:val="18"/>
          <w:color w:val="auto"/>
        </w:rPr>
        <w:t>Vice President, Deputy General Counsel,</w:t>
      </w:r>
    </w:p>
    <w:p>
      <w:pPr>
        <w:ind w:left="420"/>
        <w:spacing w:after="0"/>
        <w:rPr>
          <w:sz w:val="20"/>
          <w:szCs w:val="20"/>
          <w:color w:val="auto"/>
        </w:rPr>
      </w:pPr>
      <w:r>
        <w:rPr>
          <w:rFonts w:ascii="Courier New" w:cs="Courier New" w:eastAsia="Courier New" w:hAnsi="Courier New"/>
          <w:sz w:val="18"/>
          <w:szCs w:val="18"/>
          <w:color w:val="auto"/>
        </w:rPr>
        <w:t>and Secretary of Franklin Resources, Inc.</w:t>
      </w:r>
    </w:p>
    <w:p>
      <w:pPr>
        <w:spacing w:after="0" w:line="169" w:lineRule="exact"/>
        <w:rPr>
          <w:sz w:val="20"/>
          <w:szCs w:val="20"/>
          <w:color w:val="auto"/>
        </w:rPr>
      </w:pPr>
    </w:p>
    <w:p>
      <w:pPr>
        <w:ind w:right="2939"/>
        <w:spacing w:after="0" w:line="347" w:lineRule="auto"/>
        <w:rPr>
          <w:sz w:val="20"/>
          <w:szCs w:val="20"/>
          <w:color w:val="auto"/>
        </w:rPr>
      </w:pPr>
      <w:r>
        <w:rPr>
          <w:rFonts w:ascii="Courier New" w:cs="Courier New" w:eastAsia="Courier New" w:hAnsi="Courier New"/>
          <w:sz w:val="18"/>
          <w:szCs w:val="18"/>
          <w:color w:val="auto"/>
        </w:rPr>
        <w:t>Attorney-in-Fact for Charles B. Johnson pursuant to Power of Attorney attached to this Schedule 13G</w:t>
      </w:r>
    </w:p>
    <w:p>
      <w:pPr>
        <w:spacing w:after="0" w:line="18"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Attorney-in-Fact for Rupert H. Johnson, Jr. pursuant to Power of Attorney attached to this Schedule 13G</w:t>
      </w:r>
    </w:p>
    <w:p>
      <w:pPr>
        <w:spacing w:after="0" w:line="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90"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IN WITNESS WHEREOF, the undersigned hereby execute this agreement on February 9, 2005.</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38" w:lineRule="auto"/>
        <w:rPr>
          <w:sz w:val="20"/>
          <w:szCs w:val="20"/>
          <w:color w:val="auto"/>
        </w:rPr>
      </w:pPr>
      <w:r>
        <w:rPr>
          <w:rFonts w:ascii="Courier New" w:cs="Courier New" w:eastAsia="Courier New" w:hAnsi="Courier New"/>
          <w:sz w:val="18"/>
          <w:szCs w:val="18"/>
          <w:color w:val="auto"/>
        </w:rPr>
        <w:t>Rupert H. Johnson, Jr.</w:t>
      </w:r>
    </w:p>
    <w:p>
      <w:pPr>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/s/BARBARA J. GREEN</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Barbara J. Green</w:t>
      </w:r>
    </w:p>
    <w:p>
      <w:pPr>
        <w:ind w:left="420"/>
        <w:spacing w:after="0"/>
        <w:rPr>
          <w:sz w:val="20"/>
          <w:szCs w:val="20"/>
          <w:color w:val="auto"/>
        </w:rPr>
      </w:pPr>
      <w:r>
        <w:rPr>
          <w:rFonts w:ascii="Courier New" w:cs="Courier New" w:eastAsia="Courier New" w:hAnsi="Courier New"/>
          <w:sz w:val="18"/>
          <w:szCs w:val="18"/>
          <w:color w:val="auto"/>
        </w:rPr>
        <w:t>Vice President, Deputy General Counsel,</w:t>
      </w:r>
    </w:p>
    <w:p>
      <w:pPr>
        <w:ind w:left="420"/>
        <w:spacing w:after="0"/>
        <w:rPr>
          <w:sz w:val="20"/>
          <w:szCs w:val="20"/>
          <w:color w:val="auto"/>
        </w:rPr>
      </w:pPr>
      <w:r>
        <w:rPr>
          <w:rFonts w:ascii="Courier New" w:cs="Courier New" w:eastAsia="Courier New" w:hAnsi="Courier New"/>
          <w:sz w:val="18"/>
          <w:szCs w:val="18"/>
          <w:color w:val="auto"/>
        </w:rPr>
        <w:t>and Secretary of Franklin Resources, Inc.</w:t>
      </w:r>
    </w:p>
    <w:p>
      <w:pPr>
        <w:spacing w:after="0" w:line="169" w:lineRule="exact"/>
        <w:rPr>
          <w:sz w:val="20"/>
          <w:szCs w:val="20"/>
          <w:color w:val="auto"/>
        </w:rPr>
      </w:pPr>
    </w:p>
    <w:p>
      <w:pPr>
        <w:ind w:right="2939"/>
        <w:spacing w:after="0" w:line="347" w:lineRule="auto"/>
        <w:rPr>
          <w:sz w:val="20"/>
          <w:szCs w:val="20"/>
          <w:color w:val="auto"/>
        </w:rPr>
      </w:pPr>
      <w:r>
        <w:rPr>
          <w:rFonts w:ascii="Courier New" w:cs="Courier New" w:eastAsia="Courier New" w:hAnsi="Courier New"/>
          <w:sz w:val="18"/>
          <w:szCs w:val="18"/>
          <w:color w:val="auto"/>
        </w:rPr>
        <w:t>Attorney-in-Fact for Charles B. Johnson pursuant to Power of Attorney attached to this Schedule 13G</w:t>
      </w:r>
    </w:p>
    <w:p>
      <w:pPr>
        <w:spacing w:after="0" w:line="18"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Attorney-in-Fact for Rupert H. Johnson, Jr. pursuant to Power of Attorney attached to this Schedule 13G</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of Franklin Advisers, Inc.</w:t>
      </w:r>
    </w:p>
    <w:p>
      <w:pPr>
        <w:sectPr>
          <w:pgSz w:w="11900" w:h="16838" w:orient="portrait"/>
          <w:cols w:equalWidth="0" w:num="1">
            <w:col w:w="10219"/>
          </w:cols>
          <w:pgMar w:left="240" w:top="110"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879"/>
        <w:spacing w:after="0" w:line="287" w:lineRule="auto"/>
        <w:rPr>
          <w:sz w:val="20"/>
          <w:szCs w:val="20"/>
          <w:color w:val="auto"/>
        </w:rPr>
      </w:pPr>
      <w:r>
        <w:rPr>
          <w:rFonts w:ascii="Courier New" w:cs="Courier New" w:eastAsia="Courier New" w:hAnsi="Courier New"/>
          <w:sz w:val="16"/>
          <w:szCs w:val="16"/>
          <w:color w:val="auto"/>
        </w:rPr>
        <w:t>CHARLES B. JOHNSON hereby appoints BARBARA J. GREEN his true and lawful attorney-in-fact and agent to execute and file with the Securities and Exchange Commission any Schedule 13G or 13D,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ectPr>
          <w:pgSz w:w="11900" w:h="16838" w:orient="portrait"/>
          <w:cols w:equalWidth="0" w:num="1">
            <w:col w:w="10219"/>
          </w:cols>
          <w:pgMar w:left="240" w:top="312" w:right="1440" w:bottom="1440" w:gutter="0" w:footer="0" w:header="0"/>
        </w:sectPr>
      </w:pPr>
    </w:p>
    <w:p>
      <w:pPr>
        <w:spacing w:after="0" w:line="75" w:lineRule="exact"/>
        <w:rPr>
          <w:sz w:val="20"/>
          <w:szCs w:val="20"/>
          <w:color w:val="auto"/>
        </w:rPr>
      </w:pPr>
    </w:p>
    <w:p>
      <w:pPr>
        <w:jc w:val="right"/>
        <w:ind w:right="440"/>
        <w:spacing w:after="0" w:line="347" w:lineRule="auto"/>
        <w:rPr>
          <w:sz w:val="20"/>
          <w:szCs w:val="20"/>
          <w:color w:val="auto"/>
        </w:rPr>
      </w:pPr>
      <w:r>
        <w:rPr>
          <w:rFonts w:ascii="Courier New" w:cs="Courier New" w:eastAsia="Courier New" w:hAnsi="Courier New"/>
          <w:sz w:val="18"/>
          <w:szCs w:val="18"/>
          <w:color w:val="auto"/>
        </w:rPr>
        <w:t>Date: 9-11-03 -------</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/s/Charles B. Johnson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Charles B. Johnson</w:t>
      </w:r>
    </w:p>
    <w:p>
      <w:pPr>
        <w:spacing w:after="0" w:line="169" w:lineRule="exact"/>
        <w:rPr>
          <w:sz w:val="20"/>
          <w:szCs w:val="20"/>
          <w:color w:val="auto"/>
        </w:rPr>
      </w:pPr>
    </w:p>
    <w:p>
      <w:pPr>
        <w:sectPr>
          <w:pgSz w:w="11900" w:h="16838" w:orient="portrait"/>
          <w:cols w:equalWidth="0" w:num="2">
            <w:col w:w="1820" w:space="720"/>
            <w:col w:w="767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779"/>
        <w:spacing w:after="0" w:line="288" w:lineRule="auto"/>
        <w:rPr>
          <w:sz w:val="20"/>
          <w:szCs w:val="20"/>
          <w:color w:val="auto"/>
        </w:rPr>
      </w:pPr>
      <w:r>
        <w:rPr>
          <w:rFonts w:ascii="Courier New" w:cs="Courier New" w:eastAsia="Courier New" w:hAnsi="Courier New"/>
          <w:sz w:val="16"/>
          <w:szCs w:val="16"/>
          <w:color w:val="auto"/>
        </w:rPr>
        <w:t>RUPERT H. JOHNSON hereby appoints BARBARA J. GREEN his true and lawful attorney-in-fact and agent to execute and file with the Securities and Exchange Commission any Schedule 13G or 13D,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86"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Date: Sept 4, 2003</w:t>
      </w:r>
      <w:r>
        <w:rPr>
          <w:sz w:val="20"/>
          <w:szCs w:val="20"/>
          <w:color w:val="auto"/>
        </w:rPr>
        <w:tab/>
      </w:r>
      <w:r>
        <w:rPr>
          <w:rFonts w:ascii="Courier New" w:cs="Courier New" w:eastAsia="Courier New" w:hAnsi="Courier New"/>
          <w:sz w:val="16"/>
          <w:szCs w:val="16"/>
          <w:color w:val="auto"/>
        </w:rPr>
        <w:t>/s/Rupert H. Johnson, Jr.</w:t>
      </w:r>
    </w:p>
    <w:p>
      <w:pPr>
        <w:spacing w:after="0" w:line="29" w:lineRule="exact"/>
        <w:rPr>
          <w:sz w:val="20"/>
          <w:szCs w:val="20"/>
          <w:color w:val="auto"/>
        </w:rPr>
      </w:pPr>
    </w:p>
    <w:p>
      <w:pPr>
        <w:ind w:left="64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Rupert H. Johnson</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2"/>
    </w:lvl>
    <w:lvl w:ilvl="1">
      <w:lvlJc w:val="left"/>
      <w:lvlText w:val="(%2)"/>
      <w:numFmt w:val="lowerLetter"/>
      <w:start w:val="1"/>
    </w:lvl>
  </w:abstractNum>
  <w:abstractNum w:abstractNumId="1">
    <w:nsid w:val="140E0F76"/>
    <w:multiLevelType w:val="hybridMultilevel"/>
    <w:lvl w:ilvl="0">
      <w:lvlJc w:val="left"/>
      <w:lvlText w:val="%1"/>
      <w:numFmt w:val="decimal"/>
      <w:start w:val="1"/>
    </w:lvl>
    <w:lvl w:ilvl="1">
      <w:lvlJc w:val="left"/>
      <w:lvlText w:val="%2."/>
      <w:numFmt w:val="decimal"/>
      <w:start w:val="5"/>
    </w:lvl>
  </w:abstractNum>
  <w:abstractNum w:abstractNumId="2">
    <w:nsid w:val="3352255A"/>
    <w:multiLevelType w:val="hybridMultilevel"/>
    <w:lvl w:ilvl="0">
      <w:lvlJc w:val="left"/>
      <w:lvlText w:val="%1."/>
      <w:numFmt w:val="decimal"/>
      <w:start w:val="9"/>
    </w:lvl>
    <w:lvl w:ilvl="1">
      <w:lvlJc w:val="left"/>
      <w:lvlText w:val="%2"/>
      <w:numFmt w:val="decimal"/>
      <w:start w:val="1"/>
    </w:lvl>
  </w:abstractNum>
  <w:abstractNum w:abstractNumId="3">
    <w:nsid w:val="109CF92E"/>
    <w:multiLevelType w:val="hybridMultilevel"/>
    <w:lvl w:ilvl="0">
      <w:lvlJc w:val="left"/>
      <w:lvlText w:val="%1."/>
      <w:numFmt w:val="decimal"/>
      <w:start w:val="10"/>
    </w:lvl>
  </w:abstractNum>
  <w:abstractNum w:abstractNumId="4">
    <w:nsid w:val="DED7263"/>
    <w:multiLevelType w:val="hybridMultilevel"/>
    <w:lvl w:ilvl="0">
      <w:lvlJc w:val="left"/>
      <w:lvlText w:val="%1."/>
      <w:numFmt w:val="decimal"/>
      <w:start w:val="2"/>
    </w:lvl>
    <w:lvl w:ilvl="1">
      <w:lvlJc w:val="left"/>
      <w:lvlText w:val="(%2)"/>
      <w:numFmt w:val="lowerLetter"/>
      <w:start w:val="1"/>
    </w:lvl>
  </w:abstractNum>
  <w:abstractNum w:abstractNumId="5">
    <w:nsid w:val="7FDCC233"/>
    <w:multiLevelType w:val="hybridMultilevel"/>
    <w:lvl w:ilvl="0">
      <w:lvlJc w:val="left"/>
      <w:lvlText w:val="%1"/>
      <w:numFmt w:val="decimal"/>
      <w:start w:val="1"/>
    </w:lvl>
    <w:lvl w:ilvl="1">
      <w:lvlJc w:val="left"/>
      <w:lvlText w:val="%2."/>
      <w:numFmt w:val="decimal"/>
      <w:start w:val="5"/>
    </w:lvl>
  </w:abstractNum>
  <w:abstractNum w:abstractNumId="6">
    <w:nsid w:val="1BEFD79F"/>
    <w:multiLevelType w:val="hybridMultilevel"/>
    <w:lvl w:ilvl="0">
      <w:lvlJc w:val="left"/>
      <w:lvlText w:val="%1."/>
      <w:numFmt w:val="decimal"/>
      <w:start w:val="9"/>
    </w:lvl>
    <w:lvl w:ilvl="1">
      <w:lvlJc w:val="left"/>
      <w:lvlText w:val="%2"/>
      <w:numFmt w:val="decimal"/>
      <w:start w:val="1"/>
    </w:lvl>
  </w:abstractNum>
  <w:abstractNum w:abstractNumId="7">
    <w:nsid w:val="41A7C4C9"/>
    <w:multiLevelType w:val="hybridMultilevel"/>
    <w:lvl w:ilvl="0">
      <w:lvlJc w:val="left"/>
      <w:lvlText w:val="%1."/>
      <w:numFmt w:val="decimal"/>
      <w:start w:val="12"/>
    </w:lvl>
  </w:abstractNum>
  <w:abstractNum w:abstractNumId="8">
    <w:nsid w:val="6B68079A"/>
    <w:multiLevelType w:val="hybridMultilevel"/>
    <w:lvl w:ilvl="0">
      <w:lvlJc w:val="left"/>
      <w:lvlText w:val="%1."/>
      <w:numFmt w:val="decimal"/>
      <w:start w:val="2"/>
    </w:lvl>
    <w:lvl w:ilvl="1">
      <w:lvlJc w:val="left"/>
      <w:lvlText w:val="(%2)"/>
      <w:numFmt w:val="lowerLetter"/>
      <w:start w:val="1"/>
    </w:lvl>
  </w:abstractNum>
  <w:abstractNum w:abstractNumId="9">
    <w:nsid w:val="4E6AFB66"/>
    <w:multiLevelType w:val="hybridMultilevel"/>
    <w:lvl w:ilvl="0">
      <w:lvlJc w:val="left"/>
      <w:lvlText w:val="%1"/>
      <w:numFmt w:val="decimal"/>
      <w:start w:val="1"/>
    </w:lvl>
    <w:lvl w:ilvl="1">
      <w:lvlJc w:val="left"/>
      <w:lvlText w:val="%2."/>
      <w:numFmt w:val="decimal"/>
      <w:start w:val="5"/>
    </w:lvl>
  </w:abstractNum>
  <w:abstractNum w:abstractNumId="10">
    <w:nsid w:val="25E45D32"/>
    <w:multiLevelType w:val="hybridMultilevel"/>
    <w:lvl w:ilvl="0">
      <w:lvlJc w:val="left"/>
      <w:lvlText w:val="%1."/>
      <w:numFmt w:val="decimal"/>
      <w:start w:val="9"/>
    </w:lvl>
    <w:lvl w:ilvl="1">
      <w:lvlJc w:val="left"/>
      <w:lvlText w:val="%2"/>
      <w:numFmt w:val="decimal"/>
      <w:start w:val="1"/>
    </w:lvl>
  </w:abstractNum>
  <w:abstractNum w:abstractNumId="11">
    <w:nsid w:val="519B500D"/>
    <w:multiLevelType w:val="hybridMultilevel"/>
    <w:lvl w:ilvl="0">
      <w:lvlJc w:val="left"/>
      <w:lvlText w:val="%1."/>
      <w:numFmt w:val="decimal"/>
      <w:start w:val="2"/>
    </w:lvl>
    <w:lvl w:ilvl="1">
      <w:lvlJc w:val="left"/>
      <w:lvlText w:val="(%2)"/>
      <w:numFmt w:val="lowerLetter"/>
      <w:start w:val="1"/>
    </w:lvl>
  </w:abstractNum>
  <w:abstractNum w:abstractNumId="12">
    <w:nsid w:val="431BD7B7"/>
    <w:multiLevelType w:val="hybridMultilevel"/>
    <w:lvl w:ilvl="0">
      <w:lvlJc w:val="left"/>
      <w:lvlText w:val="%1"/>
      <w:numFmt w:val="decimal"/>
      <w:start w:val="1"/>
    </w:lvl>
    <w:lvl w:ilvl="1">
      <w:lvlJc w:val="left"/>
      <w:lvlText w:val="%2."/>
      <w:numFmt w:val="decimal"/>
      <w:start w:val="5"/>
    </w:lvl>
  </w:abstractNum>
  <w:abstractNum w:abstractNumId="13">
    <w:nsid w:val="3F2DBA31"/>
    <w:multiLevelType w:val="hybridMultilevel"/>
    <w:lvl w:ilvl="0">
      <w:lvlJc w:val="left"/>
      <w:lvlText w:val="%1."/>
      <w:numFmt w:val="decimal"/>
      <w:start w:val="6"/>
    </w:lvl>
    <w:lvl w:ilvl="1">
      <w:lvlJc w:val="left"/>
      <w:lvlText w:val="%2"/>
      <w:numFmt w:val="decimal"/>
      <w:start w:val="1"/>
    </w:lvl>
  </w:abstractNum>
  <w:abstractNum w:abstractNumId="14">
    <w:nsid w:val="7C83E458"/>
    <w:multiLevelType w:val="hybridMultilevel"/>
    <w:lvl w:ilvl="0">
      <w:lvlJc w:val="left"/>
      <w:lvlText w:val="%1."/>
      <w:numFmt w:val="decimal"/>
      <w:start w:val="7"/>
    </w:lvl>
  </w:abstractNum>
  <w:abstractNum w:abstractNumId="15">
    <w:nsid w:val="257130A3"/>
    <w:multiLevelType w:val="hybridMultilevel"/>
    <w:lvl w:ilvl="0">
      <w:lvlJc w:val="left"/>
      <w:lvlText w:val="%1."/>
      <w:numFmt w:val="decimal"/>
      <w:start w:val="9"/>
    </w:lvl>
  </w:abstractNum>
  <w:abstractNum w:abstractNumId="16">
    <w:nsid w:val="62BBD95A"/>
    <w:multiLevelType w:val="hybridMultilevel"/>
    <w:lvl w:ilvl="0">
      <w:lvlJc w:val="left"/>
      <w:lvlText w:val="%1."/>
      <w:numFmt w:val="decimal"/>
      <w:start w:val="12"/>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1"/>
    </w:lvl>
    <w:lvl w:ilvl="1">
      <w:lvlJc w:val="left"/>
      <w:lvlText w:val="(%2)"/>
      <w:numFmt w:val="lowerLetter"/>
      <w:start w:val="35"/>
    </w:lvl>
  </w:abstractNum>
  <w:abstractNum w:abstractNumId="20">
    <w:nsid w:val="721DA317"/>
    <w:multiLevelType w:val="hybridMultilevel"/>
    <w:lvl w:ilvl="0">
      <w:lvlJc w:val="left"/>
      <w:lvlText w:val="(%1)"/>
      <w:numFmt w:val="lowerLetter"/>
      <w:start w:val="4"/>
    </w:lvl>
    <w:lvl w:ilvl="1">
      <w:lvlJc w:val="left"/>
      <w:lvlText w:val="%2"/>
      <w:numFmt w:val="lowerLetter"/>
      <w:start w:val="1"/>
    </w:lvl>
  </w:abstractNum>
  <w:abstractNum w:abstractNumId="21">
    <w:nsid w:val="2443A858"/>
    <w:multiLevelType w:val="hybridMultilevel"/>
    <w:lvl w:ilvl="0">
      <w:lvlJc w:val="left"/>
      <w:lvlText w:val="(%1)"/>
      <w:numFmt w:val="lowerLetter"/>
      <w:start w:val="5"/>
    </w:lvl>
  </w:abstractNum>
  <w:abstractNum w:abstractNumId="22">
    <w:nsid w:val="2D1D5AE9"/>
    <w:multiLevelType w:val="hybridMultilevel"/>
    <w:lvl w:ilvl="0">
      <w:lvlJc w:val="left"/>
      <w:lvlText w:val="(%1)"/>
      <w:numFmt w:val="lowerLetter"/>
      <w:start w:val="1"/>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2019-12-19T20:10:31Z</dcterms:created>
  <dcterms:modified xsi:type="dcterms:W3CDTF">2019-12-19T20:10:31Z</dcterms:modified>
</cp:coreProperties>
</file>