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14928d8k.htm"/>
      <w:bookmarkStart w:id="1" w:name="ksd21492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September 9,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DESTINATION XL GROUP,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6540" w:type="dxa"/>
        <w:jc w:val="left"/>
        <w:tblInd w:w="0" w:type="dxa"/>
        <w:tblCellMar>
          <w:top w:w="0" w:type="dxa"/>
          <w:left w:w="0" w:type="dxa"/>
          <w:bottom w:w="0" w:type="dxa"/>
          <w:right w:w="0" w:type="dxa"/>
        </w:tblCellMar>
      </w:tblPr>
      <w:tblGrid>
        <w:gridCol w:w="4070"/>
        <w:gridCol w:w="60"/>
        <w:gridCol w:w="980"/>
        <w:gridCol w:w="60"/>
        <w:gridCol w:w="1370"/>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b/>
              </w:rPr>
            </w:pPr>
            <w:r>
              <w:rPr>
                <w:b/>
              </w:rPr>
              <w:t>01-34219</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04-2623104</w:t>
            </w:r>
          </w:p>
        </w:tc>
      </w:tr>
      <w:tr>
        <w:trPr/>
        <w:tc>
          <w:tcPr>
            <w:tcW w:w="40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555 Turnpike Street,</w:t>
            </w:r>
          </w:p>
          <w:p>
            <w:pPr>
              <w:pStyle w:val="TableContents"/>
              <w:spacing w:before="0" w:after="20"/>
              <w:jc w:val="center"/>
              <w:rPr>
                <w:rFonts w:ascii="Times New Roman" w:hAnsi="Times New Roman"/>
                <w:b/>
                <w:sz w:val="20"/>
              </w:rPr>
            </w:pPr>
            <w:r>
              <w:rPr>
                <w:rFonts w:ascii="Times New Roman" w:hAnsi="Times New Roman"/>
                <w:b/>
                <w:sz w:val="20"/>
              </w:rPr>
              <w:t>Canton, Massachusetts</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02021</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(781) 828-9300</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370" w:type="dxa"/>
        <w:jc w:val="left"/>
        <w:tblInd w:w="0" w:type="dxa"/>
        <w:tblCellMar>
          <w:top w:w="0" w:type="dxa"/>
          <w:left w:w="0" w:type="dxa"/>
          <w:bottom w:w="0" w:type="dxa"/>
          <w:right w:w="0" w:type="dxa"/>
        </w:tblCellMar>
      </w:tblPr>
      <w:tblGrid>
        <w:gridCol w:w="4310"/>
        <w:gridCol w:w="120"/>
        <w:gridCol w:w="725"/>
        <w:gridCol w:w="120"/>
        <w:gridCol w:w="3095"/>
      </w:tblGrid>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120" w:type="dxa"/>
            <w:tcBorders/>
            <w:shd w:fill="auto" w:val="clear"/>
            <w:vAlign w:val="center"/>
          </w:tcPr>
          <w:p>
            <w:pPr>
              <w:pStyle w:val="TableContents"/>
              <w:spacing w:before="0" w:after="283"/>
              <w:rPr/>
            </w:pPr>
            <w:r>
              <w:rPr/>
              <w:t>  </w:t>
            </w:r>
          </w:p>
        </w:tc>
        <w:tc>
          <w:tcPr>
            <w:tcW w:w="72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120" w:type="dxa"/>
            <w:tcBorders/>
            <w:shd w:fill="auto" w:val="clear"/>
            <w:vAlign w:val="center"/>
          </w:tcPr>
          <w:p>
            <w:pPr>
              <w:pStyle w:val="TableContents"/>
              <w:spacing w:before="0" w:after="283"/>
              <w:rPr/>
            </w:pPr>
            <w:r>
              <w:rPr/>
              <w:t>  </w:t>
            </w:r>
          </w:p>
        </w:tc>
        <w:tc>
          <w:tcPr>
            <w:tcW w:w="30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shd w:fill="auto" w:val="clear"/>
            <w:vAlign w:val="center"/>
          </w:tcPr>
          <w:p>
            <w:pPr>
              <w:pStyle w:val="TableContents"/>
              <w:spacing w:before="0" w:after="283"/>
              <w:jc w:val="center"/>
              <w:rPr>
                <w:b/>
              </w:rPr>
            </w:pPr>
            <w:r>
              <w:rPr>
                <w:b/>
              </w:rPr>
              <w:t>Common Stock, $0.01 par value per share</w:t>
            </w:r>
          </w:p>
        </w:tc>
        <w:tc>
          <w:tcPr>
            <w:tcW w:w="12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jc w:val="center"/>
              <w:rPr>
                <w:b/>
              </w:rPr>
            </w:pPr>
            <w:r>
              <w:rPr>
                <w:b/>
              </w:rPr>
              <w:t>DXLG</w:t>
            </w:r>
          </w:p>
        </w:tc>
        <w:tc>
          <w:tcPr>
            <w:tcW w:w="12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jc w:val="center"/>
              <w:rPr>
                <w:b/>
              </w:rPr>
            </w:pPr>
            <w:r>
              <w:rPr>
                <w:b/>
              </w:rPr>
              <w:t>NASDAQ Stock Market LLC</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24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4765" w:type="dxa"/>
        <w:jc w:val="left"/>
        <w:tblInd w:w="0" w:type="dxa"/>
        <w:tblCellMar>
          <w:top w:w="0" w:type="dxa"/>
          <w:left w:w="0" w:type="dxa"/>
          <w:bottom w:w="0" w:type="dxa"/>
          <w:right w:w="0" w:type="dxa"/>
        </w:tblCellMar>
      </w:tblPr>
      <w:tblGrid>
        <w:gridCol w:w="980"/>
        <w:gridCol w:w="3785"/>
      </w:tblGrid>
      <w:tr>
        <w:trPr/>
        <w:tc>
          <w:tcPr>
            <w:tcW w:w="980" w:type="dxa"/>
            <w:tcBorders/>
            <w:shd w:fill="auto" w:val="clear"/>
            <w:vAlign w:val="center"/>
          </w:tcPr>
          <w:p>
            <w:pPr>
              <w:pStyle w:val="TableContents"/>
              <w:spacing w:before="0" w:after="283"/>
              <w:jc w:val="left"/>
              <w:rPr>
                <w:b/>
              </w:rPr>
            </w:pPr>
            <w:r>
              <w:rPr>
                <w:b/>
              </w:rPr>
              <w:t>Item 1.01</w:t>
            </w:r>
          </w:p>
        </w:tc>
        <w:tc>
          <w:tcPr>
            <w:tcW w:w="37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120" w:after="0"/>
        <w:jc w:val="left"/>
        <w:rPr>
          <w:rFonts w:ascii="Times New Roman" w:hAnsi="Times New Roman"/>
          <w:sz w:val="20"/>
        </w:rPr>
      </w:pPr>
      <w:r>
        <w:rPr>
          <w:rFonts w:ascii="Times New Roman" w:hAnsi="Times New Roman"/>
          <w:sz w:val="20"/>
        </w:rPr>
        <w:t xml:space="preserve">On September 9, 2021, Destination XL Group, Inc. (the “Company”) entered into an underwriting agreement (the “Underwriting Agreement”) with D.A. Davidson &amp; Co., as representative of the several underwriters (the “Underwriters”), and Red Mountain Partners, L.P. (the “Selling Stockholder”) relating to the public offering by the Selling Stockholder of 5,733,076 shares (the “Shares”) of the Company’s common stock, $0.01 par value per share (the “Common Stock”), at a public offering price of $6.10 per share (the “Offering”). The Selling Stockholder will receive all of the proceeds from the Offering, after deduction of underwriting discounts and commissions, expenses of the Underwriters and other offering-related expenses. The Company will not receive any of the proceeds from the offering, but will bear certain of the costs associated with the Offering. </w:t>
      </w:r>
    </w:p>
    <w:p>
      <w:pPr>
        <w:pStyle w:val="TextBody"/>
        <w:spacing w:before="240" w:after="0"/>
        <w:jc w:val="left"/>
        <w:rPr>
          <w:rFonts w:ascii="Times New Roman" w:hAnsi="Times New Roman"/>
          <w:sz w:val="20"/>
        </w:rPr>
      </w:pPr>
      <w:r>
        <w:rPr>
          <w:rFonts w:ascii="Times New Roman" w:hAnsi="Times New Roman"/>
          <w:sz w:val="20"/>
        </w:rPr>
        <w:t xml:space="preserve">The offer and sale of the Shares was made pursuant to a preliminary prospectus supplement and final prospectus supplement related to the Company’s shelf registration statement on Form S-3 (File No. 333-256990) (the “Registration Statement”), which became effective on June 21, 2021, each of which has been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The Company made certain customary representations, warranties and covenants in the Underwriting Agreement concerning the Company and the Registration Statement, preliminary prospectus supplement and final prospectus supplement related to the Offering. The Company has also agreed to indemnify the Underwriters against certain liabilities, including liabilities under the Securities Act of 1933, as amended. A copy of the Underwriting Agreement is attached as Exhibit 1.1 hereto and is incorporated herein by reference. The foregoing description of the material terms of the Underwriting Agreement does not purport to be complete and is qualified in its entirety by reference to such exhibit. </w:t>
      </w:r>
    </w:p>
    <w:p>
      <w:pPr>
        <w:pStyle w:val="TextBody"/>
        <w:spacing w:before="240" w:after="0"/>
        <w:jc w:val="left"/>
        <w:rPr>
          <w:rFonts w:ascii="Times New Roman" w:hAnsi="Times New Roman"/>
          <w:sz w:val="20"/>
        </w:rPr>
      </w:pPr>
      <w:r>
        <w:rPr>
          <w:rFonts w:ascii="Times New Roman" w:hAnsi="Times New Roman"/>
          <w:sz w:val="20"/>
        </w:rPr>
        <w:t xml:space="preserve">The Offering is expected to close on or about September 14, 2021, subject to customary closing conditions. </w:t>
      </w:r>
    </w:p>
    <w:p>
      <w:pPr>
        <w:pStyle w:val="TextBody"/>
        <w:spacing w:before="0" w:after="0"/>
        <w:jc w:val="left"/>
        <w:rPr/>
      </w:pPr>
      <w:r>
        <w:rPr/>
        <w:t> </w:t>
      </w:r>
    </w:p>
    <w:tbl>
      <w:tblPr>
        <w:tblW w:w="2215" w:type="dxa"/>
        <w:jc w:val="left"/>
        <w:tblInd w:w="0" w:type="dxa"/>
        <w:tblCellMar>
          <w:top w:w="0" w:type="dxa"/>
          <w:left w:w="0" w:type="dxa"/>
          <w:bottom w:w="0" w:type="dxa"/>
          <w:right w:w="0" w:type="dxa"/>
        </w:tblCellMar>
      </w:tblPr>
      <w:tblGrid>
        <w:gridCol w:w="980"/>
        <w:gridCol w:w="1235"/>
      </w:tblGrid>
      <w:tr>
        <w:trPr/>
        <w:tc>
          <w:tcPr>
            <w:tcW w:w="980" w:type="dxa"/>
            <w:tcBorders/>
            <w:shd w:fill="auto" w:val="clear"/>
            <w:vAlign w:val="center"/>
          </w:tcPr>
          <w:p>
            <w:pPr>
              <w:pStyle w:val="TableContents"/>
              <w:spacing w:before="0" w:after="283"/>
              <w:jc w:val="left"/>
              <w:rPr>
                <w:b/>
              </w:rPr>
            </w:pPr>
            <w:r>
              <w:rPr>
                <w:b/>
              </w:rPr>
              <w:t>Item 8.01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spacing w:before="120" w:after="0"/>
        <w:jc w:val="left"/>
        <w:rPr>
          <w:rFonts w:ascii="Times New Roman" w:hAnsi="Times New Roman"/>
          <w:sz w:val="20"/>
        </w:rPr>
      </w:pPr>
      <w:r>
        <w:rPr>
          <w:rFonts w:ascii="Times New Roman" w:hAnsi="Times New Roman"/>
          <w:sz w:val="20"/>
        </w:rPr>
        <w:t xml:space="preserve">On September 9, 2021, the Company issued a press release announcing the Offering. A copy of this press release is filed as Exhibit 99.1 to this report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On September 9, 2021, the Company issued a press release announcing the pricing of the Offering. A copy of this press release is filed as Exhibit 99.2 to this report and is incorporated herein by reference.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0"/>
        <w:gridCol w:w="120"/>
        <w:gridCol w:w="952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214928dex11.htm">
              <w:r>
                <w:rPr>
                  <w:rStyle w:val="InternetLink"/>
                </w:rPr>
                <w:t xml:space="preserve">Underwriting Agreement, dated as of September 9, 2021, among D.A. Davidson &amp; Co. as representative of the several underwriters, Destination XL Group, Inc. and the selling stockholder named therein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214928dex991.htm">
              <w:r>
                <w:rPr>
                  <w:rStyle w:val="InternetLink"/>
                </w:rPr>
                <w:t xml:space="preserve">Launch Press Release issued by Destination XL Group, Inc. on September 9, 2021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99.2</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214928dex992.htm">
              <w:r>
                <w:rPr>
                  <w:rStyle w:val="InternetLink"/>
                </w:rPr>
                <w:t xml:space="preserve">Pricing Press Release issued by Destination XL Group, Inc. on September 9, 2021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rPr/>
              <w:t>Cover Page Interactive Data File – The cover page interactive data file does not appear in the interactive data file because its XBRL tags are embedded within the Inline XBRL document.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6638" w:type="dxa"/>
        <w:jc w:val="left"/>
        <w:tblInd w:w="0" w:type="dxa"/>
        <w:tblCellMar>
          <w:top w:w="0" w:type="dxa"/>
          <w:left w:w="0" w:type="dxa"/>
          <w:bottom w:w="0" w:type="dxa"/>
          <w:right w:w="0" w:type="dxa"/>
        </w:tblCellMar>
      </w:tblPr>
      <w:tblGrid>
        <w:gridCol w:w="2510"/>
        <w:gridCol w:w="60"/>
        <w:gridCol w:w="23"/>
        <w:gridCol w:w="60"/>
        <w:gridCol w:w="365"/>
        <w:gridCol w:w="60"/>
        <w:gridCol w:w="3560"/>
      </w:tblGrid>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60" w:type="dxa"/>
            <w:tcBorders/>
            <w:shd w:fill="auto" w:val="clear"/>
            <w:vAlign w:val="center"/>
          </w:tcPr>
          <w:p>
            <w:pPr>
              <w:pStyle w:val="TableContents"/>
              <w:spacing w:before="0" w:after="283"/>
              <w:rPr>
                <w:sz w:val="4"/>
                <w:szCs w:val="4"/>
              </w:rPr>
            </w:pPr>
            <w:r>
              <w:rPr>
                <w:sz w:val="4"/>
                <w:szCs w:val="4"/>
              </w:rPr>
            </w:r>
          </w:p>
        </w:tc>
      </w:tr>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283"/>
              <w:rPr/>
            </w:pPr>
            <w:r>
              <w:rPr/>
              <w:t>DESTINATION XL GROUP, INC.</w:t>
            </w:r>
          </w:p>
        </w:tc>
      </w:tr>
      <w:tr>
        <w:trPr/>
        <w:tc>
          <w:tcPr>
            <w:tcW w:w="251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3620" w:type="dxa"/>
            <w:gridSpan w:val="2"/>
            <w:tcBorders/>
            <w:shd w:fill="auto" w:val="clear"/>
            <w:vAlign w:val="center"/>
          </w:tcPr>
          <w:p>
            <w:pPr>
              <w:pStyle w:val="TableContents"/>
              <w:spacing w:before="0" w:after="283"/>
              <w:rPr>
                <w:sz w:val="4"/>
                <w:szCs w:val="4"/>
              </w:rPr>
            </w:pPr>
            <w:r>
              <w:rPr>
                <w:sz w:val="4"/>
                <w:szCs w:val="4"/>
              </w:rPr>
            </w:r>
          </w:p>
        </w:tc>
      </w:tr>
      <w:tr>
        <w:trPr/>
        <w:tc>
          <w:tcPr>
            <w:tcW w:w="2510" w:type="dxa"/>
            <w:tcBorders/>
            <w:shd w:fill="auto" w:val="clear"/>
            <w:vAlign w:val="center"/>
          </w:tcPr>
          <w:p>
            <w:pPr>
              <w:pStyle w:val="TableContents"/>
              <w:spacing w:before="0" w:after="283"/>
              <w:rPr/>
            </w:pPr>
            <w:r>
              <w:rPr/>
              <w:t>Date: September 10,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Robert S. Molloy</w:t>
            </w:r>
          </w:p>
        </w:tc>
      </w:tr>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283"/>
              <w:rPr/>
            </w:pPr>
            <w:r>
              <w:rPr/>
              <w:t>Robert S. Molloy</w:t>
            </w:r>
          </w:p>
        </w:tc>
      </w:tr>
      <w:tr>
        <w:trPr/>
        <w:tc>
          <w:tcPr>
            <w:tcW w:w="25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283"/>
              <w:rPr/>
            </w:pPr>
            <w:r>
              <w:rPr/>
              <w:t>General Counsel and Secretary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u w:val="single"/>
        </w:rPr>
      </w:pPr>
      <w:bookmarkStart w:id="2" w:name="d214928dex11.htm"/>
      <w:bookmarkStart w:id="3" w:name="ksd214928dex11"/>
      <w:bookmarkEnd w:id="2"/>
      <w:bookmarkEnd w:id="3"/>
      <w:r>
        <w:rPr>
          <w:rFonts w:ascii="Times New Roman" w:hAnsi="Times New Roman"/>
          <w:b/>
          <w:sz w:val="20"/>
          <w:u w:val="single"/>
        </w:rPr>
        <w:t xml:space="preserve">Exhibit 1.1 </w:t>
      </w:r>
    </w:p>
    <w:p>
      <w:pPr>
        <w:pStyle w:val="TextBody"/>
        <w:spacing w:before="480" w:after="0"/>
        <w:jc w:val="center"/>
        <w:rPr>
          <w:rFonts w:ascii="Times New Roman" w:hAnsi="Times New Roman"/>
          <w:b/>
          <w:sz w:val="20"/>
        </w:rPr>
      </w:pPr>
      <w:r>
        <w:rPr>
          <w:rFonts w:ascii="Times New Roman" w:hAnsi="Times New Roman"/>
          <w:b/>
          <w:sz w:val="20"/>
        </w:rPr>
        <w:t xml:space="preserve">UNDERWRITING AGREEMENT </w:t>
      </w:r>
    </w:p>
    <w:p>
      <w:pPr>
        <w:pStyle w:val="TextBody"/>
        <w:spacing w:before="240" w:after="0"/>
        <w:jc w:val="center"/>
        <w:rPr>
          <w:rFonts w:ascii="Times New Roman" w:hAnsi="Times New Roman"/>
          <w:sz w:val="20"/>
        </w:rPr>
      </w:pPr>
      <w:r>
        <w:rPr>
          <w:rFonts w:ascii="Times New Roman" w:hAnsi="Times New Roman"/>
          <w:sz w:val="20"/>
        </w:rPr>
        <w:t xml:space="preserve">5,733,076 Shares </w:t>
      </w:r>
    </w:p>
    <w:p>
      <w:pPr>
        <w:pStyle w:val="TextBody"/>
        <w:spacing w:before="240" w:after="0"/>
        <w:jc w:val="center"/>
        <w:rPr>
          <w:rFonts w:ascii="Times New Roman" w:hAnsi="Times New Roman"/>
          <w:sz w:val="24"/>
        </w:rPr>
      </w:pPr>
      <w:r>
        <w:rPr>
          <w:rFonts w:ascii="Times New Roman" w:hAnsi="Times New Roman"/>
          <w:sz w:val="24"/>
        </w:rPr>
        <w:t xml:space="preserve">DESTINATION XL GROUP, INC., </w:t>
      </w:r>
    </w:p>
    <w:p>
      <w:pPr>
        <w:pStyle w:val="TextBody"/>
        <w:spacing w:before="240" w:after="0"/>
        <w:jc w:val="center"/>
        <w:rPr>
          <w:rFonts w:ascii="Times New Roman" w:hAnsi="Times New Roman"/>
          <w:sz w:val="20"/>
        </w:rPr>
      </w:pPr>
      <w:r>
        <w:rPr>
          <w:rFonts w:ascii="Times New Roman" w:hAnsi="Times New Roman"/>
          <w:sz w:val="20"/>
        </w:rPr>
        <w:t xml:space="preserve">Common Stock, $0.01 Par Value Per Share </w:t>
      </w:r>
    </w:p>
    <w:p>
      <w:pPr>
        <w:pStyle w:val="TextBody"/>
        <w:spacing w:before="240" w:after="0"/>
        <w:jc w:val="right"/>
        <w:rPr>
          <w:rFonts w:ascii="Times New Roman" w:hAnsi="Times New Roman"/>
          <w:sz w:val="20"/>
        </w:rPr>
      </w:pPr>
      <w:r>
        <w:rPr>
          <w:rFonts w:ascii="Times New Roman" w:hAnsi="Times New Roman"/>
          <w:sz w:val="20"/>
        </w:rPr>
        <w:t xml:space="preserve">September 9, 2021 </w:t>
      </w:r>
    </w:p>
    <w:p>
      <w:pPr>
        <w:pStyle w:val="TextBody"/>
        <w:spacing w:before="240" w:after="0"/>
        <w:jc w:val="left"/>
        <w:rPr>
          <w:rFonts w:ascii="Times New Roman" w:hAnsi="Times New Roman"/>
          <w:sz w:val="20"/>
        </w:rPr>
      </w:pPr>
      <w:r>
        <w:rPr>
          <w:rFonts w:ascii="Times New Roman" w:hAnsi="Times New Roman"/>
          <w:sz w:val="20"/>
        </w:rPr>
        <w:t xml:space="preserve">D.A. DAVIDSON &amp; CO. </w:t>
      </w:r>
    </w:p>
    <w:p>
      <w:pPr>
        <w:pStyle w:val="TextBody"/>
        <w:spacing w:before="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spacing w:before="0" w:after="0"/>
        <w:jc w:val="left"/>
        <w:rPr>
          <w:rFonts w:ascii="Times New Roman" w:hAnsi="Times New Roman"/>
          <w:sz w:val="20"/>
        </w:rPr>
      </w:pPr>
      <w:r>
        <w:rPr>
          <w:rFonts w:ascii="Times New Roman" w:hAnsi="Times New Roman"/>
          <w:sz w:val="20"/>
        </w:rPr>
        <w:t xml:space="preserve">named in Schedule A hereto </w:t>
      </w:r>
    </w:p>
    <w:p>
      <w:pPr>
        <w:pStyle w:val="TextBody"/>
        <w:spacing w:before="0" w:after="0"/>
        <w:jc w:val="left"/>
        <w:rPr>
          <w:rFonts w:ascii="Times New Roman" w:hAnsi="Times New Roman"/>
          <w:sz w:val="20"/>
        </w:rPr>
      </w:pPr>
      <w:r>
        <w:rPr>
          <w:rFonts w:ascii="Times New Roman" w:hAnsi="Times New Roman"/>
          <w:sz w:val="20"/>
        </w:rPr>
        <w:t xml:space="preserve">611 Anton Boulevard, Suite 600 </w:t>
      </w:r>
    </w:p>
    <w:p>
      <w:pPr>
        <w:pStyle w:val="TextBody"/>
        <w:spacing w:before="0" w:after="0"/>
        <w:jc w:val="left"/>
        <w:rPr>
          <w:rFonts w:ascii="Times New Roman" w:hAnsi="Times New Roman"/>
          <w:sz w:val="20"/>
        </w:rPr>
      </w:pPr>
      <w:r>
        <w:rPr>
          <w:rFonts w:ascii="Times New Roman" w:hAnsi="Times New Roman"/>
          <w:sz w:val="20"/>
        </w:rPr>
        <w:t xml:space="preserve">Costa Mesa, CA 92626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Red Mountain Partners, L.P. (the </w:t>
      </w:r>
      <w:r>
        <w:rPr>
          <w:rFonts w:ascii="Times New Roman" w:hAnsi="Times New Roman"/>
          <w:b/>
          <w:sz w:val="20"/>
        </w:rPr>
        <w:t>Selling Stockholder</w:t>
      </w:r>
      <w:r>
        <w:rPr>
          <w:rFonts w:ascii="Times New Roman" w:hAnsi="Times New Roman"/>
          <w:sz w:val="20"/>
        </w:rPr>
        <w:t xml:space="preserve">) proposes, subject to the terms and conditions stated herein, to sell to the several underwriters listed in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for whom you are acting as representative (the </w:t>
      </w:r>
      <w:r>
        <w:rPr>
          <w:rFonts w:ascii="Times New Roman" w:hAnsi="Times New Roman"/>
          <w:b/>
          <w:sz w:val="20"/>
        </w:rPr>
        <w:t>Representative</w:t>
      </w:r>
      <w:r>
        <w:rPr>
          <w:rFonts w:ascii="Times New Roman" w:hAnsi="Times New Roman"/>
          <w:sz w:val="20"/>
        </w:rPr>
        <w:t>) the number of outstanding shares of common stock, $0.01 par value per share (</w:t>
      </w:r>
      <w:r>
        <w:rPr>
          <w:rFonts w:ascii="Times New Roman" w:hAnsi="Times New Roman"/>
          <w:b/>
          <w:sz w:val="20"/>
        </w:rPr>
        <w:t>Common Stock</w:t>
      </w:r>
      <w:r>
        <w:rPr>
          <w:rFonts w:ascii="Times New Roman" w:hAnsi="Times New Roman"/>
          <w:sz w:val="20"/>
        </w:rPr>
        <w:t>) of Destination XL Group, Inc., Inc., a Delaware corporation (the </w:t>
      </w:r>
      <w:r>
        <w:rPr>
          <w:rFonts w:ascii="Times New Roman" w:hAnsi="Times New Roman"/>
          <w:b/>
          <w:sz w:val="20"/>
        </w:rPr>
        <w:t>Company</w:t>
      </w:r>
      <w:r>
        <w:rPr>
          <w:rFonts w:ascii="Times New Roman" w:hAnsi="Times New Roman"/>
          <w:sz w:val="20"/>
        </w:rPr>
        <w:t xml:space="preserve">), set forth under the Selling Stockholders name in </w:t>
      </w:r>
      <w:r>
        <w:rPr>
          <w:rFonts w:ascii="Times New Roman" w:hAnsi="Times New Roman"/>
          <w:sz w:val="20"/>
          <w:u w:val="single"/>
        </w:rPr>
        <w:t>Schedule A</w:t>
      </w:r>
      <w:r>
        <w:rPr>
          <w:rFonts w:ascii="Times New Roman" w:hAnsi="Times New Roman"/>
          <w:sz w:val="20"/>
        </w:rPr>
        <w:t xml:space="preserve"> hereto under the caption Shares (the </w:t>
      </w:r>
      <w:r>
        <w:rPr>
          <w:rFonts w:ascii="Times New Roman" w:hAnsi="Times New Roman"/>
          <w:b/>
          <w:sz w:val="20"/>
        </w:rPr>
        <w:t>Shares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For purposes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430B Information</w:t>
      </w:r>
      <w:r>
        <w:rPr>
          <w:rFonts w:ascii="Times New Roman" w:hAnsi="Times New Roman"/>
          <w:sz w:val="20"/>
        </w:rPr>
        <w:t xml:space="preserve"> means information included in a prospectus then deemed to be a part of the Registration Statement pursuant to Rule 430B(e) or retroactively deemed to be a part of the Registration Statement pursuant to Rule 430B(f).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430C Information</w:t>
      </w:r>
      <w:r>
        <w:rPr>
          <w:rFonts w:ascii="Times New Roman" w:hAnsi="Times New Roman"/>
          <w:sz w:val="20"/>
        </w:rPr>
        <w:t xml:space="preserve"> means information included in a prospectus then deemed to be a part of the Registration Statement pursuant to Rule 430C.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Act</w:t>
      </w:r>
      <w:r>
        <w:rPr>
          <w:rFonts w:ascii="Times New Roman" w:hAnsi="Times New Roman"/>
          <w:sz w:val="20"/>
        </w:rPr>
        <w:t xml:space="preserve"> means the Securities Act of 1933,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Applicable Time</w:t>
      </w:r>
      <w:r>
        <w:rPr>
          <w:rFonts w:ascii="Times New Roman" w:hAnsi="Times New Roman"/>
          <w:sz w:val="20"/>
        </w:rPr>
        <w:t xml:space="preserve"> means September 9, 2021, 6:30 p.m. (Eastern time) on the date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Closing Date</w:t>
      </w:r>
      <w:r>
        <w:rPr>
          <w:rFonts w:ascii="Times New Roman" w:hAnsi="Times New Roman"/>
          <w:sz w:val="20"/>
        </w:rPr>
        <w:t xml:space="preserve"> has the meaning defined in Section 2(c) 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Effective Time</w:t>
      </w:r>
      <w:r>
        <w:rPr>
          <w:rFonts w:ascii="Times New Roman" w:hAnsi="Times New Roman"/>
          <w:sz w:val="20"/>
        </w:rPr>
        <w:t xml:space="preserve"> of the Registration Statement relating to the Shares means June 21, 2021, 4:30 p.m. (Eastern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Final Prospectus</w:t>
      </w:r>
      <w:r>
        <w:rPr>
          <w:rFonts w:ascii="Times New Roman" w:hAnsi="Times New Roman"/>
          <w:sz w:val="20"/>
        </w:rPr>
        <w:t xml:space="preserve"> means the Statutory Prospectus that discloses the public offering price, other 430B Information and other final terms of the Shares and otherwise satisfies Section 10(a) of the Act, including the information incorporated by reference therein.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General Use Issuer Free Writing Prospectus</w:t>
      </w:r>
      <w:r>
        <w:rPr>
          <w:rFonts w:ascii="Times New Roman" w:hAnsi="Times New Roman"/>
          <w:sz w:val="20"/>
        </w:rPr>
        <w:t xml:space="preserve"> means any Issuer Free Writing Prospectus that is intended for general distribution to prospective investors in the Shares, as evidenced by its being so specified in </w:t>
      </w:r>
      <w:r>
        <w:rPr>
          <w:rFonts w:ascii="Times New Roman" w:hAnsi="Times New Roman"/>
          <w:sz w:val="20"/>
          <w:u w:val="single"/>
        </w:rPr>
        <w:t>Schedule B</w:t>
      </w:r>
      <w:r>
        <w:rPr>
          <w:rFonts w:ascii="Times New Roman" w:hAnsi="Times New Roman"/>
          <w:sz w:val="20"/>
        </w:rPr>
        <w:t xml:space="preserve">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Issuer Free Writing Prospectus</w:t>
      </w:r>
      <w:r>
        <w:rPr>
          <w:rFonts w:ascii="Times New Roman" w:hAnsi="Times New Roman"/>
          <w:sz w:val="20"/>
        </w:rPr>
        <w:t xml:space="preserve"> means any issuer free writing prospectus, as defined in Rule 433, relating to the Shares in the form filed or required to be filed with the Commission or, if not required to be filed, in the form retained in the Companys records pursuant to Rule 433(g).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Limited Use Issuer Free Writing Prospectus</w:t>
      </w:r>
      <w:r>
        <w:rPr>
          <w:rFonts w:ascii="Times New Roman" w:hAnsi="Times New Roman"/>
          <w:sz w:val="20"/>
        </w:rPr>
        <w:t xml:space="preserve"> means any Issuer Free Writing Prospectus that is not a General Use Issuer Free Writing Prospectus.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a subsidiary of the Company as defined in Rule 405 of the Act, each of which is set forth on </w:t>
      </w:r>
      <w:r>
        <w:rPr>
          <w:rFonts w:ascii="Times New Roman" w:hAnsi="Times New Roman"/>
          <w:sz w:val="20"/>
          <w:u w:val="single"/>
        </w:rPr>
        <w:t>Schedule C</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Rules and Regulations</w:t>
      </w:r>
      <w:r>
        <w:rPr>
          <w:rFonts w:ascii="Times New Roman" w:hAnsi="Times New Roman"/>
          <w:sz w:val="20"/>
        </w:rPr>
        <w:t xml:space="preserve"> means the rules and regulations of the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Laws</w:t>
      </w:r>
      <w:r>
        <w:rPr>
          <w:rFonts w:ascii="Times New Roman" w:hAnsi="Times New Roman"/>
          <w:sz w:val="20"/>
        </w:rPr>
        <w:t> means, collectively, the Sarbanes-Oxley Act of 2002 (</w:t>
      </w:r>
      <w:r>
        <w:rPr>
          <w:rFonts w:ascii="Times New Roman" w:hAnsi="Times New Roman"/>
          <w:b/>
          <w:sz w:val="20"/>
        </w:rPr>
        <w:t>Sarbanes-Oxley</w:t>
      </w:r>
      <w:r>
        <w:rPr>
          <w:rFonts w:ascii="Times New Roman" w:hAnsi="Times New Roman"/>
          <w:sz w:val="20"/>
        </w:rPr>
        <w:t>), the Act, the Exchange Act, the Rules and Regulations, the auditing principles, rules, standards and practices applicable to auditors of issuers (as defined in Sarbanes-Oxley) promulgated or approved by the Public Company Accounting Oversight Board (</w:t>
      </w:r>
      <w:r>
        <w:rPr>
          <w:rFonts w:ascii="Times New Roman" w:hAnsi="Times New Roman"/>
          <w:b/>
          <w:sz w:val="20"/>
        </w:rPr>
        <w:t>PCAOB</w:t>
      </w:r>
      <w:r>
        <w:rPr>
          <w:rFonts w:ascii="Times New Roman" w:hAnsi="Times New Roman"/>
          <w:sz w:val="20"/>
        </w:rPr>
        <w:t>) and the Nasdaq Stock Market rules (</w:t>
      </w:r>
      <w:r>
        <w:rPr>
          <w:rFonts w:ascii="Times New Roman" w:hAnsi="Times New Roman"/>
          <w:b/>
          <w:sz w:val="20"/>
        </w:rPr>
        <w:t>Exchange Rules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Statutory Prospectus</w:t>
      </w:r>
      <w:r>
        <w:rPr>
          <w:rFonts w:ascii="Times New Roman" w:hAnsi="Times New Roman"/>
          <w:sz w:val="20"/>
        </w:rPr>
        <w:t xml:space="preserve"> with reference to any particular time means the prospectus relating to the Shares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Testing-the-Waters Communication</w:t>
      </w:r>
      <w:r>
        <w:rPr>
          <w:rFonts w:ascii="Times New Roman" w:hAnsi="Times New Roman"/>
          <w:sz w:val="20"/>
        </w:rPr>
        <w:t xml:space="preserve"> means any oral or written communication with potential investors in the Shares undertaken in reliance on Rule 163B of the Act.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Written Testing-the-Waters Communication</w:t>
      </w:r>
      <w:r>
        <w:rPr>
          <w:rFonts w:ascii="Times New Roman" w:hAnsi="Times New Roman"/>
          <w:sz w:val="20"/>
        </w:rPr>
        <w:t xml:space="preserve"> means any Testing-the-Waters Communication that is a written communication related to the Shares within the meaning of Rule 405 under the Act.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a reference to a rule is to the indicated rule under the Act.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 and the Selling Stockholder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Company represents and warrants to, and agrees with, the Underwriters that: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Filing and Effectiveness of Registration Statement</w:t>
      </w:r>
      <w:r>
        <w:rPr>
          <w:rFonts w:ascii="Times New Roman" w:hAnsi="Times New Roman"/>
          <w:sz w:val="20"/>
        </w:rPr>
        <w:t>. The Company has filed with the Commission a registration statement on Form S-3 (No. 333-256990), including any related prospectus or prospectuses, covering the registration of the Shares under the Act, which was declared effective by the Commission at the Effective Time. </w:t>
      </w:r>
      <w:r>
        <w:rPr>
          <w:rFonts w:ascii="Times New Roman" w:hAnsi="Times New Roman"/>
          <w:b/>
          <w:sz w:val="20"/>
        </w:rPr>
        <w:t>Registration Statement</w:t>
      </w:r>
      <w:r>
        <w:rPr>
          <w:rFonts w:ascii="Times New Roman" w:hAnsi="Times New Roman"/>
          <w:sz w:val="20"/>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rFonts w:ascii="Times New Roman" w:hAnsi="Times New Roman"/>
          <w:b/>
          <w:sz w:val="20"/>
        </w:rPr>
        <w:t>Registration Statement</w:t>
      </w:r>
      <w:r>
        <w:rPr>
          <w:rFonts w:ascii="Times New Roman" w:hAnsi="Times New Roman"/>
          <w:sz w:val="20"/>
        </w:rPr>
        <w:t xml:space="preserve"> without reference to a time means the Registration Statement as of the Effective Time. For purposes of this definition, 430B Information shall be considered to be included in the Registration Statement as of the time specified in Rule 430B.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Securities Act Requirements</w:t>
      </w:r>
      <w:r>
        <w:rPr>
          <w:rFonts w:ascii="Times New Roman" w:hAnsi="Times New Roman"/>
          <w:sz w:val="20"/>
        </w:rPr>
        <w:t xml:space="preserve">. (i) (A) At the Effective Time relating to the Shares and (B) on each Closing Date, the Registration Statement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(A) on its date and (B) on each Closing Date, the Final Prospectus will conform to the requirements of the Act and the Rules and Regulations, and will not include any untrue statement of a material fact or omit to state any material fact necessary in order to make the statements therein, in light of the circumstances under which they were made, not misleading. The preceding sentence does not apply to statements in or omissions from any such document (1) based upon written information furnished to the Company by the Underwriters specifically for use therein, it being understood and agreed that the only such information is that described as such in Section 7(c) hereof or (2) the Selling Stockholder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Shelf Registration Statement</w:t>
      </w:r>
      <w:r>
        <w:rPr>
          <w:rFonts w:ascii="Times New Roman" w:hAnsi="Times New Roman"/>
          <w:sz w:val="20"/>
        </w:rPr>
        <w:t xml:space="preserve">. The date of this Agreement is not more than three years subsequent to the initial effective time of the Registration Statement.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Ineligible Issuer Status</w:t>
      </w:r>
      <w:r>
        <w:rPr>
          <w:rFonts w:ascii="Times New Roman" w:hAnsi="Times New Roman"/>
          <w:sz w:val="20"/>
        </w:rPr>
        <w:t xml:space="preserve">. (i) At the filing of the Registration Statement and (ii) at the date of this Agreement, the Company was not and is not an ineligible issuer, as defined in Rule 405, including (x) the Company or any of its subsidiaries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Shares, all as described in Rule 405.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General Disclosure Package</w:t>
      </w:r>
      <w:r>
        <w:rPr>
          <w:rFonts w:ascii="Times New Roman" w:hAnsi="Times New Roman"/>
          <w:sz w:val="20"/>
        </w:rPr>
        <w:t xml:space="preserve">. As of the Applicable Time, neither (i) the General Use Issuer Free Writing Prospectus(es), if any, issued at or prior to the Applicable Time and the preliminary prospectus supplement, dated September 9, 2021 including the base prospectus dated June 21, 2021 (which is the most recent Statutory Prospectus distributed to investors generally), and the other information, if any, stated in </w:t>
      </w:r>
      <w:r>
        <w:rPr>
          <w:rFonts w:ascii="Times New Roman" w:hAnsi="Times New Roman"/>
          <w:sz w:val="20"/>
          <w:u w:val="single"/>
        </w:rPr>
        <w:t>Schedule B</w:t>
      </w:r>
      <w:r>
        <w:rPr>
          <w:rFonts w:ascii="Times New Roman" w:hAnsi="Times New Roman"/>
          <w:sz w:val="20"/>
        </w:rPr>
        <w:t xml:space="preserve"> to this Agreement to be included in the General Disclosure Package, all considered together (collectively, and including the documents incorporated by reference therein, the </w:t>
      </w:r>
      <w:r>
        <w:rPr>
          <w:rFonts w:ascii="Times New Roman" w:hAnsi="Times New Roman"/>
          <w:b/>
          <w:sz w:val="20"/>
        </w:rPr>
        <w:t>General Disclosure Package</w:t>
      </w:r>
      <w:r>
        <w:rPr>
          <w:rFonts w:ascii="Times New Roman" w:hAnsi="Times New Roman"/>
          <w:sz w:val="20"/>
        </w:rPr>
        <w:t xml:space="preserve">),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(1) written information furnished to the Company by the Underwriters specifically for use therein, it being understood and agreed that the only such information furnished by the Underwriters consists of the information described as such in Section 7(c) hereof, or (2) the Selling Stockholder Information.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Incorporated Documents</w:t>
      </w:r>
      <w:r>
        <w:rPr>
          <w:rFonts w:ascii="Times New Roman" w:hAnsi="Times New Roman"/>
          <w:sz w:val="20"/>
        </w:rPr>
        <w:t xml:space="preserve">. The documents incorporated by reference in the Registration Statement and the General Disclosure Package, when they were filed or became effective with the Commission, conformed in all material respects to the requirements of the Exchange Act and the rules and regulations thereunder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or the General Disclosure Package,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 and sale of the Shares or until any earlier date that the Company notified or notifies the Representative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 and (ii) the Company has promptly amended or will promptly amend or supplement such Issuer Free Writing Prospectus to eliminate or correct such conflict, untrue statement or omission.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Written Testing-the-Waters Materials</w:t>
      </w:r>
      <w:r>
        <w:rPr>
          <w:rFonts w:ascii="Times New Roman" w:hAnsi="Times New Roman"/>
          <w:sz w:val="20"/>
        </w:rPr>
        <w:t xml:space="preserve">. As of the Applicable Time, except as approved in writing by the Representative, the Company has not alone furnished any Written Testing-the-Waters Communications and has not authorized anyone to furnish any Written Testing-the-Waters Communications.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Good Standing of the Company</w:t>
      </w:r>
      <w:r>
        <w:rPr>
          <w:rFonts w:ascii="Times New Roman" w:hAnsi="Times New Roman"/>
          <w:sz w:val="20"/>
        </w:rPr>
        <w:t>. The Company has been duly incorporated and is existing and in good standing under the laws of the State of Delaware, with corporate power and authority to own, lease and operate its properties and conduct its business as described in the General Disclosure Package. The Company is duly qualified to do business as a foreign corporation in good standing in all other jurisdictions in which its ownership or lease of property or the conduct of its business requires such qualification, except where the failure to be so qualified in good standing would not, individually or in the aggregate, result in a material adverse effect on the general affairs, business, prospects, management, financial position, stockholders equity or results of operations of the Company and the Subsidiaries, considered as one enterprise (a </w:t>
      </w:r>
      <w:r>
        <w:rPr>
          <w:rFonts w:ascii="Times New Roman" w:hAnsi="Times New Roman"/>
          <w:b/>
          <w:sz w:val="20"/>
        </w:rPr>
        <w:t>Material Adverse Effect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Subsidiaries</w:t>
      </w:r>
      <w:r>
        <w:rPr>
          <w:rFonts w:ascii="Times New Roman" w:hAnsi="Times New Roman"/>
          <w:sz w:val="20"/>
        </w:rPr>
        <w:t>. Each subsidiary of the Company (each a </w:t>
      </w:r>
      <w:r>
        <w:rPr>
          <w:rFonts w:ascii="Times New Roman" w:hAnsi="Times New Roman"/>
          <w:b/>
          <w:sz w:val="20"/>
        </w:rPr>
        <w:t>Subsidiary</w:t>
      </w:r>
      <w:r>
        <w:rPr>
          <w:rFonts w:ascii="Times New Roman" w:hAnsi="Times New Roman"/>
          <w:sz w:val="20"/>
        </w:rPr>
        <w:t xml:space="preserve">) has been duly incorporated or formed, as applicable, and is existing and in good standing under the laws of the jurisdiction of its incorporation or formation, as applicable, with power and authority to own, lease and operate its properties and conduct its business as described in the General Disclosure Package, and each Subsidiary is duly qualified to do business as a foreign corporation or other entity, as applicable, in good standing in all other jurisdictions in which its ownership or lease of property or the conduct of its business requires such qualification, in each case, except where the failure to be so qualified in good standing would not, individually or in the aggregate, have a Material Adverse Effect; all of the issued and outstanding capital stock, or applicable ownership interests, of each Subsidiary of the Company have been duly authorized and validly issued and are fully paid and nonassessable; and the capital stock, or applicable ownership interests, in each Subsidiary are owned by the Company, directly or through its subsidiaries, free from liens, encumbrances and defects, other than any liens, encumbrances and defects described in the Registration Statement, the General Disclosure Package and the Final Prospectus. The Subsidiaries listed on </w:t>
      </w:r>
      <w:r>
        <w:rPr>
          <w:rFonts w:ascii="Times New Roman" w:hAnsi="Times New Roman"/>
          <w:sz w:val="20"/>
          <w:u w:val="single"/>
        </w:rPr>
        <w:t>Schedule C</w:t>
      </w:r>
      <w:r>
        <w:rPr>
          <w:rFonts w:ascii="Times New Roman" w:hAnsi="Times New Roman"/>
          <w:sz w:val="20"/>
        </w:rPr>
        <w:t xml:space="preserve"> hereto are the only subsidiaries, direct or indirect, of the Company, excluding subsidiaries of the Company that, if considered as a single entity, would not constitute a significant subsidiary as defined in Rule 1-02(w) of Regulation S-X under the Act. Each Subsidiary of the Company is a wholly owned Subsidiary, direct or indirect, of the Company. </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Offered Securities</w:t>
      </w:r>
      <w:r>
        <w:rPr>
          <w:rFonts w:ascii="Times New Roman" w:hAnsi="Times New Roman"/>
          <w:sz w:val="20"/>
        </w:rPr>
        <w:t xml:space="preserve">. The Shares and all other outstanding shares of capital stock of the Company have been duly authorized and validly issued, and are fully paid and non-assessable, and will conform to the information in the General Disclosure Package and the Final Prospectus; the authorized equity of the Company is as set forth in the Registration Statement, the General Disclosure Package and the Final Prospectus under the caption Description of Capital Stock; the stockholders of the Company have no preemptive rights with respect to the Shares; and none of the outstanding shares of capital stock of the Company have been issued in violation of any preemptive or similar rights of any security holder. Except as disclosed in the General Disclosure Package, there are no outstanding (i) securities or obligations of the Company convertible into or exchangeable for any capital stock of the Company, (ii) warrants, rights or options to subscribe for or purchase from the Company any such capital stock or any such convertible or exchangeable securities or obligations or (iii) obligations of the Company to issue or sell any shares of capital stock, any such convertible or exchangeable securities or obligations or any such warrants, rights or options.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No Finders Fee</w:t>
      </w:r>
      <w:r>
        <w:rPr>
          <w:rFonts w:ascii="Times New Roman" w:hAnsi="Times New Roman"/>
          <w:sz w:val="20"/>
        </w:rPr>
        <w:t xml:space="preserve">. Except as disclosed in the General Disclosure Package, there are no contracts, agreements or understandings between the Company and any person that would give rise to a valid claim against the Company or the Underwriters for a brokerage commission, finders fee or other like payment in connection with this offering.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Registration Rights</w:t>
      </w:r>
      <w:r>
        <w:rPr>
          <w:rFonts w:ascii="Times New Roman" w:hAnsi="Times New Roman"/>
          <w:sz w:val="20"/>
        </w:rPr>
        <w:t>. Except as disclosed in the General Disclosure Package,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Act (collectively, </w:t>
      </w:r>
      <w:r>
        <w:rPr>
          <w:rFonts w:ascii="Times New Roman" w:hAnsi="Times New Roman"/>
          <w:b/>
          <w:sz w:val="20"/>
        </w:rPr>
        <w:t>registration rights</w:t>
      </w:r>
      <w:r>
        <w:rPr>
          <w:rFonts w:ascii="Times New Roman" w:hAnsi="Times New Roman"/>
          <w:sz w:val="20"/>
        </w:rPr>
        <w:t xml:space="preserve">), and any person to whom the Company has granted registration rights has agreed not to exercise such rights until after the expiration of the Lock-Up Period referred to in Section 4 hereof.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Listing</w:t>
      </w:r>
      <w:r>
        <w:rPr>
          <w:rFonts w:ascii="Times New Roman" w:hAnsi="Times New Roman"/>
          <w:sz w:val="20"/>
        </w:rPr>
        <w:t xml:space="preserve">. To the extent required, the Shares have been approved for listing on The Nasdaq Stock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 </w:t>
      </w:r>
      <w:r>
        <w:rPr>
          <w:rFonts w:ascii="Times New Roman" w:hAnsi="Times New Roman"/>
          <w:i/>
          <w:sz w:val="20"/>
        </w:rPr>
        <w:t>Absence of Further Requirements</w:t>
      </w:r>
      <w:r>
        <w:rPr>
          <w:rFonts w:ascii="Times New Roman" w:hAnsi="Times New Roman"/>
          <w:sz w:val="20"/>
        </w:rPr>
        <w:t>. No consent, approval, authorization, or order of, or filing or registration with, any person (including any governmental agency or body or any court) is required to be obtained or made by the Company for the consummation of the transactions contemplated by this Agreement in connection with the sale of the Shares, except such as have been obtained, or made and such as may be required under state securities laws or the bylaws and rules of the Financial Industry Regulatory Authority, Inc. (</w:t>
      </w:r>
      <w:r>
        <w:rPr>
          <w:rFonts w:ascii="Times New Roman" w:hAnsi="Times New Roman"/>
          <w:b/>
          <w:sz w:val="20"/>
        </w:rPr>
        <w:t>FINRA</w:t>
      </w:r>
      <w:r>
        <w:rPr>
          <w:rFonts w:ascii="Times New Roman" w:hAnsi="Times New Roman"/>
          <w:sz w:val="20"/>
        </w:rPr>
        <w:t xml:space="preserve">) and except for any such consents, approvals, authorizations, orders, filings or registrations the absence of which would not, individually or in the aggregate, have a Material Adverse Effect or materially interfere with the consummation of the transaction contemplated hereby. </w:t>
      </w:r>
    </w:p>
    <w:p>
      <w:pPr>
        <w:pStyle w:val="TextBody"/>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i/>
          <w:sz w:val="20"/>
        </w:rPr>
        <w:t>Title to Property</w:t>
      </w:r>
      <w:r>
        <w:rPr>
          <w:rFonts w:ascii="Times New Roman" w:hAnsi="Times New Roman"/>
          <w:sz w:val="20"/>
        </w:rPr>
        <w:t xml:space="preserve">. Except as disclosed in the General Disclosure Package or as would not, individually or in the aggregate, have a Material Adverse Effect, the Company and its subsidiaries have good and marketable title to all real properties and all other properties and assets owned by them, in each case free from liens, charges, encumbrances and defects that would affect the value thereof or interfere with the use made or to be made thereof by them. Except as disclosed in the General Disclosure Package, the Company and its subsidiaries hold any leased real or personal property under valid and enforceable leases with no terms or provisions that would materially interfere with the use made or to be made thereof by them.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i/>
          <w:sz w:val="20"/>
        </w:rPr>
        <w:t>Absence of Defaults and Conflicts Resulting from Transaction</w:t>
      </w:r>
      <w:r>
        <w:rPr>
          <w:rFonts w:ascii="Times New Roman" w:hAnsi="Times New Roman"/>
          <w:sz w:val="20"/>
        </w:rPr>
        <w:t>. The execution, delivery and performance of this Agreement and the sale of the Shares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with respect to each of clauses (ii) (but solely with respect to statutes, rules, regulations and orders excluding federal securities laws) and (iii), such breaches, violations, defaults, Debt Repayment Triggering Events, liens, charges or encumbrances that would not, individually or in the aggregate, have a Material Adverse Effect; a </w:t>
      </w:r>
      <w:r>
        <w:rPr>
          <w:rFonts w:ascii="Times New Roman" w:hAnsi="Times New Roman"/>
          <w:b/>
          <w:sz w:val="20"/>
        </w:rPr>
        <w:t>Debt Repayment Triggering Event</w:t>
      </w:r>
      <w:r>
        <w:rPr>
          <w:rFonts w:ascii="Times New Roman" w:hAnsi="Times New Roman"/>
          <w:sz w:val="20"/>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i/>
          <w:sz w:val="20"/>
        </w:rPr>
        <w:t>Absence of Existing Defaults and Conflicts</w:t>
      </w:r>
      <w:r>
        <w:rPr>
          <w:rFonts w:ascii="Times New Roman" w:hAnsi="Times New Roman"/>
          <w:sz w:val="20"/>
        </w:rPr>
        <w:t xml:space="preserve">. Neither the Company nor any of the Subsidiaries is (1) in violation of its certificate or articles of incorporation or bylaws (or other organization documents) or (2) in violation of any law, ordinance, administrative or governmental rule or regulation applicable to the Company or any of the Subsidiaries, or (3) in violation of any decree of any court or governmental agency or body having jurisdiction over the Company or any of the Subsidiaries, or (4) in default in the performance of any obligation, agreement or condition contained in any bond, debenture, note or any other evidence of indebtedness or in any agreement, indenture, lease or other instrument to which the Company or any of the Subsidiaries is a party or by which any of them or any of their respective properties may be bound, except, in the case of clauses (2), (3) and (4), where any such violation or default, individually or in the aggregate, would not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i/>
          <w:sz w:val="20"/>
        </w:rPr>
        <w:t>Authorization of Agreement</w:t>
      </w:r>
      <w:r>
        <w:rPr>
          <w:rFonts w:ascii="Times New Roman" w:hAnsi="Times New Roman"/>
          <w:sz w:val="20"/>
        </w:rPr>
        <w:t xml:space="preserve">. This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i/>
          <w:sz w:val="20"/>
        </w:rPr>
        <w:t>Possession of Licenses and Permits</w:t>
      </w:r>
      <w:r>
        <w:rPr>
          <w:rFonts w:ascii="Times New Roman" w:hAnsi="Times New Roman"/>
          <w:sz w:val="20"/>
        </w:rPr>
        <w:t>. The Company and the Subsidiaries (i) possess all permits, licenses, approvals, consents and other authorizations (collectively, </w:t>
      </w:r>
      <w:r>
        <w:rPr>
          <w:rFonts w:ascii="Times New Roman" w:hAnsi="Times New Roman"/>
          <w:b/>
          <w:sz w:val="20"/>
        </w:rPr>
        <w:t>Permits</w:t>
      </w:r>
      <w:r>
        <w:rPr>
          <w:rFonts w:ascii="Times New Roman" w:hAnsi="Times New Roman"/>
          <w:sz w:val="20"/>
        </w:rPr>
        <w:t xml:space="preserve">) issued by the appropriate federal, state, local or foreign regulatory agencies or bodies necessary to conduct the businesses now operated by them and as disclosed in the Registration Statement, the General Disclosure Package or the Final Prospectus and (ii) are in compliance with the terms and conditions of all such Permits and all of the Permits are valid and in full force and effect, except, in each case, where the failure so to comply or where the invalidity of such Permits or the failure of such Permits to be in full force and effect, individually or in the aggregate, would not have a Material Adverse Effect; and neither the Company nor any Subsidiary has received any notice of proceedings relating to the revocation or modification of any such Permits.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(xxi) </w:t>
      </w:r>
      <w:r>
        <w:rPr>
          <w:rFonts w:ascii="Times New Roman" w:hAnsi="Times New Roman"/>
          <w:i/>
          <w:sz w:val="20"/>
        </w:rPr>
        <w:t>Absence of Labor Dispute</w:t>
      </w:r>
      <w:r>
        <w:rPr>
          <w:rFonts w:ascii="Times New Roman" w:hAnsi="Times New Roman"/>
          <w:sz w:val="20"/>
        </w:rPr>
        <w:t xml:space="preserve">. No material labor dispute with the employees of the Company or the Subsidiaries exists, or, to the knowledge of the Company, is imminent. The Company is not aware of any existing or imminent labor disturbance by the employees of any of its or any Subsidiarys principal suppliers, manufacturers, customers or contractors, which, individually or in the aggregate, may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i/>
          <w:sz w:val="20"/>
        </w:rPr>
        <w:t>Possession of Intellectual Property</w:t>
      </w:r>
      <w:r>
        <w:rPr>
          <w:rFonts w:ascii="Times New Roman" w:hAnsi="Times New Roman"/>
          <w:sz w:val="20"/>
        </w:rPr>
        <w:t>. The Company and the Subsidiaries own or possess, or can acquire on reasonable terms, all licenses, inventions, copyrights, know-how (including trade secrets and other unpatented and/or unpatentable proprietary or confidential information, systems or procedures), trademarks, service marks and trade names, patents and patent rights (collectively </w:t>
      </w:r>
      <w:r>
        <w:rPr>
          <w:rFonts w:ascii="Times New Roman" w:hAnsi="Times New Roman"/>
          <w:b/>
          <w:sz w:val="20"/>
        </w:rPr>
        <w:t>Intellectual Property</w:t>
      </w:r>
      <w:r>
        <w:rPr>
          <w:rFonts w:ascii="Times New Roman" w:hAnsi="Times New Roman"/>
          <w:sz w:val="20"/>
        </w:rPr>
        <w:t xml:space="preserve">) material to carrying on their businesses as described in the Registration Statement, the General Disclosure Package or the Final Prospectus, and neither the Company nor any Subsidiary has received any correspondence relating to any Intellectual Property or notice of infringement of or conflict with asserted rights of others with respect to any Intellectual Property which would render any Intellectual Property invalid or inadequate to protect the interest of the Company and the Subsidiaries and which infringement or conflict (if the subject of any unfavorable decision, ruling or finding) or invalidity or inadequacy, individually or in the aggregate, would have or may reasonably be expected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i/>
          <w:sz w:val="20"/>
        </w:rPr>
        <w:t>Environmental Laws</w:t>
      </w:r>
      <w:r>
        <w:rPr>
          <w:rFonts w:ascii="Times New Roman" w:hAnsi="Times New Roman"/>
          <w:sz w:val="20"/>
        </w:rPr>
        <w:t>. Neither the Company nor any of the Subsidiaries is in violation of any statute or any rule, regulation, decision or order of any governmental agency or body or any court, domestic or foreign, relating to the use, production, disposal or release of hazardous or toxic substances or relating to the protection or restoration of the environment or human exposure to hazardous or toxic substances (collectively, </w:t>
      </w:r>
      <w:r>
        <w:rPr>
          <w:rFonts w:ascii="Times New Roman" w:hAnsi="Times New Roman"/>
          <w:b/>
          <w:sz w:val="20"/>
        </w:rPr>
        <w:t>environmental laws</w:t>
      </w:r>
      <w:r>
        <w:rPr>
          <w:rFonts w:ascii="Times New Roman" w:hAnsi="Times New Roman"/>
          <w:sz w:val="20"/>
        </w:rPr>
        <w:t xml:space="preserve">),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individually or in the aggregate, would have a Material Adverse Effect; and the Company is not aware of any pending investigation which might lead to such a claim. </w:t>
      </w:r>
    </w:p>
    <w:p>
      <w:pPr>
        <w:pStyle w:val="TextBody"/>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i/>
          <w:sz w:val="20"/>
        </w:rPr>
        <w:t xml:space="preserve">Full Disclosure. </w:t>
      </w:r>
      <w:r>
        <w:rPr>
          <w:rFonts w:ascii="Times New Roman" w:hAnsi="Times New Roman"/>
          <w:sz w:val="20"/>
        </w:rPr>
        <w:t xml:space="preserve">There are no statutes, regulations, documents or contracts of a character required to be described in the Registration Statement, the General Disclosure Package or the Final Prospectus or to be filed as an exhibit to the Registration Statement which are not described or filed as required. The agreements and documents described in the Registration Statement, the General Disclosure Package or the Final Prospectus conform in all material respects to the descriptions thereof contained therein and there are no agreements or other documents required by the Securities Act and the Regulations to be described therein or to be filed with the Commission as exhibits to the Registration Statement that have not been so described or filed. Each agreement or other instrument (however characterized or described) to which the Company is a party or by which it is or may be bound or affected and (a) that is referred to in the Registration Statement, the General Disclosure Package or the Final Prospectus, or (b)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(1) as such enforceability may be limited by bankruptcy, insolvency, reorganization or similar laws affecting creditors rights generally, (2) as enforceability of any indemnification or contribution provision may be limited under the federal or state securities laws, and (3)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(xxv) </w:t>
      </w:r>
      <w:r>
        <w:rPr>
          <w:rFonts w:ascii="Times New Roman" w:hAnsi="Times New Roman"/>
          <w:i/>
          <w:sz w:val="20"/>
        </w:rPr>
        <w:t>Accurate Disclosure</w:t>
      </w:r>
      <w:r>
        <w:rPr>
          <w:rFonts w:ascii="Times New Roman" w:hAnsi="Times New Roman"/>
          <w:sz w:val="20"/>
        </w:rPr>
        <w:t xml:space="preserve">. The statements in the Registration Statement, the General Disclosure Package and the Final Prospectus under the heading Selling Stockholder and Description of Common Stock insofar as such statements summarize legal matters, agreements, documents or proceedings discussed therein, are accurate and fair summaries of such legal matters, agreements, documents or proceedings and present the information required to be shown. </w:t>
      </w:r>
    </w:p>
    <w:p>
      <w:pPr>
        <w:pStyle w:val="TextBody"/>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i/>
          <w:sz w:val="20"/>
        </w:rPr>
        <w:t>Absence of Manipulation</w:t>
      </w:r>
      <w:r>
        <w:rPr>
          <w:rFonts w:ascii="Times New Roman" w:hAnsi="Times New Roman"/>
          <w:sz w:val="20"/>
        </w:rPr>
        <w:t xml:space="preserve">. The Company has not taken, directly or indirectly, any action that is designed to or that has constituted or that would reasonably be expected to cause or result in the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i/>
          <w:sz w:val="20"/>
        </w:rPr>
        <w:t>Statistical and Market-Related Data</w:t>
      </w:r>
      <w:r>
        <w:rPr>
          <w:rFonts w:ascii="Times New Roman" w:hAnsi="Times New Roman"/>
          <w:sz w:val="20"/>
        </w:rPr>
        <w:t xml:space="preserve">. Any third-party statistical and market-related data included or incorporated by reference in the Registration Statement, a Statutory Prospectus or the General Disclosure Package are based on or derived from sources that the Company believes to be reliable and accurate. </w:t>
      </w:r>
    </w:p>
    <w:p>
      <w:pPr>
        <w:pStyle w:val="TextBody"/>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i/>
          <w:sz w:val="20"/>
        </w:rPr>
        <w:t>Internal Controls and Compliance with the Sarbanes-Oxley Act and the Exchange Rules</w:t>
      </w:r>
      <w:r>
        <w:rPr>
          <w:rFonts w:ascii="Times New Roman" w:hAnsi="Times New Roman"/>
          <w:sz w:val="20"/>
        </w:rPr>
        <w:t>. The Company maintains a system of internal controls over financial reporting (</w:t>
      </w:r>
      <w:r>
        <w:rPr>
          <w:rFonts w:ascii="Times New Roman" w:hAnsi="Times New Roman"/>
          <w:b/>
          <w:sz w:val="20"/>
        </w:rPr>
        <w:t>Internal Controls</w:t>
      </w:r>
      <w:r>
        <w:rPr>
          <w:rFonts w:ascii="Times New Roman" w:hAnsi="Times New Roman"/>
          <w:sz w:val="20"/>
        </w:rPr>
        <w:t>) that comply in all material respects with all applicable Securities Laws and are sufficient to provide reasonable assurances that (i) transactions are executed in accordance with managements general or specific authorizations, (ii) transactions are recorded as necessary to permit preparation of financial statements in conformity with U.S. Generally Accepted Accounting Principles (</w:t>
      </w:r>
      <w:r>
        <w:rPr>
          <w:rFonts w:ascii="Times New Roman" w:hAnsi="Times New Roman"/>
          <w:b/>
          <w:sz w:val="20"/>
        </w:rPr>
        <w:t>GAAP</w:t>
      </w:r>
      <w:r>
        <w:rPr>
          <w:rFonts w:ascii="Times New Roman" w:hAnsi="Times New Roman"/>
          <w:sz w:val="20"/>
        </w:rPr>
        <w:t>) and accountability for assets is maintained,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would not, individually or in the aggregate, have a Material Adverse Effect, the Company has not publicly disclosed or reported to the Audit Committee (the </w:t>
      </w:r>
      <w:r>
        <w:rPr>
          <w:rFonts w:ascii="Times New Roman" w:hAnsi="Times New Roman"/>
          <w:b/>
          <w:sz w:val="20"/>
        </w:rPr>
        <w:t>Audit Committee</w:t>
      </w:r>
      <w:r>
        <w:rPr>
          <w:rFonts w:ascii="Times New Roman" w:hAnsi="Times New Roman"/>
          <w:sz w:val="20"/>
        </w:rPr>
        <w:t>) of the Companys Board of Directors (the </w:t>
      </w:r>
      <w:r>
        <w:rPr>
          <w:rFonts w:ascii="Times New Roman" w:hAnsi="Times New Roman"/>
          <w:b/>
          <w:sz w:val="20"/>
        </w:rPr>
        <w:t>Board</w:t>
      </w:r>
      <w:r>
        <w:rPr>
          <w:rFonts w:ascii="Times New Roman" w:hAnsi="Times New Roman"/>
          <w:sz w:val="20"/>
        </w:rPr>
        <w:t xml:space="preserve">) or the Board any significant deficiency or material weakness, or a material and adverse change, in Internal Controls or any fraud involving management or other employees who have a significant role in Internal Controls. The Company has established disclosure controls and procedures (as such term is defined in Rule 13a-15(e) under the Exchange Act) over the Company and its subsidiaries; such disclosure controls and procedures are effective. There is and has been no failure on the part of the Company or any of the Companys directors or officers, in their capacities as such, to comply in all material respects with any provision of Sarbanes-Oxley, including Section 402 related to loans and Sections 302 and 906 related to certifications, and any and all applicable rules and regulations promulgated by the Commission thereunder that are effective as of the date hereof and as of the Closing Date. </w:t>
      </w:r>
    </w:p>
    <w:p>
      <w:pPr>
        <w:pStyle w:val="TextBody"/>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i/>
          <w:sz w:val="20"/>
        </w:rPr>
        <w:t>Litigation</w:t>
      </w:r>
      <w:r>
        <w:rPr>
          <w:rFonts w:ascii="Times New Roman" w:hAnsi="Times New Roman"/>
          <w:sz w:val="20"/>
        </w:rPr>
        <w:t xml:space="preserve">. Except as disclosed in the Registration Statement, the General Disclosure Package or the Final Prospectus, there are no legal or governmental proceedings pending to which the Company or any of the Subsidiaries is a party or of which any property of the Company or any of the Subsidiaries is the subject which, if determined adversely to the Company or the Subsidiary, individually or in the aggregate, would have or may reasonably be expected to have a Material Adverse Effect, or would prevent or impair the consummation of the transactions contemplated by this Agreement, or which are required to be described in the Registration Statement, the General Disclosure Package or the Final Prospectus; and, to the best of the Companys knowledge, no such proceedings are threatened or contemplated by governmental authorities or others. </w:t>
      </w:r>
    </w:p>
    <w:p>
      <w:pPr>
        <w:pStyle w:val="TextBody"/>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i/>
          <w:sz w:val="20"/>
        </w:rPr>
        <w:t>Financial Statements</w:t>
      </w:r>
      <w:r>
        <w:rPr>
          <w:rFonts w:ascii="Times New Roman" w:hAnsi="Times New Roman"/>
          <w:sz w:val="20"/>
        </w:rPr>
        <w:t xml:space="preserve">. The financial statements included or incorporated by reference in the Registration Statement and the General Disclosure Package, together with the related notes, present fairly in all material respects the financial position of the Company and its consolidated subsidiaries as of the dates shown and their results of operations, cash flows and changes in stockholders equity for the periods shown, and, except as otherwise disclosed in the General Disclosure Package, such financial statements have been prepared in conformity with GAAP applied on a consistent basis, except in the case of unaudited interim financial statements, subject to normal year-end audit adjustments and the exclusion of certain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footnotes as permitted by the applicable rules of the Commission, and the schedules, if any, included or incorporated by reference in the Registration Statement present fairly in all materials respects the information required to be stated therein. . The summary and selected financial data included or incorporated by reference in the Registration Statement, the General Disclosure Package and the Final Prospectus presents fairly the information shown therein and such data has been compiled on a basis consistent with the financial statements presented therein and the books and records of the Company. There are no financial statements that are required to be included or incorporated by reference in the Registration Statement, the General Disclosure Package or the Final Prospectus that are not included as required. </w:t>
      </w:r>
    </w:p>
    <w:p>
      <w:pPr>
        <w:pStyle w:val="TextBody"/>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i/>
          <w:sz w:val="20"/>
        </w:rPr>
        <w:t>Independent Auditors</w:t>
      </w:r>
      <w:r>
        <w:rPr>
          <w:rFonts w:ascii="Times New Roman" w:hAnsi="Times New Roman"/>
          <w:sz w:val="20"/>
        </w:rPr>
        <w:t xml:space="preserve">. KPMG LLP, who have audited the financial statements of the Company and the Subsidiaries, are independent public accountants registered with the Public Company Accounting Oversight Board as required by the Securities Act and the Rules and Regulations. </w:t>
      </w:r>
    </w:p>
    <w:p>
      <w:pPr>
        <w:pStyle w:val="TextBody"/>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i/>
          <w:sz w:val="20"/>
        </w:rPr>
        <w:t>No Material Adverse Change in Business</w:t>
      </w:r>
      <w:r>
        <w:rPr>
          <w:rFonts w:ascii="Times New Roman" w:hAnsi="Times New Roman"/>
          <w:sz w:val="20"/>
        </w:rPr>
        <w:t xml:space="preserve">. Except as disclosed in the General Disclosure Package, since the end of the period covered by the latest audited financial statements included in the General Disclosure Package neither the Company nor any Subsidiary has sustained any material loss or interference with its business from fire, explosion, flood or other calamity, whether or not covered by insurance, or from any labor dispute or court or governmental action, order or decree, otherwise than as set forth or contemplated in the General Disclosure Package; and, since the respective dates as of which information is given in the General Disclosure Package, (1) there has not been any material change in the capital stock or long-term debt of the Company or any of the Subsidiaries, (2) there has not been any material adverse change, or any development that would reasonably be expected to result in a prospective material adverse change, in or affecting the general affairs, business, prospects, management, financial position, stockholders equity or results of operations of the Company and the Subsidiaries, considered as one enterprise, (3) there have been no transactions entered into by, and no obligations or liabilities, contingent or otherwise, incurred by the Company or any of the Subsidiaries, whether or not in the ordinary course of business, which are material to the Company and the Subsidiaries, considered as one enterprise, or (4) there has been no dividend or distribution of any kind declared, paid or made by the Company on any class of its capital stock, in each case, otherwise than as set forth or contemplated in the General Disclosure Package. </w:t>
      </w:r>
    </w:p>
    <w:p>
      <w:pPr>
        <w:pStyle w:val="TextBody"/>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i/>
          <w:sz w:val="20"/>
        </w:rPr>
        <w:t>Investment Company Act</w:t>
      </w:r>
      <w:r>
        <w:rPr>
          <w:rFonts w:ascii="Times New Roman" w:hAnsi="Times New Roman"/>
          <w:sz w:val="20"/>
        </w:rPr>
        <w:t>. The Company is not an investment company as defined in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i/>
          <w:sz w:val="20"/>
        </w:rPr>
        <w:t>Ratings</w:t>
      </w:r>
      <w:r>
        <w:rPr>
          <w:rFonts w:ascii="Times New Roman" w:hAnsi="Times New Roman"/>
          <w:sz w:val="20"/>
        </w:rPr>
        <w:t xml:space="preserve">. No nationally recognized statistical rating organization as such term is defined for purposes of Rule 436(g)(2) (i) has imposed any condition (financial or otherwise) on the Companys retaining any rating assigned to the Company or any securities of the Company or (ii) has informed the Company that it is considering any of the actions described in Section 6(d)(ii) hereof. </w:t>
      </w:r>
    </w:p>
    <w:p>
      <w:pPr>
        <w:pStyle w:val="TextBody"/>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i/>
          <w:sz w:val="20"/>
        </w:rPr>
        <w:t>Tax Matters</w:t>
      </w:r>
      <w:r>
        <w:rPr>
          <w:rFonts w:ascii="Times New Roman" w:hAnsi="Times New Roman"/>
          <w:sz w:val="20"/>
        </w:rPr>
        <w:t xml:space="preserve">. All United States federal income tax returns of the Company and the Subsidiaries required by law to be filed have been filed or timely extension has been requested thereof and all taxes shown by such returns or otherwise assessed, which are due and payable, have been paid, except assessments against which appeals have been or will be promptly taken and as to which adequate reserves have been provided in accordance with GAAP or to the extent any failure to file or pay such taxes or assessments would not result in a Material Adverse Effect. The Company and the Subsidiaries have filed all other tax returns that are required to have been filed by them pursuant to applicable foreign, state, local or other law, except insofar as the failure to file such returns, individually or in the aggregate, would not result in a Material Adverse Effect, and have paid all taxes due pursuant to such returns or pursuant to any assessment received by the Company or any Subsidiary except for such taxes, if any, as are being contested in good faith and as to which adequate reserves have been provided. The charges, accruals and reserves on the books of the Company and the Subsidiaries in respect of any income and corporation tax liability for any years not finally determined are adequate to meet any assessments or re-assessments for additional income tax for any years not finally determined.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(xxxvi) </w:t>
      </w:r>
      <w:r>
        <w:rPr>
          <w:rFonts w:ascii="Times New Roman" w:hAnsi="Times New Roman"/>
          <w:i/>
          <w:sz w:val="20"/>
        </w:rPr>
        <w:t>Insurance</w:t>
      </w:r>
      <w:r>
        <w:rPr>
          <w:rFonts w:ascii="Times New Roman" w:hAnsi="Times New Roman"/>
          <w:sz w:val="20"/>
        </w:rPr>
        <w:t xml:space="preserve">. The Company and the Subsidiaries are insured by insurers of recognized financial responsibility against such losses and risks and in such amounts as are prudent and customary in the businesses in which they are engaged; neither the Company nor any Subsidiary has been refused any insurance coverage sought or applied for during the twelve-month period preceding the date of this Agreement, except for any refusal that would not, individually or in the aggregate, have a Material Adverse Effect; and the Company has no reason to believe that either it or any Subsidiary will not be able to renew its existing insurance coverage as and when such coverage expires or to obtain similar coverage from similar insurers as may be necessary to continue its business at a cost that would not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i/>
          <w:sz w:val="20"/>
        </w:rPr>
        <w:t>ERISA Compliance</w:t>
      </w:r>
      <w:r>
        <w:rPr>
          <w:rFonts w:ascii="Times New Roman" w:hAnsi="Times New Roman"/>
          <w:sz w:val="20"/>
        </w:rPr>
        <w:t>. Each employee benefit plan, within the meaning of Section 3(3) of the Employee Retirement Income Security Act of 1974, as amended (</w:t>
      </w:r>
      <w:r>
        <w:rPr>
          <w:rFonts w:ascii="Times New Roman" w:hAnsi="Times New Roman"/>
          <w:b/>
          <w:sz w:val="20"/>
        </w:rPr>
        <w:t>ERISA</w:t>
      </w:r>
      <w:r>
        <w:rPr>
          <w:rFonts w:ascii="Times New Roman" w:hAnsi="Times New Roman"/>
          <w:sz w:val="20"/>
        </w:rPr>
        <w:t>), that is maintained, administered or contributed to by the Company or any Subsidiary for employees or former employees of the Company and its affiliates has been maintained in compliance with its terms and the requirements of any applicable statutes, orders, rules and regulations, including but not limited to ERISA and the Internal Revenue Code of 1986, as amended (the </w:t>
      </w:r>
      <w:r>
        <w:rPr>
          <w:rFonts w:ascii="Times New Roman" w:hAnsi="Times New Roman"/>
          <w:b/>
          <w:sz w:val="20"/>
        </w:rPr>
        <w:t>Code</w:t>
      </w:r>
      <w:r>
        <w:rPr>
          <w:rFonts w:ascii="Times New Roman" w:hAnsi="Times New Roman"/>
          <w:sz w:val="20"/>
        </w:rPr>
        <w:t xml:space="preserve">), except to the extent that failure to so comply, individually or in the aggregate, would not have a Material Adverse Effect. No prohibited transaction, within the meaning of Section 406 of ERISA or Section 4975 of the Code has occurred with respect to any such plan excluding transactions effected pursuant to a statutory or administrative exemption </w:t>
      </w:r>
    </w:p>
    <w:p>
      <w:pPr>
        <w:pStyle w:val="TextBody"/>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i/>
          <w:sz w:val="20"/>
        </w:rPr>
        <w:t>Use of Testing-the-Waters Materials</w:t>
      </w:r>
      <w:r>
        <w:rPr>
          <w:rFonts w:ascii="Times New Roman" w:hAnsi="Times New Roman"/>
          <w:sz w:val="20"/>
        </w:rPr>
        <w:t xml:space="preserve">. Except as approved in writing by the Representative, the Company has not alone engaged in any Testing-the-Waters Communication and has not authorized anyone to engage in Testing-the-Waters Communications. </w:t>
      </w:r>
    </w:p>
    <w:p>
      <w:pPr>
        <w:pStyle w:val="TextBody"/>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i/>
          <w:sz w:val="20"/>
        </w:rPr>
        <w:t>Other Offerings</w:t>
      </w:r>
      <w:r>
        <w:rPr>
          <w:rFonts w:ascii="Times New Roman" w:hAnsi="Times New Roman"/>
          <w:sz w:val="20"/>
        </w:rPr>
        <w:t xml:space="preserve">. The Company has not sold, issued or distributed any shares of Common Stock during the six-month period preceding the date hereof, including any sales pursuant to Rule 144A under, or Regulation D or S of, the Act, other than the shares of Common Stock issued pursuant to employee benefit plans, qualified stock option plans or other employee incentive plans or pursuant to outstanding options, rights or warrants. </w:t>
      </w:r>
    </w:p>
    <w:p>
      <w:pPr>
        <w:pStyle w:val="TextBody"/>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i/>
          <w:sz w:val="20"/>
        </w:rPr>
        <w:t>No Unlawful Payments</w:t>
      </w:r>
      <w:r>
        <w:rPr>
          <w:rFonts w:ascii="Times New Roman" w:hAnsi="Times New Roman"/>
          <w:sz w:val="20"/>
        </w:rPr>
        <w:t>. Neither the Company nor any of its Subsidiaries, or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violated or is in violation of any provision of the U.S. Foreign Corrupt Practices Act of 1977, as amended or any other applicable anti-bribery or anti-corruption law (collectively, the </w:t>
      </w:r>
      <w:r>
        <w:rPr>
          <w:rFonts w:ascii="Times New Roman" w:hAnsi="Times New Roman"/>
          <w:b/>
          <w:sz w:val="20"/>
        </w:rPr>
        <w:t>Anti-Bribery and Anti-Corruption Laws</w:t>
      </w:r>
      <w:r>
        <w:rPr>
          <w:rFonts w:ascii="Times New Roman" w:hAnsi="Times New Roman"/>
          <w:sz w:val="20"/>
        </w:rPr>
        <w:t xml:space="preserve">); or (iv) made any bribe, unlawful rebate, payoff, influence payment, kickback or other unlawful payment. The Company and the Subsidiaries have conducted their businesses in material compliance with applicable Anti-Bribery and Anti-Corruption Laws and have instituted, maintain and enforce policies and procedures designed to promote and achieve compliance with Anti-Bribery and Anti-Corruption Laws. </w:t>
      </w:r>
    </w:p>
    <w:p>
      <w:pPr>
        <w:pStyle w:val="TextBody"/>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i/>
          <w:sz w:val="20"/>
        </w:rPr>
        <w:t>Compliance with Anti-Money Laundering Laws</w:t>
      </w:r>
      <w:r>
        <w:rPr>
          <w:rFonts w:ascii="Times New Roman" w:hAnsi="Times New Roman"/>
          <w:sz w:val="20"/>
        </w:rPr>
        <w:t>. The operations of the Company and the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spacing w:before="120" w:after="0"/>
        <w:jc w:val="left"/>
        <w:rPr>
          <w:rFonts w:ascii="Times New Roman" w:hAnsi="Times New Roman"/>
          <w:sz w:val="20"/>
        </w:rPr>
      </w:pPr>
      <w:r>
        <w:rPr>
          <w:rFonts w:ascii="Times New Roman" w:hAnsi="Times New Roman"/>
          <w:sz w:val="20"/>
        </w:rPr>
        <w:t xml:space="preserve">(xlii) </w:t>
      </w:r>
      <w:r>
        <w:rPr>
          <w:rFonts w:ascii="Times New Roman" w:hAnsi="Times New Roman"/>
          <w:i/>
          <w:sz w:val="20"/>
        </w:rPr>
        <w:t>Compliance with OFAC</w:t>
      </w:r>
      <w:r>
        <w:rPr>
          <w:rFonts w:ascii="Times New Roman" w:hAnsi="Times New Roman"/>
          <w:sz w:val="20"/>
        </w:rPr>
        <w:t>. The Company is not, and, to the Companys knowledge, none of its directors, officers, agents or employees purporting to act on behalf of the Company are currently the target of or reasonably likely to become the target of any U.S. sanctions administered by the Office of Foreign Assets Control of the U.S. Department of the Treasury (</w:t>
      </w:r>
      <w:r>
        <w:rPr>
          <w:rFonts w:ascii="Times New Roman" w:hAnsi="Times New Roman"/>
          <w:b/>
          <w:sz w:val="20"/>
        </w:rPr>
        <w:t>OFAC</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(xliii) </w:t>
      </w:r>
      <w:r>
        <w:rPr>
          <w:rFonts w:ascii="Times New Roman" w:hAnsi="Times New Roman"/>
          <w:i/>
          <w:sz w:val="20"/>
        </w:rPr>
        <w:t>Company IT Systems; Cybersecurity</w:t>
      </w:r>
      <w:r>
        <w:rPr>
          <w:rFonts w:ascii="Times New Roman" w:hAnsi="Times New Roman"/>
          <w:sz w:val="20"/>
        </w:rPr>
        <w:t>. The Company owns or has a valid right to access and use all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the </w:t>
      </w:r>
      <w:r>
        <w:rPr>
          <w:rFonts w:ascii="Times New Roman" w:hAnsi="Times New Roman"/>
          <w:b/>
          <w:sz w:val="20"/>
        </w:rPr>
        <w:t>Company IT Systems</w:t>
      </w:r>
      <w:r>
        <w:rPr>
          <w:rFonts w:ascii="Times New Roman" w:hAnsi="Times New Roman"/>
          <w:sz w:val="20"/>
        </w:rPr>
        <w:t xml:space="preserve">), except where the failure to own or have the right to access the Company IT Systems would not reasonably be expected to have a Material Adverse Effect. Except where the impact of which would not reasonably be expected to result in a Material Adverse Effect, (A) there has been no security breach or incident, unauthorized access or disclosure, or other compromise of or relating to the Company IT Systems (B) neither the Company nor its Subsidiaries have been notified of, and each of them have no knowledge of any event or condition that could reasonably be excepted to result in, any security breach or incident, unauthorized access or disclosure or other compromise the Company IT Systems; and (C) the Company and its Subsidiaries have implemented appropriate controls, policies, procedures, and technological safeguards to maintain and protect the integrity, continuous operation, redundancy and security of the Company IT Systems reasonably consistent with industry standards and practices, or as required by applicable regulatory standards.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the Company IT Systems and to the protection the Company IT Systems from unauthorized use, access, misappropriation or modification, except where the failure to maintain such compliance would not reasonably be excepted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(xliv) </w:t>
      </w:r>
      <w:r>
        <w:rPr>
          <w:rFonts w:ascii="Times New Roman" w:hAnsi="Times New Roman"/>
          <w:i/>
          <w:sz w:val="20"/>
        </w:rPr>
        <w:t>FINRA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1. All of the information provided to the Representative or to counsel for the Representative by the Company and, to the knowledge of the Company, its officers and directors and the holders of any securities of the Company in connection with letters, filings or other supplemental information provided to the FINRA pursuant to FINRA Conduct Rule 5110 or 5121 is true, complete and correct. </w:t>
      </w:r>
    </w:p>
    <w:p>
      <w:pPr>
        <w:pStyle w:val="TextBody"/>
        <w:spacing w:before="120" w:after="0"/>
        <w:jc w:val="left"/>
        <w:rPr>
          <w:rFonts w:ascii="Times New Roman" w:hAnsi="Times New Roman"/>
          <w:sz w:val="20"/>
        </w:rPr>
      </w:pPr>
      <w:r>
        <w:rPr>
          <w:rFonts w:ascii="Times New Roman" w:hAnsi="Times New Roman"/>
          <w:sz w:val="20"/>
        </w:rPr>
        <w:t xml:space="preserve">2. The Company meets the definition of the term experienced issuer specified in FINRA Rule 5110(j)(6). </w:t>
      </w:r>
    </w:p>
    <w:p>
      <w:pPr>
        <w:pStyle w:val="TextBody"/>
        <w:spacing w:before="120" w:after="0"/>
        <w:jc w:val="left"/>
        <w:rPr>
          <w:rFonts w:ascii="Times New Roman" w:hAnsi="Times New Roman"/>
          <w:sz w:val="20"/>
        </w:rPr>
      </w:pPr>
      <w:r>
        <w:rPr>
          <w:rFonts w:ascii="Times New Roman" w:hAnsi="Times New Roman"/>
          <w:sz w:val="20"/>
        </w:rPr>
        <w:t xml:space="preserve">3. There are no claims, payments, arrangements, agreements or understandings relating to the payment of a finders, consulting or origination fee by the Company or any of its officers or directors with respect to the sale of the securities hereunder or any other arrangements, agreements or understandings of the Company or, to the Companys knowledge, any of its shareholders that may affect the Underwriters compensation, as determined by FINRA. </w:t>
      </w:r>
    </w:p>
    <w:p>
      <w:pPr>
        <w:pStyle w:val="TextBody"/>
        <w:spacing w:before="120" w:after="0"/>
        <w:jc w:val="left"/>
        <w:rPr>
          <w:rFonts w:ascii="Times New Roman" w:hAnsi="Times New Roman"/>
          <w:sz w:val="20"/>
        </w:rPr>
      </w:pPr>
      <w:r>
        <w:rPr>
          <w:rFonts w:ascii="Times New Roman" w:hAnsi="Times New Roman"/>
          <w:sz w:val="20"/>
        </w:rPr>
        <w:t xml:space="preserve">4. The Company has not made any direct or indirect payments (in cash, securities or otherwise) to: (x) any person, as a finders fee, consulting fee or otherwise, in consideration of such person raising capital for the Company or introducing to the Company persons who raised or provided capital to the Company; (y) to any FINRA member; or (z) to the Companys knowledge, to any person or entity that has any direct or indirect affiliation or association with any FINRA member, within the twelve months prior to the date of this Agreement, other than payments to the Underwriters as provided hereunder, other than with respect to the Placement Agency Agreement by and between the Company and D.A. Davidson &amp; Co. dated February 5, 2021. </w:t>
      </w:r>
    </w:p>
    <w:p>
      <w:pPr>
        <w:pStyle w:val="TextBody"/>
        <w:spacing w:before="120" w:after="0"/>
        <w:jc w:val="left"/>
        <w:rPr>
          <w:rFonts w:ascii="Times New Roman" w:hAnsi="Times New Roman"/>
          <w:sz w:val="20"/>
        </w:rPr>
      </w:pPr>
      <w:r>
        <w:rPr>
          <w:rFonts w:ascii="Times New Roman" w:hAnsi="Times New Roman"/>
          <w:sz w:val="20"/>
        </w:rPr>
        <w:t xml:space="preserve">5. To the Companys knowledge, no officer, director or any beneficial owner of five percent or more of the Companys unregistered securities has any direct or indirect affiliation or association with any FINRA member (as determined in accordance with the rules and regulations of FINRA). The Company will advise the Representative if it learns that any officer, director or owner of five percent or more of the outstanding shares of Common Stock (or securities convertible into shares of Common Stock) is or becomes an affiliate or associated person of a FINRA member participating in the offering of the Shares hereunder. </w:t>
      </w:r>
    </w:p>
    <w:p>
      <w:pPr>
        <w:pStyle w:val="TextBody"/>
        <w:spacing w:before="120" w:after="0"/>
        <w:jc w:val="left"/>
        <w:rPr>
          <w:rFonts w:ascii="Times New Roman" w:hAnsi="Times New Roman"/>
          <w:sz w:val="20"/>
        </w:rPr>
      </w:pPr>
      <w:r>
        <w:rPr>
          <w:rFonts w:ascii="Times New Roman" w:hAnsi="Times New Roman"/>
          <w:sz w:val="20"/>
        </w:rPr>
        <w:t xml:space="preserve">(xlv) </w:t>
      </w:r>
      <w:r>
        <w:rPr>
          <w:rFonts w:ascii="Times New Roman" w:hAnsi="Times New Roman"/>
          <w:i/>
          <w:sz w:val="20"/>
        </w:rPr>
        <w:t>U.S. Real Property Holding Corporation</w:t>
      </w:r>
      <w:r>
        <w:rPr>
          <w:rFonts w:ascii="Times New Roman" w:hAnsi="Times New Roman"/>
          <w:sz w:val="20"/>
        </w:rPr>
        <w:t xml:space="preserve">. The Company is not and has never been a U.S. real property holding corporation within the meaning of Section 897 of the Cod and the Company shall so certify upon the Representatives request. </w:t>
      </w:r>
    </w:p>
    <w:p>
      <w:pPr>
        <w:pStyle w:val="TextBody"/>
        <w:spacing w:before="120" w:after="0"/>
        <w:jc w:val="left"/>
        <w:rPr>
          <w:rFonts w:ascii="Times New Roman" w:hAnsi="Times New Roman"/>
          <w:sz w:val="20"/>
        </w:rPr>
      </w:pPr>
      <w:r>
        <w:rPr>
          <w:rFonts w:ascii="Times New Roman" w:hAnsi="Times New Roman"/>
          <w:sz w:val="20"/>
        </w:rPr>
        <w:t xml:space="preserve">(b) The Selling Stockholder represents and warrants to, and agrees with, the Underwriters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Title to Securities</w:t>
      </w:r>
      <w:r>
        <w:rPr>
          <w:rFonts w:ascii="Times New Roman" w:hAnsi="Times New Roman"/>
          <w:sz w:val="20"/>
        </w:rPr>
        <w:t xml:space="preserve">. The Selling Stockholder has and on each Closing Date will have valid and unencumbered title to the Shares (or security entitlements in respect thereto) to be delivered by the Selling Stockholder on each Closing Date and full right, power and authority to enter into this Agreement and to sell, assign, transfer and deliver the Shares (or security entitlements in respect thereto) to be delivered by the Selling Stockholder on each Closing Date hereunder; and upon the delivery of and payment for the Shares (or security entitlements in respect thereto) on each Closing Date hereunder the Underwriters will acquire valid and unencumbered title to the Shares (or security entitlements in respect thereto) to be delivered by the Selling Stockholder on each Closing Date.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DTC</w:t>
      </w:r>
      <w:r>
        <w:rPr>
          <w:rFonts w:ascii="Times New Roman" w:hAnsi="Times New Roman"/>
          <w:sz w:val="20"/>
        </w:rPr>
        <w:t>. Upon payment by the Underwriters for the Shares, delivery of such Shares, as directed by the Underwriters, to Cede &amp; Co. (</w:t>
      </w:r>
      <w:r>
        <w:rPr>
          <w:rFonts w:ascii="Times New Roman" w:hAnsi="Times New Roman"/>
          <w:b/>
          <w:sz w:val="20"/>
        </w:rPr>
        <w:t>Cede</w:t>
      </w:r>
      <w:r>
        <w:rPr>
          <w:rFonts w:ascii="Times New Roman" w:hAnsi="Times New Roman"/>
          <w:sz w:val="20"/>
        </w:rPr>
        <w:t>) or such other nominee as may be designated by the Depository Trust Company (</w:t>
      </w:r>
      <w:r>
        <w:rPr>
          <w:rFonts w:ascii="Times New Roman" w:hAnsi="Times New Roman"/>
          <w:b/>
          <w:sz w:val="20"/>
        </w:rPr>
        <w:t>DTC</w:t>
      </w:r>
      <w:r>
        <w:rPr>
          <w:rFonts w:ascii="Times New Roman" w:hAnsi="Times New Roman"/>
          <w:sz w:val="20"/>
        </w:rPr>
        <w:t>), registration of such Shares in the name of Cede or such other nominee and the crediting of such Shares on the books of DTC to securities accounts of the Underwriters (assuming that neither DTC nor the Underwriters have notice of any adverse claim (within the meaning of Section 8-105 of the New York Uniform Commercial Code (</w:t>
      </w:r>
      <w:r>
        <w:rPr>
          <w:rFonts w:ascii="Times New Roman" w:hAnsi="Times New Roman"/>
          <w:b/>
          <w:sz w:val="20"/>
        </w:rPr>
        <w:t>UCC</w:t>
      </w:r>
      <w:r>
        <w:rPr>
          <w:rFonts w:ascii="Times New Roman" w:hAnsi="Times New Roman"/>
          <w:sz w:val="20"/>
        </w:rPr>
        <w:t xml:space="preserve">)) to such Securities), under Section 8-501 of the UCC, the Underwriters will acquire a valid security entitlement in respect of such Shares and no action based on any adverse claim, within the meaning of Section 8-102 of the UCC, to such Shares may be validly asserted against the Underwriters with respect to such security entitlement; assuming that when such payment, delivery and crediting occur, (x) such Shares will have been registered in the name of Cede or another nominee designated by DTC, in each case on the Companys share registry in accordance with its certificate of incorporation, bylaws and applicable law, (y) DTC is a clearing corporation within the meaning of Section 8-102 of the UCC and (z) appropriate entries crediting the Shares to the account of the Underwriters on the records of DTC will have been made pursuant to the UCC.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Absence of Further Requirements</w:t>
      </w:r>
      <w:r>
        <w:rPr>
          <w:rFonts w:ascii="Times New Roman" w:hAnsi="Times New Roman"/>
          <w:sz w:val="20"/>
        </w:rPr>
        <w:t xml:space="preserve">. No consent, approval, authorization or order of, or filing with, any person (including any governmental agency or body or any court) is required to be obtained or made by the Selling Stockholder for the consummation by the Selling Stockholder of the transactions contemplated by this Agreement in connection with the offering and sale of the Shares sold by the Selling Stockholder, except such as have been obtained and made and such as may be required under state securities laws or the bylaws and rules of FINRA and except for any such consents, approvals, authorizations, orders, filings or registrations, the absence of which would not, individually or in the aggregate, materially interfere with the consummation of the transaction contemplated hereby.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Absence of Defaults and Conflicts Resulting from Transaction</w:t>
      </w:r>
      <w:r>
        <w:rPr>
          <w:rFonts w:ascii="Times New Roman" w:hAnsi="Times New Roman"/>
          <w:sz w:val="20"/>
        </w:rPr>
        <w:t xml:space="preserve">. The execution, delivery and performance of this Agreement and the consummation of the transactions herein contemplated will not result in a breach by the Selling Stockholder or violation by the Selling Stockholder of any of the terms and provisions of, or constitute a default by the Selling Stockholder under, or result in the imposition of any lien, charge or encumbrance upon any property or assets of the Selling Stockholder pursuant to, (i) any statute, any rule, regulation or order of any governmental agency or body or any court having jurisdiction over the Selling Stockholder or any of its properties, (ii) any agreement or instrument to which the Selling Stockholder is a party or by which the Selling Stockholder is bound or to which any of the properties of the Selling Stockholder is subject, or (iii) if the Selling Stockholder is not an individual, the charter or bylaws (or other equivalent constituent documents) of the Selling Stockholder, except, with respect to each of clauses (i) and (ii), such breaches, violations, defaults, liens, charges and encumbrances that would not, individually or in the aggregate, materially interfere with the consummation of the transaction contemplated hereby.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Compliance with Securities Act Requirements</w:t>
      </w:r>
      <w:r>
        <w:rPr>
          <w:rFonts w:ascii="Times New Roman" w:hAnsi="Times New Roman"/>
          <w:sz w:val="20"/>
        </w:rPr>
        <w:t xml:space="preserve">. (i) (A) At the Effective Time relating to the Shares and (B) on each Closing Date, the Registration Statement will not include any untrue statement of a material fact or omit to state any material fact required to be stated therein or necessary to make the statements therein not misleading, and (ii) (A) on its date and (B) on each Closing Date, the Final Prospectus will conform in all material respects to the requirements of the Act and the Rules and Regulations and will not include any untrue statement of a material fact or omit to state any material fact required to be stated therein or necessary in order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Selling Stockholder makes no representation pursuant to this Section 1(b)(v) except statements made in reliance upon and in conformity with information relating to the Selling Stockholder furnished in writing by or on behalf of the Selling Stockholder expressly for use in the Registration Statement, the General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Disclosure Package or the Final Prospectus, it being understood and agreed that such information furnished by the Selling Stockholder consists only of the name of the Selling Stockholder, the number of shares of Common Stock offered by the Selling Stockholder and the address and other information with respect to the Selling Stockholder (excluding percentages) which appears in the Prospectus in the beneficial ownership table (and corresponding footnotes) under the caption Selling Stockholder (such statements the </w:t>
      </w:r>
      <w:r>
        <w:rPr>
          <w:rFonts w:ascii="Times New Roman" w:hAnsi="Times New Roman"/>
          <w:b/>
          <w:sz w:val="20"/>
        </w:rPr>
        <w:t>Selling Stockholder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No Undisclosed Material Information</w:t>
      </w:r>
      <w:r>
        <w:rPr>
          <w:rFonts w:ascii="Times New Roman" w:hAnsi="Times New Roman"/>
          <w:sz w:val="20"/>
        </w:rPr>
        <w:t xml:space="preserve">. The sale of the Shares by the Selling Stockholder pursuant to this Agreement is not prompted by any material fact, condition or information concerning the Company or any of its subsidiaries that is not set forth in the General Disclosure Package, and the Selling Stockholder has no knowledge of any material fact, condition or information concerning the Company or any of its Subsidiaries that is not set forth in the General Disclosure Package.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Authorization of Agreement</w:t>
      </w:r>
      <w:r>
        <w:rPr>
          <w:rFonts w:ascii="Times New Roman" w:hAnsi="Times New Roman"/>
          <w:sz w:val="20"/>
        </w:rPr>
        <w:t xml:space="preserve">. This Agreement has been duly authorized, executed and delivered by the Selling Stockholder.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i/>
          <w:sz w:val="20"/>
        </w:rPr>
        <w:t>No Finders Fee</w:t>
      </w:r>
      <w:r>
        <w:rPr>
          <w:rFonts w:ascii="Times New Roman" w:hAnsi="Times New Roman"/>
          <w:sz w:val="20"/>
        </w:rPr>
        <w:t xml:space="preserve">. There are no contracts, agreements or understandings between the Selling Stockholder and any person that would give rise to a valid claim against the Selling Stockholder or the Underwriters for a brokerage commission, finders fee or other like payment in connection with this offering. </w:t>
      </w:r>
    </w:p>
    <w:p>
      <w:pPr>
        <w:pStyle w:val="TextBody"/>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i/>
          <w:sz w:val="20"/>
        </w:rPr>
        <w:t>Absence of Manipulation</w:t>
      </w:r>
      <w:r>
        <w:rPr>
          <w:rFonts w:ascii="Times New Roman" w:hAnsi="Times New Roman"/>
          <w:sz w:val="20"/>
        </w:rPr>
        <w:t xml:space="preserve">. The Selling Stockholder has not taken, directly or indirectly, any action that is designed to or that has constituted or that would reasonably be expected to cause or result in the stabilization or manipulation of the price of any security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Good Standing of Selling Stockholder</w:t>
      </w:r>
      <w:r>
        <w:rPr>
          <w:rFonts w:ascii="Times New Roman" w:hAnsi="Times New Roman"/>
          <w:sz w:val="20"/>
        </w:rPr>
        <w:t xml:space="preserve">. The Selling Stockholder is validly existing and, to the extent such concept exists in the relevant jurisdiction, in good standing under the laws of the jurisdiction of its formation. </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i/>
          <w:sz w:val="20"/>
        </w:rPr>
        <w:t>General Disclosure Package</w:t>
      </w:r>
      <w:r>
        <w:rPr>
          <w:rFonts w:ascii="Times New Roman" w:hAnsi="Times New Roman"/>
          <w:sz w:val="20"/>
        </w:rPr>
        <w:t xml:space="preserve">. As of the Applicable Time, neither (i) the General Disclosure Package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provided, however, that the Selling Stockholder makes no representation pursuant to this Section 1(b)(xi) except with respect to the Selling Stockholder Information.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i/>
          <w:sz w:val="20"/>
        </w:rPr>
        <w:t>No Distribution of Offering Material</w:t>
      </w:r>
      <w:r>
        <w:rPr>
          <w:rFonts w:ascii="Times New Roman" w:hAnsi="Times New Roman"/>
          <w:sz w:val="20"/>
        </w:rPr>
        <w:t xml:space="preserve">. The Selling Stockholder has not distributed and will not distribute any prospectus or other offering material in connection with the offering and sale of the Shares other than with the Representatives consent.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i/>
          <w:sz w:val="20"/>
        </w:rPr>
        <w:t>Continued Compliance with Securities Laws</w:t>
      </w:r>
      <w:r>
        <w:rPr>
          <w:rFonts w:ascii="Times New Roman" w:hAnsi="Times New Roman"/>
          <w:sz w:val="20"/>
        </w:rPr>
        <w:t xml:space="preserve">. If, at any time when a prospectus relating to the Shares is (or but for the exemption in Rule 172 would be) required to be delivered under the Act by the Underwriters or any dealer, any event occurs as a result of which the Selling Stockholder Information included in the General Disclosure Package or the Final Prospectus as then amended or supplemented would include an untrue statement of a material fact or omit to state any material fact necessary to make the statements in the Selling Stockholder Information, in the light of the circumstances under which they were made, not misleading with respect to the Selling Stockholder, the Selling Stockholder will immediately notify the Company and the Representative of such change.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i/>
          <w:sz w:val="20"/>
        </w:rPr>
        <w:t>Registration Rights</w:t>
      </w:r>
      <w:r>
        <w:rPr>
          <w:rFonts w:ascii="Times New Roman" w:hAnsi="Times New Roman"/>
          <w:sz w:val="20"/>
        </w:rPr>
        <w:t xml:space="preserve">. Except as disclosed in the General Disclosure Package, the Selling Stockholder does not have any registration rights or other similar rights to have any equity or debt securities registered for sale by the Company under the Registration Statement or included in the offering and sale of the Shares.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i/>
          <w:sz w:val="20"/>
        </w:rPr>
        <w:t>FINRA</w:t>
      </w:r>
      <w:r>
        <w:rPr>
          <w:rFonts w:ascii="Times New Roman" w:hAnsi="Times New Roman"/>
          <w:sz w:val="20"/>
        </w:rPr>
        <w:t xml:space="preserve">. Neither the Selling Stockholder nor any of its affiliates directly, or indirectly through one or more intermediaries, controls, or is controlled by, or is under common control with any member firm of FINRA or is a person associated with a member (within the meaning of the FINRA By-Laws) of FINRA.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i/>
          <w:sz w:val="20"/>
        </w:rPr>
        <w:t>Compliance with OFAC</w:t>
      </w:r>
      <w:r>
        <w:rPr>
          <w:rFonts w:ascii="Times New Roman" w:hAnsi="Times New Roman"/>
          <w:sz w:val="20"/>
        </w:rPr>
        <w:t xml:space="preserve">. The Selling Stockholder is not currently subject to any U.S. sanctions administered by OFAC and will not, directly or indirectly, use the proceeds of the offering and sale of the Shares, or lend, contribute or otherwise make available such proceeds to any subsidiary, joint venture partner or other person or entity, for the purpose of financing the activities of any person currently subject to any U.S. sanctions administered by OFAC or in any other manner that will result in a violation by any person (including any person participating in the transaction whether as underwriter, advisor, investor or otherwise) of U.S. sanctions administered by OFAC; provided that the foregoing shall not apply with respect to the distribution of the proceeds of the offering to any of the Selling Stockholders direct or indirect limited partners once such proceeds are no longer under the control of the Selling Stockholder if prior to such distribution the Selling Stockholder has no knowledge that such proceeds will be used for any of the foregoing purposes. </w:t>
      </w:r>
    </w:p>
    <w:p>
      <w:pPr>
        <w:pStyle w:val="TextBody"/>
        <w:spacing w:before="240" w:after="0"/>
        <w:jc w:val="left"/>
        <w:rPr>
          <w:rFonts w:ascii="Times New Roman" w:hAnsi="Times New Roman"/>
          <w:sz w:val="20"/>
        </w:rPr>
      </w:pPr>
      <w:r>
        <w:rPr>
          <w:rFonts w:ascii="Times New Roman" w:hAnsi="Times New Roman"/>
          <w:sz w:val="20"/>
        </w:rPr>
        <w:t xml:space="preserve">In addition, any certificate signed by any officer of the Company or any of its Subsidiaries, or any of the Selling Stockholder, and delivered to the Representative, Underwriters or counsel for the Underwriters in connection with the offering and sale of the Shares shall be deemed to be a representation and warranty by the Company or the Selling Stockholder, respectively, as to matters covered thereby, to the Underwriters. </w:t>
      </w:r>
    </w:p>
    <w:p>
      <w:pPr>
        <w:pStyle w:val="TextBody"/>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Purchase, Sale and Delivery of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On the basis of the representations, warranties and agreements and subject to the terms and conditions set forth herein, the Selling Stockholder agrees to sell to the Underwriters the number of Shares set forth below the name of the Selling Stockholder in </w:t>
      </w:r>
      <w:r>
        <w:rPr>
          <w:rFonts w:ascii="Times New Roman" w:hAnsi="Times New Roman"/>
          <w:sz w:val="20"/>
          <w:u w:val="single"/>
        </w:rPr>
        <w:t>Schedule A</w:t>
      </w:r>
      <w:r>
        <w:rPr>
          <w:rFonts w:ascii="Times New Roman" w:hAnsi="Times New Roman"/>
          <w:sz w:val="20"/>
        </w:rPr>
        <w:t xml:space="preserve"> hereto, and the Underwriters agree, severally and not jointly, to purchase from the Selling Stockholder, at a purchase price of $5.83465 per share (the </w:t>
      </w:r>
      <w:r>
        <w:rPr>
          <w:rFonts w:ascii="Times New Roman" w:hAnsi="Times New Roman"/>
          <w:b/>
          <w:sz w:val="20"/>
        </w:rPr>
        <w:t>Per Share Price</w:t>
      </w:r>
      <w:r>
        <w:rPr>
          <w:rFonts w:ascii="Times New Roman" w:hAnsi="Times New Roman"/>
          <w:sz w:val="20"/>
        </w:rPr>
        <w:t xml:space="preserve">), such Shares to be purchased by such Underwriter as set forth opposite the name of such Underwriter in </w:t>
      </w:r>
      <w:r>
        <w:rPr>
          <w:rFonts w:ascii="Times New Roman" w:hAnsi="Times New Roman"/>
          <w:sz w:val="20"/>
          <w:u w:val="single"/>
        </w:rPr>
        <w:t>Schedule A</w:t>
      </w:r>
      <w:r>
        <w:rPr>
          <w:rFonts w:ascii="Times New Roman" w:hAnsi="Times New Roman"/>
          <w:sz w:val="20"/>
        </w:rPr>
        <w:t xml:space="preserve"> hereto. </w:t>
      </w:r>
    </w:p>
    <w:p>
      <w:pPr>
        <w:pStyle w:val="TextBody"/>
        <w:spacing w:before="120" w:after="0"/>
        <w:jc w:val="left"/>
        <w:rPr>
          <w:rFonts w:ascii="Times New Roman" w:hAnsi="Times New Roman"/>
          <w:sz w:val="20"/>
        </w:rPr>
      </w:pPr>
      <w:r>
        <w:rPr>
          <w:rFonts w:ascii="Times New Roman" w:hAnsi="Times New Roman"/>
          <w:sz w:val="20"/>
        </w:rPr>
        <w:t>(b) The Shares will be delivered by or on behalf of the Selling Stockholder to or as instructed by the Representative through the book-entry facilities of DTC for its account(s) against payment of the purchase price by the Underwriters in Federal (same day) funds by wire transfer to an account at a bank acceptable to the Representative drawn to the order of the Selling Stockholder at 9:00 A.M., New York time, on the third business day after the date of this Agreement, or at such other time not later than seven full business days thereafter as the Representative and the Selling Stockholder determine. The time and date of delivery of the Shares is referred to herein as the </w:t>
      </w:r>
      <w:r>
        <w:rPr>
          <w:rFonts w:ascii="Times New Roman" w:hAnsi="Times New Roman"/>
          <w:b/>
          <w:sz w:val="20"/>
        </w:rPr>
        <w:t>Closing Date</w:t>
      </w:r>
      <w:r>
        <w:rPr>
          <w:rFonts w:ascii="Times New Roman" w:hAnsi="Times New Roman"/>
          <w:sz w:val="20"/>
        </w:rPr>
        <w:t xml:space="preserve">. For purposes of Rule 15c6-1 under the Exchange Act, the Closing Date (if later than the otherwise applicable settlement date) shall be the settlement date for payment of funds and delivery of the Shares sold on such date pursuant to the offering.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Offering by Underwriters</w:t>
      </w:r>
      <w:r>
        <w:rPr>
          <w:rFonts w:ascii="Times New Roman" w:hAnsi="Times New Roman"/>
          <w:sz w:val="20"/>
        </w:rPr>
        <w:t xml:space="preserve">. It is understood that the Underwriters propose to offer the Shares for sale to the public as set forth in the Final Prospectus.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Certain Agreements of the Company and the Selling Stockholder</w:t>
      </w:r>
      <w:r>
        <w:rPr>
          <w:rFonts w:ascii="Times New Roman" w:hAnsi="Times New Roman"/>
          <w:sz w:val="20"/>
        </w:rPr>
        <w:t xml:space="preserve">. The Company agrees with the Underwriters and the Selling Stockholder, and, with respect to Sections 4(h)(ii) and 4(i) below, the Selling Stockholder agrees with the Underwriters and the Company, that: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Prospectuses. </w:t>
      </w:r>
      <w:r>
        <w:rPr>
          <w:rFonts w:ascii="Times New Roman" w:hAnsi="Times New Roman"/>
          <w:sz w:val="20"/>
        </w:rPr>
        <w:t xml:space="preserve">The Company has filed or will file each Statutory Prospectus (including the Final Prospectus) pursuant to and in accordance with Rule 424(b)(7) (or, if applicable and consented to by the Representative, subparagraph (5)) not later than the second business day following the earlier of the date it is first used or the execution and delivery of this Agreement. The Company has complied and will comply with Rule 433 with respect to the offering contemplated hereby.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 Response to Commission Requests</w:t>
      </w:r>
      <w:r>
        <w:rPr>
          <w:rFonts w:ascii="Times New Roman" w:hAnsi="Times New Roman"/>
          <w:sz w:val="20"/>
        </w:rPr>
        <w:t>. At any time after the date hereof, when a prospectus is required by the Act to be delivered in connection with any sale of the Shares by the Underwriters or any dealer (the </w:t>
      </w:r>
      <w:r>
        <w:rPr>
          <w:rFonts w:ascii="Times New Roman" w:hAnsi="Times New Roman"/>
          <w:b/>
          <w:sz w:val="20"/>
        </w:rPr>
        <w:t>Prospectus Delivery Period</w:t>
      </w:r>
      <w:r>
        <w:rPr>
          <w:rFonts w:ascii="Times New Roman" w:hAnsi="Times New Roman"/>
          <w:sz w:val="20"/>
        </w:rPr>
        <w:t xml:space="preserve">), the Company will promptly advise the Representative of any proposal to amend or supplement the Registration Statement or any Statutory Prospectus and will not effect such amendment or supplementation without the Representatives consent, which consent shall not be unreasonably withheld, delayed or conditioned; and the Company will also advise the Representative promptly of (i) any amendment or supplementation of the Registration Statement or any Statutory Prospectus, (ii) any request by the Commission or its staff for any amendment to the Registration Statement, for any supplement to any Statutory Prospectus or for any additional information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respect to the sale of the Shares, (iii) the institution by the Commission of any stop order proceedings in respect of the Registration Statement or the threatening of any proceeding for that purpose, and (iv) the receipt by the Company of any notification with respect to the suspension of the qualification of the Shares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If, at any time when a prospectus relating to the Shares is (or but for the exemption in Rule 172 would be) required to be delivered under the Act by the Underwriters or any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 of such event and will promptly prepare and file with the Commission and furnish, at its own expense, to the Underwriters and the dealers and any other dealers upon request of the Representative, an amendment or supplement which will correct such statement or omission or an amendment which will effect such compliance. Neither the Representatives consent to, nor the Representatives delivery of, any such amendment or supplement shall constitute a waiver of any of the conditions set forth in Section 6 hereof.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Rule 158. </w:t>
      </w:r>
      <w:r>
        <w:rPr>
          <w:rFonts w:ascii="Times New Roman" w:hAnsi="Times New Roman"/>
          <w:sz w:val="20"/>
        </w:rPr>
        <w:t>As soon as practicable, but not later than 16 months after the date of this Agreement, the Company will make generally available to its securityholders (which may be satisfied by filing with the Commissions Electronic Data Gathering, Analysis and Retrieval system (</w:t>
      </w:r>
      <w:r>
        <w:rPr>
          <w:rFonts w:ascii="Times New Roman" w:hAnsi="Times New Roman"/>
          <w:b/>
          <w:sz w:val="20"/>
        </w:rPr>
        <w:t>EDGAR</w:t>
      </w:r>
      <w:r>
        <w:rPr>
          <w:rFonts w:ascii="Times New Roman" w:hAnsi="Times New Roman"/>
          <w:sz w:val="20"/>
        </w:rPr>
        <w:t>) system) an earnings statement (which need not be audited) covering a period of at least 12 months beginning after the date of this Agreement and satisfying the provisions of Section 11(a) of the Act and Rule 158</w:t>
      </w:r>
      <w:r>
        <w:rPr>
          <w:rFonts w:ascii="Times New Roman" w:hAnsi="Times New Roman"/>
          <w:i/>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Furnishing of Prospectuses</w:t>
      </w:r>
      <w:r>
        <w:rPr>
          <w:rFonts w:ascii="Times New Roman" w:hAnsi="Times New Roman"/>
          <w:sz w:val="20"/>
        </w:rPr>
        <w:t xml:space="preserve">. During the Prospectus Delivery Period, the Company will furnish to the Underwriters copies of the Registration Statement, including all exhibits, any Statutory Prospectus, the Final Prospectus and all amendments and supplements to such documents, in each case as soon as available and in such quantities as the Underwriters reasonably requests. The Company will pay the expenses of printing and distributing to the Underwriters all such documents.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arrange for the qualification of the Shares for sale under the laws of such jurisdictions as the Underwriters designate and will continue such qualifications in effect so long as required for the distribution of the Shares as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file any general consent or service of process or qualify as a foreign corporation or as a dealer in securities in any jurisdiction in which it is not so otherwise subject to such consent or qualified or to subject itself to taxation in respect of doing business in any jurisdiction in which it is not otherwise so subject.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Reporting Requirements</w:t>
      </w:r>
      <w:r>
        <w:rPr>
          <w:rFonts w:ascii="Times New Roman" w:hAnsi="Times New Roman"/>
          <w:sz w:val="20"/>
        </w:rPr>
        <w:t xml:space="preserve"> The Company, during the period when a Prospectus relating to the Shares is (or, but for the exception afforded by Rule 172, would be) required to be delivered under the Securities Act, will file all documents required to be filed with the Commission pursuant to the Exchange Act within the time periods required by the Exchange Act. </w:t>
      </w:r>
    </w:p>
    <w:p>
      <w:pPr>
        <w:pStyle w:val="TextBody"/>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Payment of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The Company agrees with the Underwriters that the Company will pay all expenses directly and necessarily incurred by it in the performance of the obligations of the Company, including but not limited to (i) the cost of preparing, printing and filing with the SEC the Registration Statement, Final Prospectus, post effective amendments, and supplements thereto (ii) any filing fees and other expenses, incurred in connection with qualification of the Shares for sale under the laws of such jurisdictions as the Underwriters designate and the preparation and printing of memoranda relating thereto, any costs and expenses related to any review by FINRA of the Shares (including filing fees), (iii) costs and expenses relating to investor presentations or any road show in connection with the offering and sale of the Shares including, without limitation, any travel expenses of the Companys officers and employees and any other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Company, (iv) fees and expenses incident to listing the Shares on The Nasdaq Stock Market, if required, and other national and foreign exchanges, and (v)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w:t>
      </w:r>
    </w:p>
    <w:p>
      <w:pPr>
        <w:pStyle w:val="TextBody"/>
        <w:spacing w:before="120" w:after="0"/>
        <w:jc w:val="left"/>
        <w:rPr>
          <w:rFonts w:ascii="Times New Roman" w:hAnsi="Times New Roman"/>
          <w:sz w:val="20"/>
        </w:rPr>
      </w:pPr>
      <w:r>
        <w:rPr>
          <w:rFonts w:ascii="Times New Roman" w:hAnsi="Times New Roman"/>
          <w:sz w:val="20"/>
        </w:rPr>
        <w:t xml:space="preserve">(ii) The Selling Stockholder will pay all of the Selling Stockholders expenses in connection with the Offering, including, but not limited to, all fees, disbursements and expenses of counsel for the Selling Stockholder, and all transfer taxes on the sale by the Selling Stockholder of the Shares to the Underwriters, if any. The Selling Stockholder further (i) agrees with the Underwriters to reimburse the Underwriters for all out-of-pocket costs and expenses reasonably incurred by the Underwriters in connection with the offering of the Shares under this Agreement, including the reasonable fees and disbursements of the Underwriters legal counsel including reasonable fees incurred in conjunction with blue sky legal work, up to a maximum $150,000 in the aggregate and (ii) will pay or caused to be paid the costs and expenses of the Company in obtaining the required comfort letter from its independent auditor in connection with the offering of the Shares.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Absence of Manipulation</w:t>
      </w:r>
      <w:r>
        <w:rPr>
          <w:rFonts w:ascii="Times New Roman" w:hAnsi="Times New Roman"/>
          <w:sz w:val="20"/>
        </w:rPr>
        <w:t xml:space="preserve">. The Company and the Selling Stockholder will not take, directly or indirectly, any action designed to or that would constitute or that might reasonably be expected to cause or result in, stabilization or manipulation of the price of any securities of the Company to facilitate the sale or resale of the Shares.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Restriction on Sale of Securities by Company. </w:t>
      </w:r>
      <w:r>
        <w:rPr>
          <w:rFonts w:ascii="Times New Roman" w:hAnsi="Times New Roman"/>
          <w:sz w:val="20"/>
        </w:rPr>
        <w:t>(A) For the period commencing on the date hereof and continuing for 30 days after the date hereof or such earlier date that the Representative consents to in writing (the </w:t>
      </w:r>
      <w:r>
        <w:rPr>
          <w:rFonts w:ascii="Times New Roman" w:hAnsi="Times New Roman"/>
          <w:b/>
          <w:sz w:val="20"/>
        </w:rPr>
        <w:t>Lock-Up Period</w:t>
      </w:r>
      <w:r>
        <w:rPr>
          <w:rFonts w:ascii="Times New Roman" w:hAnsi="Times New Roman"/>
          <w:sz w:val="20"/>
        </w:rPr>
        <w:t>), the Company will not, directly or indirectly, take any of the following actions with respect to any class of its common equity or any securities convertible into or exchangeable or exercisable for any class of its common equity (</w:t>
      </w:r>
      <w:r>
        <w:rPr>
          <w:rFonts w:ascii="Times New Roman" w:hAnsi="Times New Roman"/>
          <w:b/>
          <w:sz w:val="20"/>
        </w:rPr>
        <w:t>Lock-Up Securities</w:t>
      </w:r>
      <w:r>
        <w:rPr>
          <w:rFonts w:ascii="Times New Roman" w:hAnsi="Times New Roman"/>
          <w:sz w:val="20"/>
        </w:rPr>
        <w:t xml:space="preserve">):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the Representative, except, in each case, (A) the sale of the Shares, (B) issuances of Lock-Up Securities pursuant to the conversion or exchange of convertible or exchangeable securities, or the exercise of warrants or options, or the vesting and settlement of the restricted stock units, in each case outstanding on the date hereof as disclosed in the Registration Statement, the General Disclosure Package and the Final Prospectus, (C) grants of employee stock options, restricted stock units or other equity-based compensation authorized for issuance as of the date hereof, in each case pursuant to the terms of a plan in effect on the date hereof and disclosed in the Registration Statement, the General Disclosure Package and the Final Prospectus, or the issuance of Lock-Up Securities pursuant to the exercise of such options or the vesting and settlement of such restricted stock units or equity-based compensation issued pursuant to this clause (C) and (D) the filing of a registration statement with the Commission on Form S-8 to register the offer and sale of securities to be issued pursuant to any equity compensation plan in effect on the applicable Closing Date and disclosed in the Registration Statement, the General Disclosure Package and the Final Prospectus.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The Company agrees to use its best efforts to maintain the listing of the Shares on The Nasdaq Stock Market. </w:t>
      </w:r>
    </w:p>
    <w:p>
      <w:pPr>
        <w:pStyle w:val="TextBody"/>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Free Writing Prospectuses</w:t>
      </w:r>
      <w:r>
        <w:rPr>
          <w:rFonts w:ascii="Times New Roman" w:hAnsi="Times New Roman"/>
          <w:sz w:val="20"/>
        </w:rPr>
        <w:t>. The Company and the Selling Stockholder represent and agree that, unless they obtain the prior consent of the Representative, and the Representative represents and agrees that, unless it obtains the prior consent of the Company, it has not made and will not make any offer relating to the Shares that would constitute an Issuer Free Writing Prospectus, or that would otherwise constitute a free writing prospectus, as defined in Rule 405, required to be filed with the Commission. Any such free writing prospectus consented to by the Company and the Representative is hereinafter referred to as a </w:t>
      </w:r>
      <w:r>
        <w:rPr>
          <w:rFonts w:ascii="Times New Roman" w:hAnsi="Times New Roman"/>
          <w:b/>
          <w:sz w:val="20"/>
        </w:rPr>
        <w:t>Permitted Free Writing Prospectus</w:t>
      </w:r>
      <w:r>
        <w:rPr>
          <w:rFonts w:ascii="Times New Roman" w:hAnsi="Times New Roman"/>
          <w:sz w:val="20"/>
        </w:rPr>
        <w:t xml:space="preserve">.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Conditions of the Obligations of the Underwriters</w:t>
      </w:r>
      <w:r>
        <w:rPr>
          <w:rFonts w:ascii="Times New Roman" w:hAnsi="Times New Roman"/>
          <w:sz w:val="20"/>
        </w:rPr>
        <w:t xml:space="preserve">. The obligation of the several Underwriters to purchase and pay for the Shares on each Closing Date are subject to the performance by the Company and the Selling Stockholder of their respective obligations hereunder and to the following additional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Prospectus. </w:t>
      </w:r>
      <w:r>
        <w:rPr>
          <w:rFonts w:ascii="Times New Roman" w:hAnsi="Times New Roman"/>
          <w:sz w:val="20"/>
        </w:rPr>
        <w:t xml:space="preserve">The Final Prospectus shall have been filed with the Commission in accordance with the Rules and Regulations and Section 4(a) hereof. No stop order suspending the effectiveness of the Registration Statement or of any part thereof shall have been issued and no proceedings for that purpose shall have been instituted or, to the knowledge of the Company, the Selling Stockholder or the Underwriters, shall be contemplated by the Commission.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representations and warranties of the Company in Section 1(a) and of the Selling Stockholder in Section 1(b) are true and correct (as though made on such Closing Date), and the Company and the Selling Stockholder shall each have complied in with all agreements and all conditions to be performed or satisfied hereunder by it at or prior to such Closing Date.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Downgrade</w:t>
      </w:r>
      <w:r>
        <w:rPr>
          <w:rFonts w:ascii="Times New Roman" w:hAnsi="Times New Roman"/>
          <w:sz w:val="20"/>
        </w:rPr>
        <w:t xml:space="preserve">. Subsequent to the execution and delivery of this Agreement and prior to such Closing Date there shall not have occurred any downgrading, nor shall any notice have been given of (i) any downgrading, (ii) any intended or potential downgrading or (iii) any review or possible change that does not indicate an improvement, in the rating accorded any securities of or guaranteed by the Company or any Subsidiary by any nationally recognized statistical rating organization, as such term is defined for purposes of Rule 436(g)(2) under the Securities Act.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Subsequent to the respective dates as of which information is given in the Registration Statement, the Incorporated Documents and any Prospectus, there has not been any change or development that would reasonably be expected to have a Material Adverse Effect including: (i) any transaction that is material to the Company and the Subsidiaries taken as a whole, except transactions entered into in the ordinary course of business; (ii) any obligation, direct or contingent, that is material to the Company and the Subsidiaries taken as a whole, incurred by the Company or any Subsidiary, except obligations incurred in the ordinary course of business; (iii) any material change in the capital stock (except changes thereto resulting from the exercise of outstanding stock options or vesting of equity awards) or outstanding indebtedness of the Company or any Subsidiary; (iv) any dividend or distribution of any kind declared, paid or made on the capital stock of the Company; (v) any loss or damage (whether or not insured) to the property of the Company or any Subsidiary which has been sustained or will have been sustained.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Company Officer Certificates</w:t>
      </w:r>
      <w:r>
        <w:rPr>
          <w:rFonts w:ascii="Times New Roman" w:hAnsi="Times New Roman"/>
          <w:sz w:val="20"/>
        </w:rPr>
        <w:t xml:space="preserve">. The Representative shall have received on and as of such Closing Date a certificate of an executive officer of the Company to the effect (1) set forth in Sections 6(b) (with respect to the respective representations, warranties, agreements and conditions of the Company), (2) that none of the situations set forth in Section 6(d) shall have occurred and (3) that no stop order suspending the effectiveness of the Registration Statement has been issued and, to the knowledge of the Company, no proceedings for that purpose have been instituted or are pending or contemplated by the Commission.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Chief Financial Officers Certificate</w:t>
      </w:r>
      <w:r>
        <w:rPr>
          <w:rFonts w:ascii="Times New Roman" w:hAnsi="Times New Roman"/>
          <w:sz w:val="20"/>
        </w:rPr>
        <w:t xml:space="preserve">. The Representative shall have received on and as of such Closing Date a certificate of the chief financial or chief accounting officer of the Company, dated each such date, with respect to certain financial information contained in the Registration Statement, the General Disclosure Package and the Final Prospectus, providing management comfort with respect to such information, in form and substance reasonably satisfactory to the Representative. </w:t>
      </w:r>
    </w:p>
    <w:p>
      <w:pPr>
        <w:pStyle w:val="TextBody"/>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Selling Stockholder Certificates</w:t>
      </w:r>
      <w:r>
        <w:rPr>
          <w:rFonts w:ascii="Times New Roman" w:hAnsi="Times New Roman"/>
          <w:sz w:val="20"/>
        </w:rPr>
        <w:t xml:space="preserve">. The Representative shall have received a certificate, dated as of such Closing Date, of an officer of the Selling Stockholder (or an officer of the general partner of the Selling Stockholder), in his capacity as an officer of the Selling Stockholder (or general partner of the Selling Stockholder), in which such officer shall state that: the representations and warranties of the Selling Stockholder in this Agreement are true and correct as of such Closing Date; and the Selling Stockholder has complied with all agreements and satisfied all conditions on its part to be performed or satisfied hereunder at or prior to such Closing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Counsel for Company</w:t>
      </w:r>
      <w:r>
        <w:rPr>
          <w:rFonts w:ascii="Times New Roman" w:hAnsi="Times New Roman"/>
          <w:sz w:val="20"/>
        </w:rPr>
        <w:t xml:space="preserve">. On such Closing Date, Greenberg Traurig, LLP, counsel for the Company, shall have furnished to the Representative their favorable written opinion, dated as of such Closing Date in form and substance satisfactory to counsel for the Underwriters.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Opinion of Counsel for the Selling Stockholder</w:t>
      </w:r>
      <w:r>
        <w:rPr>
          <w:rFonts w:ascii="Times New Roman" w:hAnsi="Times New Roman"/>
          <w:sz w:val="20"/>
        </w:rPr>
        <w:t xml:space="preserve">. On such Closing Date, Munger, Tolles &amp; Olson LLP, counsel for Red Mountain, shall have furnished to the Representative their favorable written opinion, dated as of such Closing Date in form and substance satisfactory to counsel for the Underwriters. </w:t>
      </w:r>
    </w:p>
    <w:p>
      <w:pPr>
        <w:pStyle w:val="TextBody"/>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Accountants Comfort Letters</w:t>
      </w:r>
      <w:r>
        <w:rPr>
          <w:rFonts w:ascii="Times New Roman" w:hAnsi="Times New Roman"/>
          <w:sz w:val="20"/>
        </w:rPr>
        <w:t xml:space="preserve">. The Representative shall have received letters, dated respectively, the date hereof and as of such Closing Date of, KPMG LLP, in form and substance satisfactory to the Representative, containing statements and information of the type customarily included in accountants comfort letters to underwriters with respect to the financial statements and certain financial information contained in or incorporated by reference into the Registration Statement, the General Disclosure Package and the Final Prospectus. </w:t>
      </w:r>
    </w:p>
    <w:p>
      <w:pPr>
        <w:pStyle w:val="TextBody"/>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Negative Assurance Letter of Counsel for Underwriters. </w:t>
      </w:r>
      <w:r>
        <w:rPr>
          <w:rFonts w:ascii="Times New Roman" w:hAnsi="Times New Roman"/>
          <w:sz w:val="20"/>
        </w:rPr>
        <w:t xml:space="preserve">The Representative shall have received from Dorsey &amp; Whitney LLP, counsel for the Underwriters, a negative assurance letter, dated as of such Closing Date, in form and substance reasonably satisfactory to the Representative. </w:t>
      </w:r>
    </w:p>
    <w:p>
      <w:pPr>
        <w:pStyle w:val="TextBody"/>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Form W-9</w:t>
      </w:r>
      <w:r>
        <w:rPr>
          <w:rFonts w:ascii="Times New Roman" w:hAnsi="Times New Roman"/>
          <w:sz w:val="20"/>
        </w:rPr>
        <w:t xml:space="preserve">. The Selling Stockholder will deliver to the Representative on or before the date hereof a properly completed and executed U.S. Treasury Department Internal Revenue Service Form W-9 (or other applicable form or statement specified by Treasury Department regulations in lieu thereof), establishing a complete exemption from United States backup withholding. </w:t>
      </w:r>
    </w:p>
    <w:p>
      <w:pPr>
        <w:pStyle w:val="TextBody"/>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 Objection</w:t>
      </w:r>
      <w:r>
        <w:rPr>
          <w:rFonts w:ascii="Times New Roman" w:hAnsi="Times New Roman"/>
          <w:sz w:val="20"/>
        </w:rPr>
        <w:t xml:space="preserve">. FINRA shall not have raised any objection with respect to the fairness and reasonableness of the underwriting terms and arrangements relating to the sale of the Shares. </w:t>
      </w:r>
    </w:p>
    <w:p>
      <w:pPr>
        <w:pStyle w:val="TextBody"/>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Lock-Up Agreements</w:t>
      </w:r>
      <w:r>
        <w:rPr>
          <w:rFonts w:ascii="Times New Roman" w:hAnsi="Times New Roman"/>
          <w:sz w:val="20"/>
        </w:rPr>
        <w:t xml:space="preserve">. The Representative shall have received lock-up agreements, each substantially in the form of </w:t>
      </w:r>
      <w:r>
        <w:rPr>
          <w:rFonts w:ascii="Times New Roman" w:hAnsi="Times New Roman"/>
          <w:sz w:val="20"/>
          <w:u w:val="single"/>
        </w:rPr>
        <w:t>Exhibit A</w:t>
      </w:r>
      <w:r>
        <w:rPr>
          <w:rFonts w:ascii="Times New Roman" w:hAnsi="Times New Roman"/>
          <w:sz w:val="20"/>
        </w:rPr>
        <w:t xml:space="preserve"> hereto, from the Selling Stockholder and each of the Companys Directors and Named Executive Officer (as such term is used in Item 402 of Regulation S-K under the Act), and such agreements shall be in full force and effect on such Closing Date. </w:t>
      </w:r>
    </w:p>
    <w:p>
      <w:pPr>
        <w:pStyle w:val="TextBody"/>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Additional Requests</w:t>
      </w:r>
      <w:r>
        <w:rPr>
          <w:rFonts w:ascii="Times New Roman" w:hAnsi="Times New Roman"/>
          <w:sz w:val="20"/>
        </w:rPr>
        <w:t xml:space="preserve">. On or prior to such Closing Date the Company and the Selling Stockholder shall have furnished to the Representative such further information, certificates and documents as the Representative shall reasonably request. </w:t>
      </w:r>
    </w:p>
    <w:p>
      <w:pPr>
        <w:pStyle w:val="TextBody"/>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Adverse Conditions</w:t>
      </w:r>
      <w:r>
        <w:rPr>
          <w:rFonts w:ascii="Times New Roman" w:hAnsi="Times New Roman"/>
          <w:sz w:val="20"/>
        </w:rPr>
        <w:t xml:space="preserve">. On or after the Applicable Time there shall not have occurred any of the following: (i) a suspension or material limitation in trading in securities generally on The Nasdaq Global Market; (ii) a suspension or material limitation in trading in the Companys securities on The Nasdaq Capital Market; (iii) a general moratorium on commercial banking activities declared by any of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 makes it impracticable or inadvisable to proceed with the offering or the delivery of the Shares being delivered at such Closing Date. </w:t>
      </w:r>
    </w:p>
    <w:p>
      <w:pPr>
        <w:pStyle w:val="TextBody"/>
        <w:spacing w:before="240" w:after="0"/>
        <w:jc w:val="left"/>
        <w:rPr>
          <w:rFonts w:ascii="Times New Roman" w:hAnsi="Times New Roman"/>
          <w:sz w:val="20"/>
        </w:rPr>
      </w:pPr>
      <w:r>
        <w:rPr>
          <w:rFonts w:ascii="Times New Roman" w:hAnsi="Times New Roman"/>
          <w:sz w:val="20"/>
        </w:rPr>
        <w:t xml:space="preserve">If any condition specified in this Section 6 shall not have been fulfilled when and as required to be fulfilled, this Agreement may be terminated, subject to the provisions of Section 9, by the Representative by notice to the Company at any time at or prior to such Closing Date, as the case may be, and such termination shall be without liability of any party to any other party, except as provided in Section 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Indemnification and Contribution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 by Company</w:t>
      </w:r>
      <w:r>
        <w:rPr>
          <w:rFonts w:ascii="Times New Roman" w:hAnsi="Times New Roman"/>
          <w:sz w:val="20"/>
        </w:rPr>
        <w:t>. The Company will indemnify and hold harmless the Underwriters and the Selling Stockholder and each of their respective partners, members, directors, officers, employees, agents, affiliates and each person, if any, who controls such Underwriter or the Selling Stockholder within the meaning of Section 15 of the Act or Section 20 of the Exchange Act (each, an </w:t>
      </w:r>
      <w:r>
        <w:rPr>
          <w:rFonts w:ascii="Times New Roman" w:hAnsi="Times New Roman"/>
          <w:b/>
          <w:sz w:val="20"/>
        </w:rPr>
        <w:t>Indemnified Party</w:t>
      </w:r>
      <w:r>
        <w:rPr>
          <w:rFonts w:ascii="Times New Roman" w:hAnsi="Times New Roman"/>
          <w:sz w:val="20"/>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(i) arise out of or are based upon any untrue statement or alleged untrue statement of any material fact contained in the Registration Statement at any time, or arise out of or are based upon the omission or alleged omission of a material fact required to be stated therein or necessary to make the statements therein not misleading or (ii) arise out of or are based upon any untrue statement or alleged untrue statement of any material fact contained in any Statutory Prospectus at any time, the Final Prospectus or any Issuer Free Writing Prospectus, or arise out of or are based upon the omission or alleged omission of a material fact required to be stated therein or necessary to make the statements therein, in the light of the circumstances under which they were made,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the Underwriters specifically for use therein, it being understood and agreed that the only such information furnished by the Underwriters consists of the information described as such in subsection (c) below; and (y) the Company will not be liable, to the Selling Stockholder, or to any partner, member, director, officer, employee, agent or affiliate of the Selling Stockholder, or to any person, if any, who controls the Selling Stockholder within the meaning of Section 15 of the Act or Section 20 of the Exchange Act, in any such case to the extent that any such loss, claim, damage or liability arises out of or is based upon the Selling Stockholder Information (it being understood, for the avoidance of doubt, that this clause (y) (i) shall in no event affect any liability the Company may have to the Underwriters, or any partner, member, director, officer, employee, agent, affiliate of the Underwriters, or any person, if any, who controls such Underwriter within the meaning of Section 15 of the Act or Section 20 of the Exchange Act and (ii) is an agreement solely between the Company and the Selling Stockholder and the other parties described in this clause (y) and the Underwriters shall have no responsibility in connection with any dispute between the Company, the Selling Stockholder and any other party described in this clause (y) with respect to an agreement solely between the Company and the Selling Stockholder and the other parties described in this clause (y)).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Underwriters by Selling Stockholder.</w:t>
      </w:r>
      <w:r>
        <w:rPr>
          <w:rFonts w:ascii="Times New Roman" w:hAnsi="Times New Roman"/>
          <w:sz w:val="20"/>
        </w:rPr>
        <w:t xml:space="preserve"> The Selling Stockholder will indemnify and hold harmless the Underwriters, each other Selling Stockholder and each other Indemnified Party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(i) arise out of or are based upon any untrue statement or alleged untrue statement of any material fact contained in any part of the Registration Statement at any time, or arise out of or are based upon the omission or alleged omission of a material fact required to be stated therein or necessary to make the statements therein, not misleading or (ii) arise out of or are based upon any untrue statement or alleged untrue statement of any material fact contained in any Statutory Prospectus as of any time, the Final Prospectus or any Issuer Free Writing Prospectus, or arise out of or are based upon the omission or alleged omission of a material fact required to be stated therein or necessary to make the statements therein, in the light of the circumstances under which they were made,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is a party thereto), whether threatened or commenced, and in connection with the enforcement of this provision with respect to the above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foregoing indemnity shall only apply to the extent that any loss, claim, damage, liability or expense arises out of or is based upon any such untrue statement or alleged untrue statement or omission or alleged omission that is made in reliance upon and in conformity with the Selling Stockholder Information; provided further, that the aggregate liability of the Selling Stockholder pursuant to this subsection 7(b) shall not exceed the net proceeds (after deducting underwriting discounts and commissions, but without deducting expenses of the Company or the Selling Stockholder) received by the Selling Stockholder from the sale of the Shares sold by the Selling Stockholder hereunder (the </w:t>
      </w:r>
      <w:r>
        <w:rPr>
          <w:rFonts w:ascii="Times New Roman" w:hAnsi="Times New Roman"/>
          <w:b/>
          <w:sz w:val="20"/>
        </w:rPr>
        <w:t>Selling Stockholder Net Proceeds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Indemnification of Company and Selling Stockholder</w:t>
      </w:r>
      <w:r>
        <w:rPr>
          <w:rFonts w:ascii="Times New Roman" w:hAnsi="Times New Roman"/>
          <w:sz w:val="20"/>
        </w:rPr>
        <w:t>. The Underwriters will indemnify and hold harmless the Company, each of its directors and each of its officers who signs the Registration Statement and each person, if any, who controls the Company within the meaning of Section 15 of the Act or Section 20 of the Exchange Act and the Selling Stockholder (each, an </w:t>
      </w:r>
      <w:r>
        <w:rPr>
          <w:rFonts w:ascii="Times New Roman" w:hAnsi="Times New Roman"/>
          <w:b/>
          <w:sz w:val="20"/>
        </w:rPr>
        <w:t>Underwriter Indemnified Party</w:t>
      </w:r>
      <w:r>
        <w:rPr>
          <w:rFonts w:ascii="Times New Roman" w:hAnsi="Times New Roman"/>
          <w:sz w:val="20"/>
        </w:rPr>
        <w:t xml:space="preserve">),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at any time, any Statutory Prospectus as of any time, the Final Prospectus, or any Issuer Free Writing Prospectus, or arise out of or are based upon the omission or the alleged omission of a material fact required to be stated therein or necessary to make the statements therein, in the light of the circumstances under which they were made, not misleading, in each case to the extent, but only to the extent, that such untrue statement or alleged untrue statement or omission or alleged omission was made in reliance upon and in conformity with written information furnished to the Company by the Underwriters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the Underwriters consists of the following information in the Final Prospectus furnished on behalf of the Underwriters: the twelfth through fifteenth paragraphs under the caption Underwriting.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Actions Against Parties; Notification</w:t>
      </w:r>
      <w:r>
        <w:rPr>
          <w:rFonts w:ascii="Times New Roman" w:hAnsi="Times New Roman"/>
          <w:sz w:val="20"/>
        </w:rPr>
        <w:t xml:space="preserve">. Promptly after receipt by an indemnified party under this Section of notice of the commencement of any action, such indemnified party will, if a claim in respect thereof is to be made against an indemnifying party under subsection (a), (b) or (c) above, notify the indemnifying party of the commencement thereof; but the failure to notify the indemnifying party shall not relieve it from any liability that it may have under subsection (a), (b) or (c)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(b) or (c)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indemnified party shall have reasonably concluded that there may be defenses available to it that are different from, additional to or in conflict with those available to such indemnifying party, then the indemnifying party shall not have the right to direct the defense of such action on behalf of the indemnified party and such legal or other expenses reasonably incurred by such indemnified party shall be borne by such indemnifying party and paid as incurred (except that the indemnifying party shall not be liable for the expenses of more than one separate counsel (in addition to any local counsel) in any one action or series of related actions in the same jurisdiction representing the indemnified parties who are parties to or the subject of such 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 </w:t>
      </w:r>
    </w:p>
    <w:p>
      <w:pPr>
        <w:pStyle w:val="TextBody"/>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Contribution</w:t>
      </w:r>
      <w:r>
        <w:rPr>
          <w:rFonts w:ascii="Times New Roman" w:hAnsi="Times New Roman"/>
          <w:sz w:val="20"/>
        </w:rPr>
        <w:t xml:space="preserve">. If the indemnification provided for in this Section 7 is unavailable or 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Stockholder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in connection with the statements or omissions which resulted in such losses, claims, damages or liabilities as well as any other relevant equitable considerations. The relative benefits received by the Company and the Selling Stockholder on the one hand and the Underwriters on the other shall be deemed to be in the same proportion as the total net proceeds from the offering (before deducting expenses) received by the Company and the Selling Stockholder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any action or claim which is the subject of this subsection (e). Notwithstanding the provisions of this subsection (e), the Underwriters shall not be required to contribute any amount in excess of the amount by which the total price at which the Shares underwritten by it and distributed to the public were offered to the public exceeds the amount of any damages which the Underwriters have otherwise been required to pay by reason of such untrue or alleged untrue statement or omission or alleged omission. Notwithstanding anything herein to the contrary, in no event shall the liability of the Selling Stockholder to provide contribution pursuant to this subsection (e) exceed an amount equal to the Selling Stockholders Selling Stockholder Net Proceeds. No person guilty of fraudulent misrepresentation (within the meaning of Section 11(f) of the Act) shall be entitled to contribution from any person who was not guilty of such fraudulent misrepresentation. The Company, the Selling Stockholder and the Underwriters agree that it would not be just and equitable if contribution pursuant to this subsection (e) were determined by pro rata allocation or by any other method of allocation which does not take account of the equitable considerations referred to in this subsection (e). </w:t>
      </w:r>
    </w:p>
    <w:p>
      <w:pPr>
        <w:pStyle w:val="TextBody"/>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Prior Agreements</w:t>
      </w:r>
      <w:r>
        <w:rPr>
          <w:rFonts w:ascii="Times New Roman" w:hAnsi="Times New Roman"/>
          <w:sz w:val="20"/>
        </w:rPr>
        <w:t xml:space="preserve">. The indemnification obligations in this Section 7 supersede the indemnification provision set forth in that certain engagement letter, dated September 8, 2021, among the Company, the Selling Stockholder and D.A. Davidson &amp; Co. </w:t>
      </w:r>
    </w:p>
    <w:p>
      <w:pPr>
        <w:pStyle w:val="TextBody"/>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Default of Underwriters</w:t>
      </w:r>
      <w:r>
        <w:rPr>
          <w:rFonts w:ascii="Times New Roman" w:hAnsi="Times New Roman"/>
          <w:sz w:val="20"/>
        </w:rPr>
        <w:t xml:space="preserve">. If the Underwriters default in their obligations to purchase Shares hereunder on an applicable Closing Date and the aggregate number of Shares that the Underwriters agreed but failed to purchase exceeds 10% of the total number of Shares that the Underwriters are obligated to purchase on the applicable Closing Date, and arrangements satisfactory to the Company and the Selling Stockholder for the purchase of such Shares by other persons are not made within 36 hours after such default, this Agreement will terminate without liability on the part of the Company or the Selling Stockholder, except as provided in Section 9 hereof. As used in this Agreement, the term Underwriter includes any person substituted for an Underwriter under this Section. Nothing herein will relieve a defaulting Underwriter from liability for its default.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Survival of Certain Representations and Obligations</w:t>
      </w:r>
      <w:r>
        <w:rPr>
          <w:rFonts w:ascii="Times New Roman" w:hAnsi="Times New Roman"/>
          <w:sz w:val="20"/>
        </w:rPr>
        <w:t xml:space="preserve">. The respective indemnities, agreements, representations, warranties and other statements of the Selling Stockholder, the Company or their respective officers and of the Underwriters set forth in or made pursuant to this Agreement will remain in full force and effect, regardless of any investigation, or statement as to the results thereof, made by or on behalf of the Underwriters, the Selling Stockholder, the Company or any of their respective representatives, officers or directors or any controlling person, and will survive delivery of and payment for the Shares. If the purchase of the Shares by the Underwriters is not consummated for any reason other than solely because of the termination of this Agreement pursuant to Section 8 hereof, then (a) if the failure to consummate the purchase of the shares hereunder is the result of or caused by the Companys breach of any of its representations, warranties or agreements under this Agreement, then the Company agrees to reimburse the Underwriters for all out-of-pocket expenses (including reasonably documented fees and disbursements of counsel not to exceed $150,000 in the aggregate) reasonably incurred by them in connection with the offering of the Shares or (b) if the failure to consummate the purchase of the shares hereunder is the result of or caused by the Selling Stockholders breach of any of its representations, warranties or agreements under this Agreement, then the Selling Stockholder agrees to reimburse the Underwriters for all out-of-pocket expenses (including reasonably documented fees and disbursements of counsel not to exceed $150,000 in the aggregate) reasonably incurred by them in connection with the offering of the Shares; and the respective obligations of the Company, the Selling Stockholder and the Underwriters pursuant to Sections 4(h) and 7 hereof shall remain in effect. In addition, if any Shares have been purchased hereunder, the representations and warranties in Section 1 and all obligations under Sections 4 and 7 shall also remain in effect. </w:t>
      </w:r>
    </w:p>
    <w:p>
      <w:pPr>
        <w:pStyle w:val="TextBody"/>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upon receipt thereof by the recipient if mailed or transmitted by any standard form of telecommunication. </w:t>
      </w:r>
    </w:p>
    <w:p>
      <w:pPr>
        <w:pStyle w:val="TextBody"/>
        <w:spacing w:before="240" w:after="0"/>
        <w:jc w:val="left"/>
        <w:rPr>
          <w:rFonts w:ascii="Times New Roman" w:hAnsi="Times New Roman"/>
          <w:sz w:val="20"/>
        </w:rPr>
      </w:pPr>
      <w:r>
        <w:rPr>
          <w:rFonts w:ascii="Times New Roman" w:hAnsi="Times New Roman"/>
          <w:sz w:val="20"/>
        </w:rPr>
        <w:t xml:space="preserve">If to the Representative to the address set forth above, attention: Eric Rindahl, email: erindahl@dadco.com. </w:t>
      </w:r>
    </w:p>
    <w:p>
      <w:pPr>
        <w:pStyle w:val="TextBody"/>
        <w:spacing w:before="120" w:after="0"/>
        <w:jc w:val="left"/>
        <w:rPr>
          <w:rFonts w:ascii="Times New Roman" w:hAnsi="Times New Roman"/>
          <w:i/>
          <w:sz w:val="20"/>
        </w:rPr>
      </w:pPr>
      <w:r>
        <w:rPr>
          <w:rFonts w:ascii="Times New Roman" w:hAnsi="Times New Roman"/>
          <w:i/>
          <w:sz w:val="20"/>
        </w:rPr>
        <w:t xml:space="preserve">With a copy to: </w:t>
      </w:r>
    </w:p>
    <w:p>
      <w:pPr>
        <w:pStyle w:val="TextBody"/>
        <w:spacing w:before="120" w:after="0"/>
        <w:jc w:val="left"/>
        <w:rPr>
          <w:rFonts w:ascii="Times New Roman" w:hAnsi="Times New Roman"/>
          <w:sz w:val="20"/>
        </w:rPr>
      </w:pPr>
      <w:r>
        <w:rPr>
          <w:rFonts w:ascii="Times New Roman" w:hAnsi="Times New Roman"/>
          <w:sz w:val="20"/>
        </w:rPr>
        <w:t xml:space="preserve">Dorsey &amp; Whitney LLP </w:t>
      </w:r>
    </w:p>
    <w:p>
      <w:pPr>
        <w:pStyle w:val="TextBody"/>
        <w:spacing w:before="0" w:after="0"/>
        <w:jc w:val="left"/>
        <w:rPr>
          <w:rFonts w:ascii="Times New Roman" w:hAnsi="Times New Roman"/>
          <w:sz w:val="20"/>
        </w:rPr>
      </w:pPr>
      <w:r>
        <w:rPr>
          <w:rFonts w:ascii="Times New Roman" w:hAnsi="Times New Roman"/>
          <w:sz w:val="20"/>
        </w:rPr>
        <w:t xml:space="preserve">111 South Main Street, Suite 2100 </w:t>
      </w:r>
    </w:p>
    <w:p>
      <w:pPr>
        <w:pStyle w:val="TextBody"/>
        <w:spacing w:before="0" w:after="0"/>
        <w:jc w:val="left"/>
        <w:rPr>
          <w:rFonts w:ascii="Times New Roman" w:hAnsi="Times New Roman"/>
          <w:sz w:val="20"/>
        </w:rPr>
      </w:pPr>
      <w:r>
        <w:rPr>
          <w:rFonts w:ascii="Times New Roman" w:hAnsi="Times New Roman"/>
          <w:sz w:val="20"/>
        </w:rPr>
        <w:t xml:space="preserve">Salt Lake City, UT 84111 </w:t>
      </w:r>
    </w:p>
    <w:p>
      <w:pPr>
        <w:pStyle w:val="TextBody"/>
        <w:spacing w:before="0" w:after="0"/>
        <w:jc w:val="left"/>
        <w:rPr>
          <w:rFonts w:ascii="Times New Roman" w:hAnsi="Times New Roman"/>
          <w:sz w:val="20"/>
        </w:rPr>
      </w:pPr>
      <w:r>
        <w:rPr>
          <w:rFonts w:ascii="Times New Roman" w:hAnsi="Times New Roman"/>
          <w:sz w:val="20"/>
        </w:rPr>
        <w:t xml:space="preserve">e-mail: taylor.nolan@dorsey.com </w:t>
      </w:r>
    </w:p>
    <w:p>
      <w:pPr>
        <w:pStyle w:val="TextBody"/>
        <w:spacing w:before="0" w:after="0"/>
        <w:jc w:val="left"/>
        <w:rPr>
          <w:rFonts w:ascii="Times New Roman" w:hAnsi="Times New Roman"/>
          <w:sz w:val="20"/>
        </w:rPr>
      </w:pPr>
      <w:r>
        <w:rPr>
          <w:rFonts w:ascii="Times New Roman" w:hAnsi="Times New Roman"/>
          <w:sz w:val="20"/>
        </w:rPr>
        <w:t xml:space="preserve">Attention: Nolan Taylor </w:t>
      </w:r>
    </w:p>
    <w:p>
      <w:pPr>
        <w:pStyle w:val="TextBody"/>
        <w:spacing w:before="120" w:after="0"/>
        <w:jc w:val="left"/>
        <w:rPr>
          <w:rFonts w:ascii="Times New Roman" w:hAnsi="Times New Roman"/>
          <w:sz w:val="20"/>
        </w:rPr>
      </w:pPr>
      <w:r>
        <w:rPr>
          <w:rFonts w:ascii="Times New Roman" w:hAnsi="Times New Roman"/>
          <w:sz w:val="20"/>
        </w:rPr>
        <w:t xml:space="preserve">If to the Company: </w:t>
      </w:r>
    </w:p>
    <w:p>
      <w:pPr>
        <w:pStyle w:val="TextBody"/>
        <w:spacing w:before="120" w:after="0"/>
        <w:jc w:val="left"/>
        <w:rPr>
          <w:rFonts w:ascii="Times New Roman" w:hAnsi="Times New Roman"/>
          <w:sz w:val="20"/>
        </w:rPr>
      </w:pPr>
      <w:r>
        <w:rPr>
          <w:rFonts w:ascii="Times New Roman" w:hAnsi="Times New Roman"/>
          <w:sz w:val="20"/>
        </w:rPr>
        <w:t xml:space="preserve">Destination XL Group, Inc. </w:t>
      </w:r>
    </w:p>
    <w:p>
      <w:pPr>
        <w:pStyle w:val="TextBody"/>
        <w:spacing w:before="0" w:after="0"/>
        <w:jc w:val="left"/>
        <w:rPr>
          <w:rFonts w:ascii="Times New Roman" w:hAnsi="Times New Roman"/>
          <w:sz w:val="20"/>
        </w:rPr>
      </w:pPr>
      <w:r>
        <w:rPr>
          <w:rFonts w:ascii="Times New Roman" w:hAnsi="Times New Roman"/>
          <w:sz w:val="20"/>
        </w:rPr>
        <w:t xml:space="preserve">555 Turnpike Street </w:t>
      </w:r>
    </w:p>
    <w:p>
      <w:pPr>
        <w:pStyle w:val="TextBody"/>
        <w:spacing w:before="0" w:after="0"/>
        <w:jc w:val="left"/>
        <w:rPr>
          <w:rFonts w:ascii="Times New Roman" w:hAnsi="Times New Roman"/>
          <w:sz w:val="20"/>
        </w:rPr>
      </w:pPr>
      <w:r>
        <w:rPr>
          <w:rFonts w:ascii="Times New Roman" w:hAnsi="Times New Roman"/>
          <w:sz w:val="20"/>
        </w:rPr>
        <w:t xml:space="preserve">Canton, Massachusetts 02021 </w:t>
      </w:r>
    </w:p>
    <w:p>
      <w:pPr>
        <w:pStyle w:val="TextBody"/>
        <w:spacing w:before="0" w:after="0"/>
        <w:jc w:val="left"/>
        <w:rPr>
          <w:rFonts w:ascii="Times New Roman" w:hAnsi="Times New Roman"/>
          <w:sz w:val="20"/>
        </w:rPr>
      </w:pPr>
      <w:r>
        <w:rPr>
          <w:rFonts w:ascii="Times New Roman" w:hAnsi="Times New Roman"/>
          <w:sz w:val="20"/>
        </w:rPr>
        <w:t xml:space="preserve">e-mail: PStratton@DXLG.com </w:t>
      </w:r>
    </w:p>
    <w:p>
      <w:pPr>
        <w:pStyle w:val="TextBody"/>
        <w:spacing w:before="0" w:after="0"/>
        <w:jc w:val="left"/>
        <w:rPr>
          <w:rFonts w:ascii="Times New Roman" w:hAnsi="Times New Roman"/>
          <w:sz w:val="20"/>
        </w:rPr>
      </w:pPr>
      <w:r>
        <w:rPr>
          <w:rFonts w:ascii="Times New Roman" w:hAnsi="Times New Roman"/>
          <w:sz w:val="20"/>
        </w:rPr>
        <w:t xml:space="preserve">Attention: Peter H. Stratton, Jr. </w:t>
      </w:r>
    </w:p>
    <w:p>
      <w:pPr>
        <w:pStyle w:val="TextBody"/>
        <w:spacing w:before="0" w:after="0"/>
        <w:jc w:val="left"/>
        <w:rPr>
          <w:rFonts w:ascii="Times New Roman" w:hAnsi="Times New Roman"/>
          <w:sz w:val="20"/>
        </w:rPr>
      </w:pPr>
      <w:r>
        <w:rPr>
          <w:rFonts w:ascii="Times New Roman" w:hAnsi="Times New Roman"/>
          <w:sz w:val="20"/>
        </w:rPr>
        <w:t xml:space="preserve">Executive Vice President and Chief Financial Officer </w:t>
      </w:r>
    </w:p>
    <w:p>
      <w:pPr>
        <w:pStyle w:val="TextBody"/>
        <w:spacing w:before="120" w:after="0"/>
        <w:jc w:val="left"/>
        <w:rPr>
          <w:rFonts w:ascii="Times New Roman" w:hAnsi="Times New Roman"/>
          <w:i/>
          <w:sz w:val="20"/>
        </w:rPr>
      </w:pPr>
      <w:r>
        <w:rPr>
          <w:rFonts w:ascii="Times New Roman" w:hAnsi="Times New Roman"/>
          <w:i/>
          <w:sz w:val="20"/>
        </w:rPr>
        <w:t xml:space="preserve">With a copy to: </w:t>
      </w:r>
    </w:p>
    <w:p>
      <w:pPr>
        <w:pStyle w:val="TextBody"/>
        <w:spacing w:before="120" w:after="0"/>
        <w:jc w:val="left"/>
        <w:rPr>
          <w:rFonts w:ascii="Times New Roman" w:hAnsi="Times New Roman"/>
          <w:sz w:val="20"/>
        </w:rPr>
      </w:pPr>
      <w:r>
        <w:rPr>
          <w:rFonts w:ascii="Times New Roman" w:hAnsi="Times New Roman"/>
          <w:sz w:val="20"/>
        </w:rPr>
        <w:t xml:space="preserve">Greenberg Traurig, LLP </w:t>
      </w:r>
    </w:p>
    <w:p>
      <w:pPr>
        <w:pStyle w:val="TextBody"/>
        <w:spacing w:before="0" w:after="0"/>
        <w:jc w:val="left"/>
        <w:rPr>
          <w:rFonts w:ascii="Times New Roman" w:hAnsi="Times New Roman"/>
          <w:sz w:val="20"/>
        </w:rPr>
      </w:pPr>
      <w:r>
        <w:rPr>
          <w:rFonts w:ascii="Times New Roman" w:hAnsi="Times New Roman"/>
          <w:sz w:val="20"/>
        </w:rPr>
        <w:t xml:space="preserve">One International Place </w:t>
      </w:r>
    </w:p>
    <w:p>
      <w:pPr>
        <w:pStyle w:val="TextBody"/>
        <w:spacing w:before="0" w:after="0"/>
        <w:jc w:val="left"/>
        <w:rPr>
          <w:rFonts w:ascii="Times New Roman" w:hAnsi="Times New Roman"/>
          <w:sz w:val="20"/>
        </w:rPr>
      </w:pPr>
      <w:r>
        <w:rPr>
          <w:rFonts w:ascii="Times New Roman" w:hAnsi="Times New Roman"/>
          <w:sz w:val="20"/>
        </w:rPr>
        <w:t xml:space="preserve">Suite 2000 </w:t>
      </w:r>
    </w:p>
    <w:p>
      <w:pPr>
        <w:pStyle w:val="TextBody"/>
        <w:spacing w:before="0" w:after="0"/>
        <w:jc w:val="left"/>
        <w:rPr>
          <w:rFonts w:ascii="Times New Roman" w:hAnsi="Times New Roman"/>
          <w:sz w:val="20"/>
        </w:rPr>
      </w:pPr>
      <w:r>
        <w:rPr>
          <w:rFonts w:ascii="Times New Roman" w:hAnsi="Times New Roman"/>
          <w:sz w:val="20"/>
        </w:rPr>
        <w:t xml:space="preserve">Boston, Massachusetts 02110 </w:t>
      </w:r>
    </w:p>
    <w:p>
      <w:pPr>
        <w:pStyle w:val="TextBody"/>
        <w:spacing w:before="0" w:after="0"/>
        <w:jc w:val="left"/>
        <w:rPr>
          <w:rFonts w:ascii="Times New Roman" w:hAnsi="Times New Roman"/>
          <w:sz w:val="20"/>
        </w:rPr>
      </w:pPr>
      <w:r>
        <w:rPr>
          <w:rFonts w:ascii="Times New Roman" w:hAnsi="Times New Roman"/>
          <w:sz w:val="20"/>
        </w:rPr>
        <w:t xml:space="preserve">e-mail: frasere@gtlaw.com </w:t>
      </w:r>
    </w:p>
    <w:p>
      <w:pPr>
        <w:pStyle w:val="TextBody"/>
        <w:spacing w:before="0" w:after="0"/>
        <w:jc w:val="left"/>
        <w:rPr>
          <w:rFonts w:ascii="Times New Roman" w:hAnsi="Times New Roman"/>
          <w:sz w:val="20"/>
        </w:rPr>
      </w:pPr>
      <w:r>
        <w:rPr>
          <w:rFonts w:ascii="Times New Roman" w:hAnsi="Times New Roman"/>
          <w:sz w:val="20"/>
        </w:rPr>
        <w:t xml:space="preserve">Attention: Elizabeth Fraser </w:t>
      </w:r>
    </w:p>
    <w:p>
      <w:pPr>
        <w:pStyle w:val="TextBody"/>
        <w:spacing w:before="120" w:after="0"/>
        <w:jc w:val="left"/>
        <w:rPr>
          <w:rFonts w:ascii="Times New Roman" w:hAnsi="Times New Roman"/>
          <w:sz w:val="20"/>
        </w:rPr>
      </w:pPr>
      <w:r>
        <w:rPr>
          <w:rFonts w:ascii="Times New Roman" w:hAnsi="Times New Roman"/>
          <w:sz w:val="20"/>
        </w:rPr>
        <w:t xml:space="preserve">If to the Selling Stockholder: </w:t>
      </w:r>
    </w:p>
    <w:p>
      <w:pPr>
        <w:pStyle w:val="TextBody"/>
        <w:spacing w:before="120" w:after="0"/>
        <w:jc w:val="left"/>
        <w:rPr>
          <w:rFonts w:ascii="Times New Roman" w:hAnsi="Times New Roman"/>
          <w:sz w:val="20"/>
        </w:rPr>
      </w:pPr>
      <w:r>
        <w:rPr>
          <w:rFonts w:ascii="Times New Roman" w:hAnsi="Times New Roman"/>
          <w:sz w:val="20"/>
        </w:rPr>
        <w:t xml:space="preserve">Red Mountain Capital Partners </w:t>
      </w:r>
    </w:p>
    <w:p>
      <w:pPr>
        <w:pStyle w:val="TextBody"/>
        <w:spacing w:before="0" w:after="0"/>
        <w:jc w:val="left"/>
        <w:rPr>
          <w:rFonts w:ascii="Times New Roman" w:hAnsi="Times New Roman"/>
          <w:sz w:val="20"/>
        </w:rPr>
      </w:pPr>
      <w:r>
        <w:rPr>
          <w:rFonts w:ascii="Times New Roman" w:hAnsi="Times New Roman"/>
          <w:sz w:val="20"/>
        </w:rPr>
        <w:t xml:space="preserve">1999 Avenue of the Stars, Suite 1100 | pmb #314 </w:t>
      </w:r>
    </w:p>
    <w:p>
      <w:pPr>
        <w:pStyle w:val="TextBody"/>
        <w:spacing w:before="0" w:after="0"/>
        <w:jc w:val="left"/>
        <w:rPr>
          <w:rFonts w:ascii="Times New Roman" w:hAnsi="Times New Roman"/>
          <w:sz w:val="20"/>
        </w:rPr>
      </w:pPr>
      <w:r>
        <w:rPr>
          <w:rFonts w:ascii="Times New Roman" w:hAnsi="Times New Roman"/>
          <w:sz w:val="20"/>
        </w:rPr>
        <w:t xml:space="preserve">Los Angeles, CA 90067 </w:t>
      </w:r>
    </w:p>
    <w:p>
      <w:pPr>
        <w:pStyle w:val="TextBody"/>
        <w:spacing w:before="0" w:after="0"/>
        <w:jc w:val="left"/>
        <w:rPr>
          <w:rFonts w:ascii="Times New Roman" w:hAnsi="Times New Roman"/>
          <w:sz w:val="20"/>
        </w:rPr>
      </w:pPr>
      <w:r>
        <w:rPr>
          <w:rFonts w:ascii="Times New Roman" w:hAnsi="Times New Roman"/>
          <w:sz w:val="20"/>
        </w:rPr>
        <w:t xml:space="preserve">Attention: Chris Teets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With a copy to: </w:t>
      </w:r>
    </w:p>
    <w:p>
      <w:pPr>
        <w:pStyle w:val="TextBody"/>
        <w:spacing w:before="120" w:after="0"/>
        <w:jc w:val="left"/>
        <w:rPr>
          <w:rFonts w:ascii="Times New Roman" w:hAnsi="Times New Roman"/>
          <w:sz w:val="20"/>
        </w:rPr>
      </w:pPr>
      <w:r>
        <w:rPr>
          <w:rFonts w:ascii="Times New Roman" w:hAnsi="Times New Roman"/>
          <w:sz w:val="20"/>
        </w:rPr>
        <w:t xml:space="preserve">Munger, Tolles &amp; Olson LLP </w:t>
      </w:r>
    </w:p>
    <w:p>
      <w:pPr>
        <w:pStyle w:val="TextBody"/>
        <w:spacing w:before="0" w:after="0"/>
        <w:jc w:val="left"/>
        <w:rPr>
          <w:rFonts w:ascii="Times New Roman" w:hAnsi="Times New Roman"/>
          <w:sz w:val="20"/>
        </w:rPr>
      </w:pPr>
      <w:r>
        <w:rPr>
          <w:rFonts w:ascii="Times New Roman" w:hAnsi="Times New Roman"/>
          <w:sz w:val="20"/>
        </w:rPr>
        <w:t xml:space="preserve">350 South Grand Avenue, 50th Floor </w:t>
      </w:r>
    </w:p>
    <w:p>
      <w:pPr>
        <w:pStyle w:val="TextBody"/>
        <w:spacing w:before="0" w:after="0"/>
        <w:jc w:val="left"/>
        <w:rPr>
          <w:rFonts w:ascii="Times New Roman" w:hAnsi="Times New Roman"/>
          <w:sz w:val="20"/>
        </w:rPr>
      </w:pPr>
      <w:r>
        <w:rPr>
          <w:rFonts w:ascii="Times New Roman" w:hAnsi="Times New Roman"/>
          <w:sz w:val="20"/>
        </w:rPr>
        <w:t xml:space="preserve">Los Angeles, CA 90071 </w:t>
      </w:r>
    </w:p>
    <w:p>
      <w:pPr>
        <w:pStyle w:val="TextBody"/>
        <w:spacing w:before="0" w:after="0"/>
        <w:jc w:val="left"/>
        <w:rPr>
          <w:rFonts w:ascii="Times New Roman" w:hAnsi="Times New Roman"/>
          <w:sz w:val="20"/>
        </w:rPr>
      </w:pPr>
      <w:r>
        <w:rPr>
          <w:rFonts w:ascii="Times New Roman" w:hAnsi="Times New Roman"/>
          <w:sz w:val="20"/>
        </w:rPr>
        <w:t xml:space="preserve">Attention: Jennifer Broder </w:t>
      </w:r>
    </w:p>
    <w:p>
      <w:pPr>
        <w:pStyle w:val="TextBody"/>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Successors</w:t>
      </w:r>
      <w:r>
        <w:rPr>
          <w:rFonts w:ascii="Times New Roman" w:hAnsi="Times New Roman"/>
          <w:sz w:val="20"/>
        </w:rPr>
        <w:t xml:space="preserve">. This Agreement will inure to the benefit of and be binding upon the parties hereto and their respective successors and the officers, directors, partners, members, employees, agents, affiliates and controlling persons referred to in Section 7 hereof, and no other person will have any right or obligation hereunder. </w:t>
      </w:r>
    </w:p>
    <w:p>
      <w:pPr>
        <w:pStyle w:val="TextBody"/>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w:t>
      </w:r>
    </w:p>
    <w:p>
      <w:pPr>
        <w:pStyle w:val="TextBody"/>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 xml:space="preserve">Absence of Fiduciary Relationship. </w:t>
      </w:r>
      <w:r>
        <w:rPr>
          <w:rFonts w:ascii="Times New Roman" w:hAnsi="Times New Roman"/>
          <w:sz w:val="20"/>
        </w:rPr>
        <w:t xml:space="preserve">The Company and the Selling Stockholder acknowledge and agree that: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Other Relationship</w:t>
      </w:r>
      <w:r>
        <w:rPr>
          <w:rFonts w:ascii="Times New Roman" w:hAnsi="Times New Roman"/>
          <w:sz w:val="20"/>
        </w:rPr>
        <w:t xml:space="preserve">. The Underwriters have been retained solely to act as underwriter in connection with the sale of the Shares and that no fiduciary, advisory or agency relationship between the Company or the Selling Stockholder, on the one hand, and the Underwriters, on the other hand, has been created in respect of any of the transactions contemplated by this Agreement or the Final Prospectus, irrespective of whether the Underwriters has advised or is advising the Company or the Selling Stockholder on other matters; </w:t>
      </w:r>
    </w:p>
    <w:p>
      <w:pPr>
        <w:pStyle w:val="TextBody"/>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Arms Length Negotiations</w:t>
      </w:r>
      <w:r>
        <w:rPr>
          <w:rFonts w:ascii="Times New Roman" w:hAnsi="Times New Roman"/>
          <w:sz w:val="20"/>
        </w:rPr>
        <w:t xml:space="preserve">. The price of the Shares set forth in this Agreement was established by the Company and the Selling Stockholder following discussions and arms-length negotiations with the Underwriters, and the Company and the Selling Stockholder are capable of evaluating and understanding and understand and accept the terms, risks and conditions of the transactions contemplated by this Agreement; </w:t>
      </w:r>
    </w:p>
    <w:p>
      <w:pPr>
        <w:pStyle w:val="TextBody"/>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Absence of Obligation to Disclose</w:t>
      </w:r>
      <w:r>
        <w:rPr>
          <w:rFonts w:ascii="Times New Roman" w:hAnsi="Times New Roman"/>
          <w:sz w:val="20"/>
        </w:rPr>
        <w:t xml:space="preserve">. The Company and the Selling Stockholder have been advised that the Underwriters and their respective affiliates are engaged in a broad range of transactions which may involve interests that differ from those of the Company or the Selling Stockholder and that the Underwriters have no obligation to disclose such interests and transactions to the Company or the Selling Stockholder by virtue of any fiduciary, advisory or agency relationship; and </w:t>
      </w:r>
    </w:p>
    <w:p>
      <w:pPr>
        <w:pStyle w:val="TextBody"/>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w:t>
      </w:r>
      <w:r>
        <w:rPr>
          <w:rFonts w:ascii="Times New Roman" w:hAnsi="Times New Roman"/>
          <w:sz w:val="20"/>
        </w:rPr>
        <w:t xml:space="preserve">. The Company and the Selling Stockholder waive, to the fullest extent permitted by law, any claims they may have against the Underwriters for breach of fiduciary duty or alleged breach of fiduciary duty and agree that the Underwriters shall have no liability (whether direct or indirect) to the Company or the Selling Stockholder in respect of such a fiduciary duty claim or to any person asserting a fiduciary duty claim on behalf of or in right of the Company, including stockholders, employees or creditors of the Company. </w:t>
      </w:r>
    </w:p>
    <w:p>
      <w:pPr>
        <w:pStyle w:val="TextBody"/>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Trial by Jury</w:t>
      </w:r>
      <w:r>
        <w:rPr>
          <w:rFonts w:ascii="Times New Roman" w:hAnsi="Times New Roman"/>
          <w:sz w:val="20"/>
        </w:rPr>
        <w:t xml:space="preserve">. Each of the Company (on its behalf and, to the extent permitted by applicable law, on behalf of its stockholders and affiliates), the Selling Stockholder (on its behalf and, to the extent permitted by applicable law, on behalf of its equity holders and affiliates) and the Underwriters hereby irrevocably waives, to the fullest extent permitted by applicable law, any and all right to trial by jury in any legal proceeding arising out of or relating to this Agreement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Applicable Law</w:t>
      </w:r>
      <w:r>
        <w:rPr>
          <w:rFonts w:ascii="Times New Roman" w:hAnsi="Times New Roman"/>
          <w:sz w:val="20"/>
        </w:rPr>
        <w:t xml:space="preserve">. This Agreement shall be governed by, and construed in accordance with, the laws of the State of New York. </w:t>
      </w:r>
    </w:p>
    <w:p>
      <w:pPr>
        <w:pStyle w:val="TextBody"/>
        <w:spacing w:before="240" w:after="0"/>
        <w:jc w:val="left"/>
        <w:rPr>
          <w:rFonts w:ascii="Times New Roman" w:hAnsi="Times New Roman"/>
          <w:sz w:val="20"/>
        </w:rPr>
      </w:pPr>
      <w:r>
        <w:rPr>
          <w:rFonts w:ascii="Times New Roman" w:hAnsi="Times New Roman"/>
          <w:sz w:val="20"/>
        </w:rPr>
        <w:t xml:space="preserve">The Company and the Selling Stockholder hereby submit to the non-exclusive jurisdiction of the Federal and state courts in the Borough of Manhattan in The City of New York in any suit or proceeding arising out of or relating to this Agreement or the transactions contemplated hereby. The Company and the Selling Stockholder irrevocably and unconditionally waive any objection to the laying of venue of any suit or proceeding arising out of or relating to this Agreement or the transactions contemplated hereby in Federal and state courts in the Borough of Manhattan in The City of New York and irrevocably and unconditionally waive and agree not to plead or claim in any such court that any such suit or proceeding in any such court has been brought in an inconvenient forum.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Please sign and return to the Company this letter whereupon this letter will become a binding agreement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8"/>
        <w:gridCol w:w="60"/>
        <w:gridCol w:w="665"/>
        <w:gridCol w:w="60"/>
        <w:gridCol w:w="2929"/>
      </w:tblGrid>
      <w:tr>
        <w:trPr/>
        <w:tc>
          <w:tcPr>
            <w:tcW w:w="3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Very truly yours,</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 xml:space="preserve">DESTINATION XL GROUP, INC. </w:t>
            </w:r>
          </w:p>
        </w:tc>
      </w:tr>
      <w:tr>
        <w:trPr>
          <w:trHeight w:val="240" w:hRule="atLeast"/>
        </w:trPr>
        <w:tc>
          <w:tcPr>
            <w:tcW w:w="368" w:type="dxa"/>
            <w:tcBorders/>
            <w:shd w:fill="auto" w:val="clear"/>
            <w:vAlign w:val="center"/>
          </w:tcPr>
          <w:p>
            <w:pPr>
              <w:pStyle w:val="TableContents"/>
              <w:spacing w:before="0" w:after="283"/>
              <w:rPr>
                <w:sz w:val="4"/>
                <w:szCs w:val="4"/>
              </w:rPr>
            </w:pPr>
            <w:r>
              <w:rPr>
                <w:sz w:val="4"/>
                <w:szCs w:val="4"/>
              </w:rPr>
            </w:r>
          </w:p>
        </w:tc>
        <w:tc>
          <w:tcPr>
            <w:tcW w:w="3714" w:type="dxa"/>
            <w:gridSpan w:val="4"/>
            <w:tcBorders/>
            <w:shd w:fill="auto" w:val="clear"/>
            <w:vAlign w:val="center"/>
          </w:tcPr>
          <w:p>
            <w:pPr>
              <w:pStyle w:val="TableContents"/>
              <w:spacing w:before="0" w:after="283"/>
              <w:rPr>
                <w:sz w:val="4"/>
                <w:szCs w:val="4"/>
              </w:rPr>
            </w:pPr>
            <w:r>
              <w:rPr>
                <w:sz w:val="4"/>
                <w:szCs w:val="4"/>
              </w:rPr>
            </w:r>
          </w:p>
        </w:tc>
      </w:tr>
      <w:tr>
        <w:trPr/>
        <w:tc>
          <w:tcPr>
            <w:tcW w:w="368"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4"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Peter H. Stratton., Jr.</w:t>
            </w:r>
          </w:p>
        </w:tc>
      </w:tr>
      <w:tr>
        <w:trPr/>
        <w:tc>
          <w:tcPr>
            <w:tcW w:w="36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5"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29" w:type="dxa"/>
            <w:tcBorders/>
            <w:shd w:fill="auto" w:val="clear"/>
          </w:tcPr>
          <w:p>
            <w:pPr>
              <w:pStyle w:val="TableContents"/>
              <w:spacing w:before="0" w:after="283"/>
              <w:rPr/>
            </w:pPr>
            <w:r>
              <w:rPr/>
              <w:t>Peter H. Stratton, Jr.</w:t>
            </w:r>
          </w:p>
        </w:tc>
      </w:tr>
      <w:tr>
        <w:trPr/>
        <w:tc>
          <w:tcPr>
            <w:tcW w:w="36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65"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29" w:type="dxa"/>
            <w:tcBorders/>
            <w:shd w:fill="auto" w:val="clear"/>
          </w:tcPr>
          <w:p>
            <w:pPr>
              <w:pStyle w:val="TableContents"/>
              <w:spacing w:before="0" w:after="283"/>
              <w:rPr/>
            </w:pPr>
            <w:r>
              <w:rPr/>
              <w:t>EVP, Chief Financial Officer</w:t>
            </w:r>
          </w:p>
        </w:tc>
      </w:tr>
    </w:tbl>
    <w:p>
      <w:pPr>
        <w:pStyle w:val="TextBody"/>
        <w:spacing w:before="240" w:after="0"/>
        <w:jc w:val="center"/>
        <w:rPr>
          <w:rFonts w:ascii="Times New Roman" w:hAnsi="Times New Roman"/>
          <w:sz w:val="20"/>
        </w:rPr>
      </w:pPr>
      <w:r>
        <w:rPr>
          <w:rFonts w:ascii="Times New Roman" w:hAnsi="Times New Roman"/>
          <w:sz w:val="20"/>
        </w:rPr>
        <w:t xml:space="preserve">[Signatures continue on the following page] </w:t>
      </w:r>
    </w:p>
    <w:p>
      <w:pPr>
        <w:pStyle w:val="TextBody"/>
        <w:spacing w:before="240" w:after="0"/>
        <w:jc w:val="center"/>
        <w:rPr>
          <w:rFonts w:ascii="Times New Roman" w:hAnsi="Times New Roman"/>
          <w:i/>
          <w:sz w:val="20"/>
        </w:rPr>
      </w:pPr>
      <w:r>
        <w:rPr>
          <w:rFonts w:ascii="Times New Roman" w:hAnsi="Times New Roman"/>
          <w:i/>
          <w:sz w:val="20"/>
        </w:rPr>
        <w:t xml:space="preserve">(Signature page to Underwriting Agreement  DXLG 2021)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375"/>
        <w:gridCol w:w="61"/>
        <w:gridCol w:w="3646"/>
      </w:tblGrid>
      <w:tr>
        <w:trPr/>
        <w:tc>
          <w:tcPr>
            <w:tcW w:w="37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RED MOUNTAIN PARTNERS, L.P.</w:t>
            </w:r>
          </w:p>
        </w:tc>
      </w:tr>
      <w:tr>
        <w:trPr>
          <w:trHeight w:val="240" w:hRule="atLeast"/>
        </w:trPr>
        <w:tc>
          <w:tcPr>
            <w:tcW w:w="375" w:type="dxa"/>
            <w:tcBorders/>
            <w:shd w:fill="auto" w:val="clear"/>
            <w:vAlign w:val="center"/>
          </w:tcPr>
          <w:p>
            <w:pPr>
              <w:pStyle w:val="TableContents"/>
              <w:spacing w:before="0" w:after="283"/>
              <w:rPr>
                <w:sz w:val="4"/>
                <w:szCs w:val="4"/>
              </w:rPr>
            </w:pPr>
            <w:r>
              <w:rPr>
                <w:sz w:val="4"/>
                <w:szCs w:val="4"/>
              </w:rPr>
            </w:r>
          </w:p>
        </w:tc>
        <w:tc>
          <w:tcPr>
            <w:tcW w:w="3707" w:type="dxa"/>
            <w:gridSpan w:val="2"/>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 Christopher Teets</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Name: J. Christopher Teets</w:t>
            </w:r>
          </w:p>
        </w:tc>
      </w:tr>
      <w:tr>
        <w:trPr/>
        <w:tc>
          <w:tcPr>
            <w:tcW w:w="3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Title: Authorized Signatory</w:t>
            </w:r>
          </w:p>
        </w:tc>
      </w:tr>
    </w:tbl>
    <w:p>
      <w:pPr>
        <w:pStyle w:val="TextBody"/>
        <w:spacing w:before="240" w:after="0"/>
        <w:jc w:val="center"/>
        <w:rPr>
          <w:rFonts w:ascii="Times New Roman" w:hAnsi="Times New Roman"/>
          <w:sz w:val="20"/>
        </w:rPr>
      </w:pPr>
      <w:r>
        <w:rPr>
          <w:rFonts w:ascii="Times New Roman" w:hAnsi="Times New Roman"/>
          <w:sz w:val="20"/>
        </w:rPr>
        <w:t xml:space="preserve">[Signatures continue on the following page] </w:t>
      </w:r>
    </w:p>
    <w:p>
      <w:pPr>
        <w:pStyle w:val="TextBody"/>
        <w:spacing w:before="240" w:after="0"/>
        <w:jc w:val="center"/>
        <w:rPr>
          <w:rFonts w:ascii="Times New Roman" w:hAnsi="Times New Roman"/>
          <w:i/>
          <w:sz w:val="20"/>
        </w:rPr>
      </w:pPr>
      <w:r>
        <w:rPr>
          <w:rFonts w:ascii="Times New Roman" w:hAnsi="Times New Roman"/>
          <w:i/>
          <w:sz w:val="20"/>
        </w:rPr>
        <w:t xml:space="preserve">(Signature page to Underwriting Agreement  DXLG 2021)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816"/>
        <w:gridCol w:w="69"/>
        <w:gridCol w:w="3197"/>
      </w:tblGrid>
      <w:tr>
        <w:trPr/>
        <w:tc>
          <w:tcPr>
            <w:tcW w:w="81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319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Accepted as of the date hereof:</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D.A. DAVIDSON &amp; CO.</w:t>
            </w:r>
          </w:p>
        </w:tc>
      </w:tr>
      <w:tr>
        <w:trPr>
          <w:trHeight w:val="240" w:hRule="atLeast"/>
        </w:trPr>
        <w:tc>
          <w:tcPr>
            <w:tcW w:w="816" w:type="dxa"/>
            <w:tcBorders/>
            <w:shd w:fill="auto" w:val="clear"/>
            <w:vAlign w:val="center"/>
          </w:tcPr>
          <w:p>
            <w:pPr>
              <w:pStyle w:val="TableContents"/>
              <w:spacing w:before="0" w:after="283"/>
              <w:rPr>
                <w:sz w:val="4"/>
                <w:szCs w:val="4"/>
              </w:rPr>
            </w:pPr>
            <w:r>
              <w:rPr>
                <w:sz w:val="4"/>
                <w:szCs w:val="4"/>
              </w:rPr>
            </w:r>
          </w:p>
        </w:tc>
        <w:tc>
          <w:tcPr>
            <w:tcW w:w="3266"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By:</w:t>
            </w:r>
          </w:p>
        </w:tc>
        <w:tc>
          <w:tcPr>
            <w:tcW w:w="69" w:type="dxa"/>
            <w:tcBorders/>
            <w:shd w:fill="auto" w:val="clear"/>
            <w:vAlign w:val="bottom"/>
          </w:tcPr>
          <w:p>
            <w:pPr>
              <w:pStyle w:val="TableContents"/>
              <w:spacing w:before="0" w:after="283"/>
              <w:rPr/>
            </w:pPr>
            <w:r>
              <w:rPr/>
              <w:t> </w:t>
            </w:r>
          </w:p>
        </w:tc>
        <w:tc>
          <w:tcPr>
            <w:tcW w:w="319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Eric Rindahl</w:t>
            </w:r>
          </w:p>
        </w:tc>
      </w:tr>
      <w:tr>
        <w:trPr/>
        <w:tc>
          <w:tcPr>
            <w:tcW w:w="816" w:type="dxa"/>
            <w:tcBorders/>
            <w:shd w:fill="auto" w:val="clear"/>
          </w:tcPr>
          <w:p>
            <w:pPr>
              <w:pStyle w:val="TableContents"/>
              <w:spacing w:before="0" w:after="283"/>
              <w:rPr/>
            </w:pPr>
            <w:r>
              <w:rPr/>
              <w:t>Name:</w:t>
            </w:r>
          </w:p>
        </w:tc>
        <w:tc>
          <w:tcPr>
            <w:tcW w:w="69"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rPr/>
            </w:pPr>
            <w:r>
              <w:rPr/>
              <w:t>Eric Rindahl</w:t>
            </w:r>
          </w:p>
        </w:tc>
      </w:tr>
      <w:tr>
        <w:trPr/>
        <w:tc>
          <w:tcPr>
            <w:tcW w:w="816" w:type="dxa"/>
            <w:tcBorders/>
            <w:shd w:fill="auto" w:val="clear"/>
          </w:tcPr>
          <w:p>
            <w:pPr>
              <w:pStyle w:val="TableContents"/>
              <w:spacing w:before="0" w:after="283"/>
              <w:rPr/>
            </w:pPr>
            <w:r>
              <w:rPr/>
              <w:t>Title:</w:t>
            </w:r>
          </w:p>
        </w:tc>
        <w:tc>
          <w:tcPr>
            <w:tcW w:w="69"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rPr/>
            </w:pPr>
            <w:r>
              <w:rPr/>
              <w:t>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For themselves and as Representative of the other Underwriters named in Schedule A hereto</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to Underwriting Agreement  DXLG 2021)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A </w:t>
      </w:r>
    </w:p>
    <w:p>
      <w:pPr>
        <w:pStyle w:val="TextBody"/>
        <w:spacing w:before="240" w:after="0"/>
        <w:jc w:val="left"/>
        <w:rPr>
          <w:rFonts w:ascii="Times New Roman" w:hAnsi="Times New Roman"/>
          <w:b/>
          <w:sz w:val="20"/>
          <w:u w:val="single"/>
        </w:rPr>
      </w:pPr>
      <w:r>
        <w:rPr>
          <w:rFonts w:ascii="Times New Roman" w:hAnsi="Times New Roman"/>
          <w:b/>
          <w:sz w:val="20"/>
          <w:u w:val="single"/>
        </w:rPr>
        <w:t xml:space="preserve">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365"/>
        <w:gridCol w:w="609"/>
        <w:gridCol w:w="123"/>
        <w:gridCol w:w="2046"/>
        <w:gridCol w:w="62"/>
      </w:tblGrid>
      <w:tr>
        <w:trPr/>
        <w:tc>
          <w:tcPr>
            <w:tcW w:w="736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736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w:t>
            </w:r>
          </w:p>
        </w:tc>
        <w:tc>
          <w:tcPr>
            <w:tcW w:w="609" w:type="dxa"/>
            <w:tcBorders/>
            <w:shd w:fill="auto" w:val="clear"/>
            <w:vAlign w:val="bottom"/>
          </w:tcPr>
          <w:p>
            <w:pPr>
              <w:pStyle w:val="TableContents"/>
              <w:spacing w:before="0" w:after="283"/>
              <w:rPr/>
            </w:pPr>
            <w:r>
              <w:rPr/>
              <w:t>  </w:t>
            </w:r>
          </w:p>
        </w:tc>
        <w:tc>
          <w:tcPr>
            <w:tcW w:w="21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to</w:t>
              <w:br/>
              <w:t>be Purchased from</w:t>
              <w:br/>
              <w:t>Red Mountain</w:t>
            </w:r>
          </w:p>
        </w:tc>
        <w:tc>
          <w:tcPr>
            <w:tcW w:w="62"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0"/>
              <w:rPr>
                <w:rFonts w:ascii="Times New Roman" w:hAnsi="Times New Roman"/>
                <w:sz w:val="20"/>
              </w:rPr>
            </w:pPr>
            <w:r>
              <w:rPr>
                <w:rFonts w:ascii="Times New Roman" w:hAnsi="Times New Roman"/>
                <w:sz w:val="20"/>
              </w:rPr>
              <w:t>D.A. Davidson &amp; Co.</w:t>
            </w:r>
          </w:p>
        </w:tc>
        <w:tc>
          <w:tcPr>
            <w:tcW w:w="60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046" w:type="dxa"/>
            <w:tcBorders/>
            <w:shd w:fill="CCEEFF" w:val="clear"/>
            <w:vAlign w:val="bottom"/>
          </w:tcPr>
          <w:p>
            <w:pPr>
              <w:pStyle w:val="TableContents"/>
              <w:spacing w:before="0" w:after="283"/>
              <w:jc w:val="right"/>
              <w:rPr/>
            </w:pPr>
            <w:r>
              <w:rPr/>
              <w:t>4,299,807</w:t>
            </w:r>
          </w:p>
        </w:tc>
        <w:tc>
          <w:tcPr>
            <w:tcW w:w="62" w:type="dxa"/>
            <w:tcBorders/>
            <w:shd w:fill="CCEEFF" w:val="clear"/>
            <w:vAlign w:val="bottom"/>
          </w:tcPr>
          <w:p>
            <w:pPr>
              <w:pStyle w:val="TableContents"/>
              <w:spacing w:before="0" w:after="283"/>
              <w:rPr/>
            </w:pPr>
            <w:r>
              <w:rPr/>
              <w:t> </w:t>
            </w:r>
          </w:p>
        </w:tc>
      </w:tr>
      <w:tr>
        <w:trPr/>
        <w:tc>
          <w:tcPr>
            <w:tcW w:w="7365" w:type="dxa"/>
            <w:tcBorders/>
            <w:shd w:fill="auto" w:val="clear"/>
          </w:tcPr>
          <w:p>
            <w:pPr>
              <w:pStyle w:val="TableContents"/>
              <w:spacing w:before="0" w:after="0"/>
              <w:rPr>
                <w:rFonts w:ascii="Times New Roman" w:hAnsi="Times New Roman"/>
                <w:sz w:val="20"/>
              </w:rPr>
            </w:pPr>
            <w:r>
              <w:rPr>
                <w:rFonts w:ascii="Times New Roman" w:hAnsi="Times New Roman"/>
                <w:sz w:val="20"/>
              </w:rPr>
              <w:t>Craig-Hallum Capital Group LLC</w:t>
            </w:r>
          </w:p>
        </w:tc>
        <w:tc>
          <w:tcPr>
            <w:tcW w:w="60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046" w:type="dxa"/>
            <w:tcBorders/>
            <w:shd w:fill="auto" w:val="clear"/>
            <w:vAlign w:val="bottom"/>
          </w:tcPr>
          <w:p>
            <w:pPr>
              <w:pStyle w:val="TableContents"/>
              <w:spacing w:before="0" w:after="283"/>
              <w:jc w:val="right"/>
              <w:rPr/>
            </w:pPr>
            <w:r>
              <w:rPr/>
              <w:t>1,433,269</w:t>
            </w:r>
          </w:p>
        </w:tc>
        <w:tc>
          <w:tcPr>
            <w:tcW w:w="62" w:type="dxa"/>
            <w:tcBorders/>
            <w:shd w:fill="auto" w:val="clear"/>
            <w:vAlign w:val="bottom"/>
          </w:tcPr>
          <w:p>
            <w:pPr>
              <w:pStyle w:val="TableContents"/>
              <w:spacing w:before="0" w:after="283"/>
              <w:rPr/>
            </w:pPr>
            <w:r>
              <w:rPr/>
              <w:t> </w:t>
            </w:r>
          </w:p>
        </w:tc>
      </w:tr>
      <w:tr>
        <w:trPr/>
        <w:tc>
          <w:tcPr>
            <w:tcW w:w="736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Totals:</w:t>
            </w:r>
          </w:p>
        </w:tc>
        <w:tc>
          <w:tcPr>
            <w:tcW w:w="609"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2046" w:type="dxa"/>
            <w:tcBorders/>
            <w:shd w:fill="CCEEFF" w:val="clear"/>
            <w:vAlign w:val="bottom"/>
          </w:tcPr>
          <w:p>
            <w:pPr>
              <w:pStyle w:val="TableContents"/>
              <w:spacing w:before="0" w:after="283"/>
              <w:jc w:val="right"/>
              <w:rPr/>
            </w:pPr>
            <w:r>
              <w:rPr/>
              <w:t>5,733,076</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SA-1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B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1.</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General Use Free Writing Prospectuses (included in the General Disclosure Package) </w:t>
            </w:r>
          </w:p>
        </w:tc>
      </w:tr>
    </w:tbl>
    <w:p>
      <w:pPr>
        <w:pStyle w:val="TextBody"/>
        <w:spacing w:before="120" w:after="0"/>
        <w:jc w:val="left"/>
        <w:rPr>
          <w:rFonts w:ascii="Times New Roman" w:hAnsi="Times New Roman"/>
          <w:sz w:val="20"/>
        </w:rPr>
      </w:pPr>
      <w:r>
        <w:rPr>
          <w:rFonts w:ascii="Times New Roman" w:hAnsi="Times New Roman"/>
          <w:sz w:val="20"/>
        </w:rPr>
        <w:t xml:space="preserve">General Use Issuer Free Writing Prospectus includes each of the following documents: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Information Included in the General Disclosure Package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information is also included in the General Disclosure Package: </w:t>
      </w:r>
    </w:p>
    <w:p>
      <w:pPr>
        <w:pStyle w:val="TextBody"/>
        <w:spacing w:before="120" w:after="0"/>
        <w:jc w:val="left"/>
        <w:rPr>
          <w:rFonts w:ascii="Times New Roman" w:hAnsi="Times New Roman"/>
          <w:sz w:val="20"/>
        </w:rPr>
      </w:pPr>
      <w:r>
        <w:rPr>
          <w:rFonts w:ascii="Times New Roman" w:hAnsi="Times New Roman"/>
          <w:sz w:val="20"/>
        </w:rPr>
        <w:t xml:space="preserve">The number of Shares and the price to the public of the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SB-1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C </w:t>
      </w:r>
    </w:p>
    <w:p>
      <w:pPr>
        <w:pStyle w:val="TextBody"/>
        <w:spacing w:before="240" w:after="0"/>
        <w:jc w:val="center"/>
        <w:rPr>
          <w:rFonts w:ascii="Times New Roman" w:hAnsi="Times New Roman"/>
          <w:b/>
          <w:sz w:val="20"/>
        </w:rPr>
      </w:pPr>
      <w:r>
        <w:rPr>
          <w:rFonts w:ascii="Times New Roman" w:hAnsi="Times New Roman"/>
          <w:b/>
          <w:sz w:val="20"/>
        </w:rPr>
        <w:t xml:space="preserve">Subsidiaries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268"/>
        <w:gridCol w:w="120"/>
        <w:gridCol w:w="2817"/>
      </w:tblGrid>
      <w:tr>
        <w:trPr/>
        <w:tc>
          <w:tcPr>
            <w:tcW w:w="72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7" w:type="dxa"/>
            <w:tcBorders/>
            <w:shd w:fill="auto" w:val="clear"/>
            <w:vAlign w:val="center"/>
          </w:tcPr>
          <w:p>
            <w:pPr>
              <w:pStyle w:val="TableContents"/>
              <w:spacing w:before="0" w:after="283"/>
              <w:rPr>
                <w:sz w:val="4"/>
                <w:szCs w:val="4"/>
              </w:rPr>
            </w:pPr>
            <w:r>
              <w:rPr>
                <w:sz w:val="4"/>
                <w:szCs w:val="4"/>
              </w:rPr>
            </w:r>
          </w:p>
        </w:tc>
      </w:tr>
      <w:tr>
        <w:trPr/>
        <w:tc>
          <w:tcPr>
            <w:tcW w:w="726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Subsidiary</w:t>
            </w:r>
          </w:p>
        </w:tc>
        <w:tc>
          <w:tcPr>
            <w:tcW w:w="120" w:type="dxa"/>
            <w:tcBorders/>
            <w:shd w:fill="auto" w:val="clear"/>
            <w:vAlign w:val="bottom"/>
          </w:tcPr>
          <w:p>
            <w:pPr>
              <w:pStyle w:val="TableContents"/>
              <w:spacing w:before="0" w:after="283"/>
              <w:rPr/>
            </w:pPr>
            <w:r>
              <w:rPr/>
              <w:t>  </w:t>
            </w:r>
          </w:p>
        </w:tc>
        <w:tc>
          <w:tcPr>
            <w:tcW w:w="281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Jurisdiction</w:t>
            </w:r>
          </w:p>
        </w:tc>
      </w:tr>
      <w:tr>
        <w:trPr/>
        <w:tc>
          <w:tcPr>
            <w:tcW w:w="7268" w:type="dxa"/>
            <w:tcBorders/>
            <w:shd w:fill="auto" w:val="clear"/>
          </w:tcPr>
          <w:p>
            <w:pPr>
              <w:pStyle w:val="TableContents"/>
              <w:spacing w:before="0" w:after="283"/>
              <w:rPr/>
            </w:pPr>
            <w:r>
              <w:rPr/>
              <w:t>Casual Male Retail Store, LLC (f/k/a Designs CMAL Retail Store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Casual Male Direct, LLC (f/k/a Designs CMAL TBD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CMRG Apparel Management,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CMRG Holdco, LLC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CMXL Apparel, LP (a)</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CMRG Apparel, LLC (f/k/a Designs Apparel, Inc.) (b)</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Casual Male Store, LLC (f/k/a Designs CMAL Store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Capture, LLC (c)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Virginia</w:t>
            </w:r>
          </w:p>
        </w:tc>
      </w:tr>
      <w:tr>
        <w:trPr/>
        <w:tc>
          <w:tcPr>
            <w:tcW w:w="7268" w:type="dxa"/>
            <w:tcBorders/>
            <w:shd w:fill="auto" w:val="clear"/>
          </w:tcPr>
          <w:p>
            <w:pPr>
              <w:pStyle w:val="TableContents"/>
              <w:spacing w:before="0" w:after="283"/>
              <w:rPr/>
            </w:pPr>
            <w:r>
              <w:rPr/>
              <w:t>Casual Male RBT, LLC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Casual Male RBT (U.K.) LLC (d)</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DXLG Wholesale, LLC (e)</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DXL Canada, Inc. (f/k/a Casual Male Canada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Ontario, Canada</w:t>
            </w:r>
          </w:p>
        </w:tc>
      </w:tr>
      <w:tr>
        <w:trPr/>
        <w:tc>
          <w:tcPr>
            <w:tcW w:w="7268" w:type="dxa"/>
            <w:tcBorders/>
            <w:shd w:fill="auto" w:val="clear"/>
          </w:tcPr>
          <w:p>
            <w:pPr>
              <w:pStyle w:val="TableContents"/>
              <w:spacing w:before="0" w:after="283"/>
              <w:rPr/>
            </w:pPr>
            <w:r>
              <w:rPr/>
              <w:t>Casual Male (EUROPE) LLC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Think Big Products LLC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Delaware</w:t>
            </w:r>
          </w:p>
        </w:tc>
      </w:tr>
      <w:tr>
        <w:trPr/>
        <w:tc>
          <w:tcPr>
            <w:tcW w:w="7268" w:type="dxa"/>
            <w:tcBorders/>
            <w:shd w:fill="auto" w:val="clear"/>
          </w:tcPr>
          <w:p>
            <w:pPr>
              <w:pStyle w:val="TableContents"/>
              <w:spacing w:before="0" w:after="283"/>
              <w:rPr/>
            </w:pPr>
            <w:r>
              <w:rPr/>
              <w:t>Canton PL Liquidating Corp. (f/k/a LP Innovations, Inc.)</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Nevada</w:t>
            </w:r>
          </w:p>
        </w:tc>
      </w:tr>
      <w:tr>
        <w:trPr/>
        <w:tc>
          <w:tcPr>
            <w:tcW w:w="7268" w:type="dxa"/>
            <w:tcBorders/>
            <w:shd w:fill="auto" w:val="clear"/>
          </w:tcPr>
          <w:p>
            <w:pPr>
              <w:pStyle w:val="TableContents"/>
              <w:spacing w:before="0" w:after="283"/>
              <w:rPr/>
            </w:pPr>
            <w:r>
              <w:rPr/>
              <w:t>CMRG Hong Kong Limited</w:t>
            </w:r>
          </w:p>
        </w:tc>
        <w:tc>
          <w:tcPr>
            <w:tcW w:w="120" w:type="dxa"/>
            <w:tcBorders/>
            <w:shd w:fill="auto" w:val="clear"/>
            <w:vAlign w:val="bottom"/>
          </w:tcPr>
          <w:p>
            <w:pPr>
              <w:pStyle w:val="TableContents"/>
              <w:spacing w:before="0" w:after="283"/>
              <w:rPr/>
            </w:pPr>
            <w:r>
              <w:rPr/>
              <w:t>  </w:t>
            </w:r>
          </w:p>
        </w:tc>
        <w:tc>
          <w:tcPr>
            <w:tcW w:w="2817" w:type="dxa"/>
            <w:tcBorders/>
            <w:shd w:fill="auto" w:val="clear"/>
          </w:tcPr>
          <w:p>
            <w:pPr>
              <w:pStyle w:val="TableContents"/>
              <w:spacing w:before="0" w:after="283"/>
              <w:rPr/>
            </w:pPr>
            <w:r>
              <w:rPr/>
              <w:t>Hong Kong</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SC-1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240" w:after="0"/>
        <w:jc w:val="center"/>
        <w:rPr>
          <w:rFonts w:ascii="Times New Roman" w:hAnsi="Times New Roman"/>
          <w:b/>
          <w:sz w:val="28"/>
        </w:rPr>
      </w:pPr>
      <w:r>
        <w:rPr>
          <w:rFonts w:ascii="Times New Roman" w:hAnsi="Times New Roman"/>
          <w:b/>
          <w:sz w:val="20"/>
        </w:rPr>
        <w:t>LOCK</w:t>
      </w:r>
      <w:r>
        <w:rPr>
          <w:rFonts w:ascii="Times New Roman" w:hAnsi="Times New Roman"/>
          <w:b/>
          <w:sz w:val="28"/>
        </w:rPr>
        <w:t>-</w:t>
      </w:r>
      <w:r>
        <w:rPr>
          <w:rFonts w:ascii="Times New Roman" w:hAnsi="Times New Roman"/>
          <w:b/>
          <w:sz w:val="20"/>
        </w:rPr>
        <w:t>UP</w:t>
      </w:r>
      <w:r>
        <w:rPr>
          <w:rFonts w:ascii="Times New Roman" w:hAnsi="Times New Roman"/>
          <w:b/>
          <w:sz w:val="28"/>
        </w:rPr>
        <w:t xml:space="preserve"> </w:t>
      </w:r>
      <w:r>
        <w:rPr>
          <w:rFonts w:ascii="Times New Roman" w:hAnsi="Times New Roman"/>
          <w:b/>
          <w:sz w:val="20"/>
        </w:rPr>
        <w:t>AGREEMENT</w:t>
      </w:r>
      <w:r>
        <w:rPr>
          <w:rFonts w:ascii="Times New Roman" w:hAnsi="Times New Roman"/>
          <w:b/>
          <w:sz w:val="28"/>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TextBody"/>
        <w:spacing w:before="0" w:after="0"/>
        <w:jc w:val="right"/>
        <w:rPr>
          <w:rFonts w:ascii="Times New Roman" w:hAnsi="Times New Roman"/>
          <w:b/>
          <w:sz w:val="20"/>
        </w:rPr>
      </w:pPr>
      <w:bookmarkStart w:id="4" w:name="d214928dex991.htm"/>
      <w:bookmarkStart w:id="5" w:name="ksd214928dex991"/>
      <w:bookmarkEnd w:id="4"/>
      <w:bookmarkEnd w:id="5"/>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7620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447675"/>
                    </a:xfrm>
                    <a:prstGeom prst="rect">
                      <a:avLst/>
                    </a:prstGeom>
                  </pic:spPr>
                </pic:pic>
              </a:graphicData>
            </a:graphic>
          </wp:inline>
        </w:drawing>
      </w:r>
      <w:r>
        <w:rPr/>
        <w:t xml:space="preserve">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For Immediate Release </w:t>
      </w:r>
    </w:p>
    <w:p>
      <w:pPr>
        <w:pStyle w:val="TextBody"/>
        <w:spacing w:before="480" w:after="0"/>
        <w:jc w:val="center"/>
        <w:rPr>
          <w:rFonts w:ascii="Times New Roman" w:hAnsi="Times New Roman"/>
          <w:b/>
          <w:sz w:val="20"/>
        </w:rPr>
      </w:pPr>
      <w:r>
        <w:rPr>
          <w:rFonts w:ascii="Times New Roman" w:hAnsi="Times New Roman"/>
          <w:b/>
          <w:sz w:val="20"/>
        </w:rPr>
        <w:t xml:space="preserve">DESTINATION XL GROUP, INC. ANNOUNCES OFFERING </w:t>
      </w:r>
    </w:p>
    <w:p>
      <w:pPr>
        <w:pStyle w:val="TextBody"/>
        <w:spacing w:before="0" w:after="0"/>
        <w:jc w:val="center"/>
        <w:rPr>
          <w:rFonts w:ascii="Times New Roman" w:hAnsi="Times New Roman"/>
          <w:b/>
          <w:sz w:val="20"/>
        </w:rPr>
      </w:pPr>
      <w:r>
        <w:rPr>
          <w:rFonts w:ascii="Times New Roman" w:hAnsi="Times New Roman"/>
          <w:b/>
          <w:sz w:val="20"/>
        </w:rPr>
        <w:t xml:space="preserve">OF COMMON STOCK BY SELLING STOCKHOLDER </w:t>
      </w:r>
    </w:p>
    <w:p>
      <w:pPr>
        <w:pStyle w:val="TextBody"/>
        <w:spacing w:before="240" w:after="0"/>
        <w:jc w:val="left"/>
        <w:rPr>
          <w:rFonts w:ascii="Times New Roman" w:hAnsi="Times New Roman"/>
          <w:sz w:val="20"/>
        </w:rPr>
      </w:pPr>
      <w:r>
        <w:rPr>
          <w:rFonts w:ascii="Times New Roman" w:hAnsi="Times New Roman"/>
          <w:b/>
          <w:sz w:val="20"/>
        </w:rPr>
        <w:t>CANTON, Mass., September</w:t>
      </w:r>
      <w:r>
        <w:rPr>
          <w:rFonts w:ascii="Times New Roman" w:hAnsi="Times New Roman"/>
          <w:sz w:val="20"/>
        </w:rPr>
        <w:t> </w:t>
      </w:r>
      <w:r>
        <w:rPr>
          <w:rFonts w:ascii="Times New Roman" w:hAnsi="Times New Roman"/>
          <w:b/>
          <w:sz w:val="20"/>
        </w:rPr>
        <w:t>9, 2021 </w:t>
      </w:r>
      <w:r>
        <w:rPr>
          <w:rFonts w:ascii="Times New Roman" w:hAnsi="Times New Roman"/>
          <w:sz w:val="20"/>
        </w:rPr>
        <w:t xml:space="preserve"> Destination XL Group, Inc. (NASDAQ: DXLG), the leading omni-channel specialty retailer of Big + Tall mens clothing and shoes, today announced the commencement of an underwritten public offering of shares of the Companys common stock by Red Mountain Partners, L.P. The selling stockholder will receive all of the net proceeds from the offering. The Company is not offering any of its shares of common stock and will not receive any of the proceeds from the offering, but will bear certain costs associated with the sale of such shares, other than underwriting discounts and commissions and the expenses of the underwriters. The offering is subject to market and other conditions, and there can be no assurance as to whether or when the offering may be completed or as to the actual size or terms of the offering. </w:t>
      </w:r>
    </w:p>
    <w:p>
      <w:pPr>
        <w:pStyle w:val="TextBody"/>
        <w:spacing w:before="240" w:after="0"/>
        <w:jc w:val="left"/>
        <w:rPr>
          <w:rFonts w:ascii="Times New Roman" w:hAnsi="Times New Roman"/>
          <w:sz w:val="20"/>
        </w:rPr>
      </w:pPr>
      <w:r>
        <w:rPr>
          <w:rFonts w:ascii="Times New Roman" w:hAnsi="Times New Roman"/>
          <w:sz w:val="20"/>
        </w:rPr>
        <w:t xml:space="preserve">D.A. Davidson &amp; Co. and Craig-Hallum Capital Group LLC are acting as joint book-running managers for the proposed offering. </w:t>
      </w:r>
    </w:p>
    <w:p>
      <w:pPr>
        <w:pStyle w:val="TextBody"/>
        <w:spacing w:before="240" w:after="0"/>
        <w:jc w:val="left"/>
        <w:rPr>
          <w:rFonts w:ascii="Times New Roman" w:hAnsi="Times New Roman"/>
          <w:sz w:val="20"/>
        </w:rPr>
      </w:pPr>
      <w:r>
        <w:rPr>
          <w:rFonts w:ascii="Times New Roman" w:hAnsi="Times New Roman"/>
          <w:sz w:val="20"/>
        </w:rPr>
        <w:t xml:space="preserve">A shelf registration statement on Form S-3 (including a base prospectus) (File No. 333-256990) relating to these securities has been filed with the Securities and Exchange Commission (SEC) and became effective on June 21, 2021. The proposed offering will be made only by means of a prospectus and a prospectus supplement. Copies of the preliminary prospectus supplement and accompanying prospectus relating to this offering may be obtained, when available, by visiting the SECs website at www.sec.gov, or contacting the offices of D.A. Davidson &amp; Co. at Attention: Equity Syndicate, 8 Third Street North, Great Falls, MT 59401, telephone: (800) 332-5915, or by email: prospectusrequest@dadco.com, or by contacting Craig-Hallum Capital Group LLC, 222 South Ninth Street, Suite 350, Minneapolis, MN 55402, Attn: Equity Capital Markets, telephone: (612) 334-6300 or by e-mail: prospectus@chlm.com. Before you invest, you should read the registration statement, the base prospectus, the preliminary prospectus supplement, and other documents filed with the SEC and incorporated by reference therein for more complete information about the Company and the proposed offering. </w:t>
      </w:r>
    </w:p>
    <w:p>
      <w:pPr>
        <w:pStyle w:val="TextBody"/>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offer or sale of these securities in any state or jurisdiction in which such offer, solicitation or sale would be unlawful prior to the registration or qualification under the securities laws of any such state or jurisdiction.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Certain statements and information contained in this press release constitute forward-looking statements under the federal securities laws, including statements regarding the proposed offering by the selling stockholder.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Such risks and uncertainties may include, but are not limited to, the risks that the offering of common stock may not close. </w:t>
      </w:r>
    </w:p>
    <w:p>
      <w:pPr>
        <w:pStyle w:val="TextBody"/>
        <w:spacing w:before="240" w:after="0"/>
        <w:jc w:val="left"/>
        <w:rPr>
          <w:rFonts w:ascii="Times New Roman" w:hAnsi="Times New Roman"/>
          <w:sz w:val="20"/>
        </w:rPr>
      </w:pPr>
      <w:r>
        <w:rPr>
          <w:rFonts w:ascii="Times New Roman" w:hAnsi="Times New Roman"/>
          <w:sz w:val="20"/>
        </w:rPr>
        <w:t xml:space="preserve">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w:t>
      </w:r>
    </w:p>
    <w:p>
      <w:pPr>
        <w:pStyle w:val="TextBody"/>
        <w:spacing w:before="360" w:after="0"/>
        <w:jc w:val="left"/>
        <w:rPr>
          <w:rFonts w:ascii="Times New Roman" w:hAnsi="Times New Roman"/>
          <w:b/>
          <w:sz w:val="20"/>
        </w:rPr>
      </w:pPr>
      <w:r>
        <w:rPr>
          <w:rFonts w:ascii="Times New Roman" w:hAnsi="Times New Roman"/>
          <w:b/>
          <w:sz w:val="20"/>
        </w:rPr>
        <w:t xml:space="preserve">About Destination XL Group, Inc. </w:t>
      </w:r>
    </w:p>
    <w:p>
      <w:pPr>
        <w:pStyle w:val="TextBody"/>
        <w:spacing w:before="120" w:after="0"/>
        <w:jc w:val="left"/>
        <w:rPr>
          <w:rFonts w:ascii="Times New Roman" w:hAnsi="Times New Roman"/>
          <w:sz w:val="20"/>
        </w:rPr>
      </w:pPr>
      <w:r>
        <w:rPr>
          <w:rFonts w:ascii="Times New Roman" w:hAnsi="Times New Roman"/>
          <w:sz w:val="20"/>
        </w:rPr>
        <w:t xml:space="preserve">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DXL.com, which offers a multi-channel solution similar to the DXL store experience with the most extensive selection of online products available anywhere for Big + Tall men. The Company is headquartered in Canton, Massachusetts. For more information, please visit the Companys investor relations website: https://investor.dxl.com. </w:t>
      </w:r>
    </w:p>
    <w:p>
      <w:pPr>
        <w:pStyle w:val="TextBody"/>
        <w:spacing w:before="240" w:after="0"/>
        <w:jc w:val="left"/>
        <w:rPr>
          <w:rFonts w:ascii="Times New Roman" w:hAnsi="Times New Roman"/>
          <w:sz w:val="20"/>
        </w:rPr>
      </w:pPr>
      <w:r>
        <w:rPr>
          <w:rFonts w:ascii="Times New Roman" w:hAnsi="Times New Roman"/>
          <w:sz w:val="20"/>
        </w:rPr>
        <w:t xml:space="preserve">Investor Contact: </w:t>
      </w:r>
    </w:p>
    <w:p>
      <w:pPr>
        <w:pStyle w:val="TextBody"/>
        <w:spacing w:before="0" w:after="0"/>
        <w:jc w:val="left"/>
        <w:rPr>
          <w:rFonts w:ascii="Times New Roman" w:hAnsi="Times New Roman"/>
          <w:sz w:val="20"/>
        </w:rPr>
      </w:pPr>
      <w:r>
        <w:rPr>
          <w:rFonts w:ascii="Times New Roman" w:hAnsi="Times New Roman"/>
          <w:sz w:val="20"/>
        </w:rPr>
        <w:t xml:space="preserve">Investor.relations@dxlg.com </w:t>
      </w:r>
    </w:p>
    <w:p>
      <w:pPr>
        <w:pStyle w:val="TextBody"/>
        <w:spacing w:before="0" w:after="0"/>
        <w:jc w:val="left"/>
        <w:rPr>
          <w:rFonts w:ascii="Times New Roman" w:hAnsi="Times New Roman"/>
          <w:sz w:val="20"/>
        </w:rPr>
      </w:pPr>
      <w:r>
        <w:rPr>
          <w:rFonts w:ascii="Times New Roman" w:hAnsi="Times New Roman"/>
          <w:sz w:val="20"/>
        </w:rPr>
        <w:t xml:space="preserve">603-933-0541 </w:t>
      </w:r>
    </w:p>
    <w:p>
      <w:pPr>
        <w:pStyle w:val="TextBody"/>
        <w:spacing w:before="240" w:after="0"/>
        <w:jc w:val="center"/>
        <w:rPr>
          <w:rFonts w:ascii="Times New Roman" w:hAnsi="Times New Roman"/>
          <w:sz w:val="20"/>
        </w:rPr>
      </w:pPr>
      <w:r>
        <w:rPr>
          <w:rFonts w:ascii="Times New Roman" w:hAnsi="Times New Roman"/>
          <w:sz w:val="20"/>
        </w:rPr>
        <w:t xml:space="preserve"># # # </w:t>
      </w:r>
      <w:r>
        <w:br w:type="page"/>
      </w:r>
    </w:p>
    <w:p>
      <w:pPr>
        <w:pStyle w:val="TextBody"/>
        <w:spacing w:before="0" w:after="0"/>
        <w:jc w:val="right"/>
        <w:rPr>
          <w:rFonts w:ascii="Times New Roman" w:hAnsi="Times New Roman"/>
          <w:b/>
          <w:sz w:val="20"/>
        </w:rPr>
      </w:pPr>
      <w:bookmarkStart w:id="6" w:name="d214928dex992.htm"/>
      <w:bookmarkStart w:id="7" w:name="ksd214928dex992"/>
      <w:bookmarkEnd w:id="6"/>
      <w:bookmarkEnd w:id="7"/>
      <w:r>
        <w:rPr>
          <w:rFonts w:ascii="Times New Roman" w:hAnsi="Times New Roman"/>
          <w:b/>
          <w:sz w:val="20"/>
        </w:rPr>
        <w:t xml:space="preserve">Exhibit 99.2 </w:t>
      </w:r>
    </w:p>
    <w:p>
      <w:pPr>
        <w:pStyle w:val="TextBody"/>
        <w:spacing w:before="0" w:after="0"/>
        <w:jc w:val="left"/>
        <w:rPr/>
      </w:pPr>
      <w:r>
        <w:rPr/>
        <w:t> </w:t>
      </w:r>
    </w:p>
    <w:p>
      <w:pPr>
        <w:pStyle w:val="TextBody"/>
        <w:spacing w:before="0" w:after="0"/>
        <w:jc w:val="left"/>
        <w:rPr/>
      </w:pPr>
      <w:r>
        <w:rPr/>
        <w:drawing>
          <wp:inline distT="0" distB="0" distL="0" distR="0">
            <wp:extent cx="7620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 cy="447675"/>
                    </a:xfrm>
                    <a:prstGeom prst="rect">
                      <a:avLst/>
                    </a:prstGeom>
                  </pic:spPr>
                </pic:pic>
              </a:graphicData>
            </a:graphic>
          </wp:inline>
        </w:drawing>
      </w:r>
      <w:r>
        <w:rPr/>
        <w:t xml:space="preserve"> </w:t>
      </w:r>
    </w:p>
    <w:p>
      <w:pPr>
        <w:pStyle w:val="TextBody"/>
        <w:spacing w:before="240" w:after="0"/>
        <w:jc w:val="left"/>
        <w:rPr>
          <w:rFonts w:ascii="Times New Roman" w:hAnsi="Times New Roman"/>
          <w:sz w:val="20"/>
          <w:u w:val="single"/>
        </w:rPr>
      </w:pPr>
      <w:r>
        <w:rPr>
          <w:rFonts w:ascii="Times New Roman" w:hAnsi="Times New Roman"/>
          <w:sz w:val="20"/>
          <w:u w:val="single"/>
        </w:rPr>
        <w:t xml:space="preserve">For Immediate Release </w:t>
      </w:r>
    </w:p>
    <w:p>
      <w:pPr>
        <w:pStyle w:val="TextBody"/>
        <w:spacing w:before="480" w:after="0"/>
        <w:jc w:val="center"/>
        <w:rPr>
          <w:rFonts w:ascii="Times New Roman" w:hAnsi="Times New Roman"/>
          <w:b/>
          <w:sz w:val="20"/>
        </w:rPr>
      </w:pPr>
      <w:r>
        <w:rPr>
          <w:rFonts w:ascii="Times New Roman" w:hAnsi="Times New Roman"/>
          <w:b/>
          <w:sz w:val="20"/>
        </w:rPr>
        <w:t xml:space="preserve">DESTINATION XL GROUP, INC. ANNOUNCES PRICING </w:t>
      </w:r>
    </w:p>
    <w:p>
      <w:pPr>
        <w:pStyle w:val="TextBody"/>
        <w:spacing w:before="0" w:after="0"/>
        <w:jc w:val="center"/>
        <w:rPr>
          <w:rFonts w:ascii="Times New Roman" w:hAnsi="Times New Roman"/>
          <w:b/>
          <w:sz w:val="20"/>
        </w:rPr>
      </w:pPr>
      <w:r>
        <w:rPr>
          <w:rFonts w:ascii="Times New Roman" w:hAnsi="Times New Roman"/>
          <w:b/>
          <w:sz w:val="20"/>
        </w:rPr>
        <w:t xml:space="preserve">OF OFFERING OF COMMON STOCK BY SELLING STOCKHOLDER </w:t>
      </w:r>
    </w:p>
    <w:p>
      <w:pPr>
        <w:pStyle w:val="TextBody"/>
        <w:spacing w:before="240" w:after="0"/>
        <w:jc w:val="left"/>
        <w:rPr>
          <w:rFonts w:ascii="Times New Roman" w:hAnsi="Times New Roman"/>
          <w:sz w:val="20"/>
        </w:rPr>
      </w:pPr>
      <w:r>
        <w:rPr>
          <w:rFonts w:ascii="Times New Roman" w:hAnsi="Times New Roman"/>
          <w:b/>
          <w:sz w:val="20"/>
        </w:rPr>
        <w:t>CANTON, Mass., September</w:t>
      </w:r>
      <w:r>
        <w:rPr>
          <w:rFonts w:ascii="Times New Roman" w:hAnsi="Times New Roman"/>
          <w:sz w:val="20"/>
        </w:rPr>
        <w:t> </w:t>
      </w:r>
      <w:r>
        <w:rPr>
          <w:rFonts w:ascii="Times New Roman" w:hAnsi="Times New Roman"/>
          <w:b/>
          <w:sz w:val="20"/>
        </w:rPr>
        <w:t>9, 2021 </w:t>
      </w:r>
      <w:r>
        <w:rPr>
          <w:rFonts w:ascii="Times New Roman" w:hAnsi="Times New Roman"/>
          <w:sz w:val="20"/>
        </w:rPr>
        <w:t xml:space="preserve"> Destination XL Group, Inc. (NASDAQ: DXLG), the leading omni-channel specialty retailer of Big + Tall mens clothing and shoes, today announced the pricing of an underwritten public offering of 5,733,076 shares of common stock by Red Mountain Partners, L.P. at a public offering price of $6.10 per share. The selling stockholder will receive all of the net proceeds from the offering. The Company is not offering any of its shares of common stock and will not receive any of the proceeds from the offering, but will bear certain costs associated with the sale of such shares, other than underwriting discounts and commissions and the expenses of the underwriters. The offering is expected to close on September 14, 2021, subject to customary closing conditions. </w:t>
      </w:r>
    </w:p>
    <w:p>
      <w:pPr>
        <w:pStyle w:val="TextBody"/>
        <w:spacing w:before="240" w:after="0"/>
        <w:jc w:val="left"/>
        <w:rPr>
          <w:rFonts w:ascii="Times New Roman" w:hAnsi="Times New Roman"/>
          <w:sz w:val="20"/>
        </w:rPr>
      </w:pPr>
      <w:r>
        <w:rPr>
          <w:rFonts w:ascii="Times New Roman" w:hAnsi="Times New Roman"/>
          <w:sz w:val="20"/>
        </w:rPr>
        <w:t xml:space="preserve">D.A. Davidson &amp; Co. and Craig-Hallum Capital Group LLC are acting as joint book-running managers for the offering. </w:t>
      </w:r>
    </w:p>
    <w:p>
      <w:pPr>
        <w:pStyle w:val="TextBody"/>
        <w:spacing w:before="240" w:after="0"/>
        <w:jc w:val="left"/>
        <w:rPr>
          <w:rFonts w:ascii="Times New Roman" w:hAnsi="Times New Roman"/>
          <w:sz w:val="20"/>
        </w:rPr>
      </w:pPr>
      <w:r>
        <w:rPr>
          <w:rFonts w:ascii="Times New Roman" w:hAnsi="Times New Roman"/>
          <w:sz w:val="20"/>
        </w:rPr>
        <w:t xml:space="preserve">A shelf registration statement on Form S-3 (including a base prospectus) (File No. 333-256990) relating to these securities has been filed with the Securities and Exchange Commission (SEC) and became effective on June 21, 2021. A preliminary prospectus supplement relating to these securities has been filed with the SEC. Before you invest, you should read the registration statement, the base prospectus, the preliminary prospectus supplement, and other documents filed with the SEC and incorporated by reference therein for more complete information about the Company and this offering. The offering is being made only by means of a prospectus and prospectus supplement. Copies of the prospectus and final prospectus supplement relating to this offering may be obtained, when available, by visiting the SECs website at www.sec.gov, or contacting the offices of D.A. Davidson &amp; Co. at Attention: Equity Syndicate, 8 Third Street North, Great Falls, MT 59401, telephone: (800) 332-5915, or by email: </w:t>
      </w:r>
      <w:r>
        <w:rPr>
          <w:rFonts w:ascii="Times New Roman" w:hAnsi="Times New Roman"/>
          <w:sz w:val="20"/>
          <w:u w:val="single"/>
        </w:rPr>
        <w:t>prospectusrequest@dadco.com</w:t>
      </w:r>
      <w:r>
        <w:rPr>
          <w:rFonts w:ascii="Times New Roman" w:hAnsi="Times New Roman"/>
          <w:sz w:val="20"/>
        </w:rPr>
        <w:t xml:space="preserve">, or by contacting Craig-Hallum Capital Group LLC, 222 South Ninth Street, Suite 350, Minneapolis, MN 55402, Attn: Equity Capital Markets, telephone: (612) 334-6300 or by e-mail: </w:t>
      </w:r>
      <w:r>
        <w:rPr>
          <w:rFonts w:ascii="Times New Roman" w:hAnsi="Times New Roman"/>
          <w:sz w:val="20"/>
          <w:u w:val="single"/>
        </w:rPr>
        <w:t>prospectus@chlm.com.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offer or sale of these securities in any state or jurisdiction in which such offer, solicitation or sale would be unlawful prior to the registration or qualification under the securities laws of any such state or jurisdiction.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Certain statements and information contained in this press release constitute forward-looking statements under the federal securities laws, including statements regarding the expected closing of the offering.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Such risks and uncertainties may include, but are not limited to, the risk that the offering of common stock may not close. </w:t>
      </w:r>
    </w:p>
    <w:p>
      <w:pPr>
        <w:pStyle w:val="TextBody"/>
        <w:spacing w:before="240" w:after="0"/>
        <w:jc w:val="left"/>
        <w:rPr>
          <w:rFonts w:ascii="Times New Roman" w:hAnsi="Times New Roman"/>
          <w:sz w:val="20"/>
        </w:rPr>
      </w:pPr>
      <w:r>
        <w:rPr>
          <w:rFonts w:ascii="Times New Roman" w:hAnsi="Times New Roman"/>
          <w:sz w:val="20"/>
        </w:rPr>
        <w:t xml:space="preserve">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w:t>
      </w:r>
    </w:p>
    <w:p>
      <w:pPr>
        <w:pStyle w:val="TextBody"/>
        <w:spacing w:before="360" w:after="0"/>
        <w:jc w:val="left"/>
        <w:rPr>
          <w:rFonts w:ascii="Times New Roman" w:hAnsi="Times New Roman"/>
          <w:b/>
          <w:sz w:val="20"/>
        </w:rPr>
      </w:pPr>
      <w:r>
        <w:rPr>
          <w:rFonts w:ascii="Times New Roman" w:hAnsi="Times New Roman"/>
          <w:b/>
          <w:sz w:val="20"/>
        </w:rPr>
        <w:t xml:space="preserve">About Destination XL Group, Inc. </w:t>
      </w:r>
    </w:p>
    <w:p>
      <w:pPr>
        <w:pStyle w:val="TextBody"/>
        <w:spacing w:before="120" w:after="0"/>
        <w:jc w:val="left"/>
        <w:rPr>
          <w:rFonts w:ascii="Times New Roman" w:hAnsi="Times New Roman"/>
          <w:sz w:val="20"/>
        </w:rPr>
      </w:pPr>
      <w:r>
        <w:rPr>
          <w:rFonts w:ascii="Times New Roman" w:hAnsi="Times New Roman"/>
          <w:sz w:val="20"/>
        </w:rPr>
        <w:t xml:space="preserve">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DXL.com, which offers a multi-channel solution similar to the DXL store experience with the most extensive selection of online products available anywhere for Big + Tall men. The Company is headquartered in Canton, Massachusetts. For more information, please visit the Companys investor relations website: https://investor.dxl.com. </w:t>
      </w:r>
    </w:p>
    <w:p>
      <w:pPr>
        <w:pStyle w:val="TextBody"/>
        <w:spacing w:before="240" w:after="0"/>
        <w:jc w:val="left"/>
        <w:rPr>
          <w:rFonts w:ascii="Times New Roman" w:hAnsi="Times New Roman"/>
          <w:sz w:val="20"/>
        </w:rPr>
      </w:pPr>
      <w:r>
        <w:rPr>
          <w:rFonts w:ascii="Times New Roman" w:hAnsi="Times New Roman"/>
          <w:sz w:val="20"/>
        </w:rPr>
        <w:t xml:space="preserve">Investor Contact: </w:t>
      </w:r>
    </w:p>
    <w:p>
      <w:pPr>
        <w:pStyle w:val="TextBody"/>
        <w:spacing w:before="0" w:after="0"/>
        <w:jc w:val="left"/>
        <w:rPr>
          <w:rFonts w:ascii="Times New Roman" w:hAnsi="Times New Roman"/>
          <w:sz w:val="20"/>
        </w:rPr>
      </w:pPr>
      <w:r>
        <w:rPr>
          <w:rFonts w:ascii="Times New Roman" w:hAnsi="Times New Roman"/>
          <w:sz w:val="20"/>
        </w:rPr>
        <w:t xml:space="preserve">Investor.relations@dxlg.com </w:t>
      </w:r>
    </w:p>
    <w:p>
      <w:pPr>
        <w:pStyle w:val="TextBody"/>
        <w:spacing w:before="0" w:after="0"/>
        <w:jc w:val="left"/>
        <w:rPr>
          <w:rFonts w:ascii="Times New Roman" w:hAnsi="Times New Roman"/>
          <w:sz w:val="20"/>
        </w:rPr>
      </w:pPr>
      <w:r>
        <w:rPr>
          <w:rFonts w:ascii="Times New Roman" w:hAnsi="Times New Roman"/>
          <w:sz w:val="20"/>
        </w:rPr>
        <w:t xml:space="preserve">603-933-0541 </w:t>
      </w:r>
    </w:p>
    <w:p>
      <w:pPr>
        <w:pStyle w:val="TextBody"/>
        <w:spacing w:before="240" w:after="0"/>
        <w:jc w:val="center"/>
        <w:rPr>
          <w:rFonts w:ascii="Times New Roman" w:hAnsi="Times New Roman"/>
          <w:sz w:val="20"/>
        </w:rPr>
      </w:pPr>
      <w:r>
        <w:rPr>
          <w:rFonts w:ascii="Times New Roman" w:hAnsi="Times New Roman"/>
          <w:sz w:val="20"/>
        </w:rPr>
        <w:t xml:space="preserve"># #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36</Pages>
  <Words>19409</Words>
  <CharactersWithSpaces>121260</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