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202565</wp:posOffset>
            </wp:positionH>
            <wp:positionV relativeFrom="page">
              <wp:posOffset>284480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9" w:lineRule="exact"/>
        <w:rPr>
          <w:sz w:val="24"/>
          <w:szCs w:val="24"/>
          <w:color w:val="auto"/>
        </w:rPr>
      </w:pPr>
    </w:p>
    <w:p>
      <w:pPr>
        <w:jc w:val="center"/>
        <w:ind w:right="-200"/>
        <w:spacing w:after="0"/>
        <w:rPr>
          <w:sz w:val="20"/>
          <w:szCs w:val="20"/>
          <w:color w:val="auto"/>
        </w:rPr>
      </w:pPr>
      <w:r>
        <w:rPr>
          <w:rFonts w:ascii="Arial" w:cs="Arial" w:eastAsia="Arial" w:hAnsi="Arial"/>
          <w:sz w:val="26"/>
          <w:szCs w:val="26"/>
          <w:b w:val="1"/>
          <w:bCs w:val="1"/>
          <w:color w:val="auto"/>
        </w:rPr>
        <w:t>SECURITIES AND EXCHANGE COMMISSION</w:t>
      </w:r>
    </w:p>
    <w:p>
      <w:pPr>
        <w:spacing w:after="0" w:line="6" w:lineRule="exact"/>
        <w:rPr>
          <w:sz w:val="24"/>
          <w:szCs w:val="24"/>
          <w:color w:val="auto"/>
        </w:rPr>
      </w:pPr>
    </w:p>
    <w:p>
      <w:pPr>
        <w:jc w:val="center"/>
        <w:ind w:right="-2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146050</wp:posOffset>
            </wp:positionV>
            <wp:extent cx="5486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7620"/>
                    </a:xfrm>
                    <a:prstGeom prst="rect">
                      <a:avLst/>
                    </a:prstGeom>
                    <a:noFill/>
                  </pic:spPr>
                </pic:pic>
              </a:graphicData>
            </a:graphic>
          </wp:anchor>
        </w:drawing>
      </w:r>
    </w:p>
    <w:p>
      <w:pPr>
        <w:spacing w:after="0" w:line="340" w:lineRule="exact"/>
        <w:rPr>
          <w:sz w:val="24"/>
          <w:szCs w:val="24"/>
          <w:color w:val="auto"/>
        </w:rPr>
      </w:pPr>
    </w:p>
    <w:p>
      <w:pPr>
        <w:jc w:val="center"/>
        <w:ind w:right="-200"/>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166370</wp:posOffset>
            </wp:positionV>
            <wp:extent cx="5486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7620"/>
                    </a:xfrm>
                    <a:prstGeom prst="rect">
                      <a:avLst/>
                    </a:prstGeom>
                    <a:noFill/>
                  </pic:spPr>
                </pic:pic>
              </a:graphicData>
            </a:graphic>
          </wp:anchor>
        </w:drawing>
      </w:r>
    </w:p>
    <w:p>
      <w:pPr>
        <w:spacing w:after="0" w:line="327" w:lineRule="exact"/>
        <w:rPr>
          <w:sz w:val="24"/>
          <w:szCs w:val="24"/>
          <w:color w:val="auto"/>
        </w:rPr>
      </w:pPr>
    </w:p>
    <w:p>
      <w:pPr>
        <w:jc w:val="center"/>
        <w:ind w:right="-200"/>
        <w:spacing w:after="0"/>
        <w:rPr>
          <w:sz w:val="20"/>
          <w:szCs w:val="20"/>
          <w:color w:val="auto"/>
        </w:rPr>
      </w:pPr>
      <w:r>
        <w:rPr>
          <w:rFonts w:ascii="Arial" w:cs="Arial" w:eastAsia="Arial" w:hAnsi="Arial"/>
          <w:sz w:val="20"/>
          <w:szCs w:val="20"/>
          <w:b w:val="1"/>
          <w:bCs w:val="1"/>
          <w:color w:val="auto"/>
        </w:rPr>
        <w:t>CURRENT REPORT</w:t>
      </w:r>
    </w:p>
    <w:p>
      <w:pPr>
        <w:spacing w:after="0" w:line="91" w:lineRule="exact"/>
        <w:rPr>
          <w:sz w:val="24"/>
          <w:szCs w:val="24"/>
          <w:color w:val="auto"/>
        </w:rPr>
      </w:pPr>
    </w:p>
    <w:p>
      <w:pPr>
        <w:jc w:val="center"/>
        <w:ind w:right="-20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1" w:lineRule="exact"/>
        <w:rPr>
          <w:sz w:val="24"/>
          <w:szCs w:val="24"/>
          <w:color w:val="auto"/>
        </w:rPr>
      </w:pPr>
    </w:p>
    <w:p>
      <w:pPr>
        <w:jc w:val="center"/>
        <w:ind w:right="-200"/>
        <w:spacing w:after="0"/>
        <w:rPr>
          <w:sz w:val="20"/>
          <w:szCs w:val="20"/>
          <w:color w:val="auto"/>
        </w:rPr>
      </w:pPr>
      <w:r>
        <w:rPr>
          <w:rFonts w:ascii="Arial" w:cs="Arial" w:eastAsia="Arial" w:hAnsi="Arial"/>
          <w:sz w:val="20"/>
          <w:szCs w:val="20"/>
          <w:b w:val="1"/>
          <w:bCs w:val="1"/>
          <w:color w:val="auto"/>
        </w:rPr>
        <w:t>Date of Report (Date of earliest event reported): April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160020</wp:posOffset>
            </wp:positionV>
            <wp:extent cx="548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7620"/>
                    </a:xfrm>
                    <a:prstGeom prst="rect">
                      <a:avLst/>
                    </a:prstGeom>
                    <a:noFill/>
                  </pic:spPr>
                </pic:pic>
              </a:graphicData>
            </a:graphic>
          </wp:anchor>
        </w:drawing>
      </w:r>
    </w:p>
    <w:p>
      <w:pPr>
        <w:spacing w:after="0" w:line="362" w:lineRule="exact"/>
        <w:rPr>
          <w:sz w:val="24"/>
          <w:szCs w:val="24"/>
          <w:color w:val="auto"/>
        </w:rPr>
      </w:pPr>
    </w:p>
    <w:p>
      <w:pPr>
        <w:jc w:val="center"/>
        <w:ind w:right="-200"/>
        <w:spacing w:after="0"/>
        <w:rPr>
          <w:sz w:val="20"/>
          <w:szCs w:val="20"/>
          <w:color w:val="auto"/>
        </w:rPr>
      </w:pPr>
      <w:r>
        <w:rPr>
          <w:rFonts w:ascii="Arial" w:cs="Arial" w:eastAsia="Arial" w:hAnsi="Arial"/>
          <w:sz w:val="26"/>
          <w:szCs w:val="26"/>
          <w:b w:val="1"/>
          <w:bCs w:val="1"/>
          <w:color w:val="auto"/>
        </w:rPr>
        <w:t>DESTINATION XL GROUP, INC.</w:t>
      </w:r>
    </w:p>
    <w:p>
      <w:pPr>
        <w:spacing w:after="0" w:line="41" w:lineRule="exact"/>
        <w:rPr>
          <w:sz w:val="24"/>
          <w:szCs w:val="24"/>
          <w:color w:val="auto"/>
        </w:rPr>
      </w:pPr>
    </w:p>
    <w:p>
      <w:pPr>
        <w:jc w:val="center"/>
        <w:ind w:right="-20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146685</wp:posOffset>
            </wp:positionV>
            <wp:extent cx="5486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7620"/>
                    </a:xfrm>
                    <a:prstGeom prst="rect">
                      <a:avLst/>
                    </a:prstGeom>
                    <a:noFill/>
                  </pic:spPr>
                </pic:pic>
              </a:graphicData>
            </a:graphic>
          </wp:anchor>
        </w:drawing>
      </w:r>
    </w:p>
    <w:p>
      <w:pPr>
        <w:spacing w:after="0" w:line="383" w:lineRule="exact"/>
        <w:rPr>
          <w:sz w:val="24"/>
          <w:szCs w:val="24"/>
          <w:color w:val="auto"/>
        </w:rPr>
      </w:pPr>
    </w:p>
    <w:tbl>
      <w:tblPr>
        <w:tblLayout w:type="fixed"/>
        <w:tblInd w:w="821" w:type="dxa"/>
        <w:tblCellMar>
          <w:top w:w="0" w:type="dxa"/>
          <w:left w:w="0" w:type="dxa"/>
          <w:bottom w:w="0" w:type="dxa"/>
          <w:right w:w="0" w:type="dxa"/>
        </w:tblCellMar>
      </w:tblPr>
      <w:tr>
        <w:trPr>
          <w:trHeight w:val="234"/>
        </w:trPr>
        <w:tc>
          <w:tcPr>
            <w:tcW w:w="3100" w:type="dxa"/>
            <w:vAlign w:val="bottom"/>
          </w:tcPr>
          <w:p>
            <w:pPr>
              <w:jc w:val="center"/>
              <w:ind w:right="905"/>
              <w:spacing w:after="0"/>
              <w:rPr>
                <w:sz w:val="20"/>
                <w:szCs w:val="20"/>
                <w:color w:val="auto"/>
              </w:rPr>
            </w:pPr>
            <w:r>
              <w:rPr>
                <w:rFonts w:ascii="Arial" w:cs="Arial" w:eastAsia="Arial" w:hAnsi="Arial"/>
                <w:sz w:val="20"/>
                <w:szCs w:val="20"/>
                <w:b w:val="1"/>
                <w:bCs w:val="1"/>
                <w:color w:val="auto"/>
                <w:w w:val="91"/>
              </w:rPr>
              <w:t>Delaware</w:t>
            </w:r>
          </w:p>
        </w:tc>
        <w:tc>
          <w:tcPr>
            <w:tcW w:w="3700" w:type="dxa"/>
            <w:vAlign w:val="bottom"/>
          </w:tcPr>
          <w:p>
            <w:pPr>
              <w:jc w:val="right"/>
              <w:ind w:right="1540"/>
              <w:spacing w:after="0"/>
              <w:rPr>
                <w:sz w:val="20"/>
                <w:szCs w:val="20"/>
                <w:color w:val="auto"/>
              </w:rPr>
            </w:pPr>
            <w:r>
              <w:rPr>
                <w:rFonts w:ascii="Arial" w:cs="Arial" w:eastAsia="Arial" w:hAnsi="Arial"/>
                <w:sz w:val="20"/>
                <w:szCs w:val="20"/>
                <w:b w:val="1"/>
                <w:bCs w:val="1"/>
                <w:color w:val="auto"/>
              </w:rPr>
              <w:t>01-34219</w:t>
            </w:r>
          </w:p>
        </w:tc>
        <w:tc>
          <w:tcPr>
            <w:tcW w:w="2240" w:type="dxa"/>
            <w:vAlign w:val="bottom"/>
          </w:tcPr>
          <w:p>
            <w:pPr>
              <w:jc w:val="right"/>
              <w:spacing w:after="0"/>
              <w:rPr>
                <w:sz w:val="20"/>
                <w:szCs w:val="20"/>
                <w:color w:val="auto"/>
              </w:rPr>
            </w:pPr>
            <w:r>
              <w:rPr>
                <w:rFonts w:ascii="Arial" w:cs="Arial" w:eastAsia="Arial" w:hAnsi="Arial"/>
                <w:sz w:val="20"/>
                <w:szCs w:val="20"/>
                <w:b w:val="1"/>
                <w:bCs w:val="1"/>
                <w:color w:val="auto"/>
              </w:rPr>
              <w:t>04-2623104</w:t>
            </w:r>
          </w:p>
        </w:tc>
        <w:tc>
          <w:tcPr>
            <w:tcW w:w="0" w:type="dxa"/>
            <w:vAlign w:val="bottom"/>
          </w:tcPr>
          <w:p>
            <w:pPr>
              <w:spacing w:after="0"/>
              <w:rPr>
                <w:sz w:val="1"/>
                <w:szCs w:val="1"/>
                <w:color w:val="auto"/>
              </w:rPr>
            </w:pPr>
          </w:p>
        </w:tc>
      </w:tr>
      <w:tr>
        <w:trPr>
          <w:trHeight w:val="136"/>
        </w:trPr>
        <w:tc>
          <w:tcPr>
            <w:tcW w:w="3100" w:type="dxa"/>
            <w:vAlign w:val="bottom"/>
          </w:tcPr>
          <w:p>
            <w:pPr>
              <w:jc w:val="center"/>
              <w:ind w:right="925"/>
              <w:spacing w:after="0" w:line="136" w:lineRule="exact"/>
              <w:rPr>
                <w:sz w:val="20"/>
                <w:szCs w:val="20"/>
                <w:color w:val="auto"/>
              </w:rPr>
            </w:pPr>
            <w:r>
              <w:rPr>
                <w:rFonts w:ascii="Arial" w:cs="Arial" w:eastAsia="Arial" w:hAnsi="Arial"/>
                <w:sz w:val="12"/>
                <w:szCs w:val="12"/>
                <w:b w:val="1"/>
                <w:bCs w:val="1"/>
                <w:color w:val="auto"/>
                <w:w w:val="93"/>
              </w:rPr>
              <w:t>(State or Other Jurisdiction</w:t>
            </w:r>
          </w:p>
        </w:tc>
        <w:tc>
          <w:tcPr>
            <w:tcW w:w="3700" w:type="dxa"/>
            <w:vAlign w:val="bottom"/>
          </w:tcPr>
          <w:p>
            <w:pPr>
              <w:spacing w:after="0"/>
              <w:rPr>
                <w:sz w:val="11"/>
                <w:szCs w:val="11"/>
                <w:color w:val="auto"/>
              </w:rPr>
            </w:pPr>
          </w:p>
        </w:tc>
        <w:tc>
          <w:tcPr>
            <w:tcW w:w="2240" w:type="dxa"/>
            <w:vAlign w:val="bottom"/>
          </w:tcPr>
          <w:p>
            <w:pPr>
              <w:jc w:val="center"/>
              <w:ind w:left="1204"/>
              <w:spacing w:after="0" w:line="136" w:lineRule="exact"/>
              <w:rPr>
                <w:sz w:val="20"/>
                <w:szCs w:val="20"/>
                <w:color w:val="auto"/>
              </w:rPr>
            </w:pPr>
            <w:r>
              <w:rPr>
                <w:rFonts w:ascii="Arial" w:cs="Arial" w:eastAsia="Arial" w:hAnsi="Arial"/>
                <w:sz w:val="12"/>
                <w:szCs w:val="12"/>
                <w:b w:val="1"/>
                <w:bCs w:val="1"/>
                <w:color w:val="auto"/>
                <w:w w:val="97"/>
              </w:rPr>
              <w:t>(IRS Employer</w:t>
            </w:r>
          </w:p>
        </w:tc>
        <w:tc>
          <w:tcPr>
            <w:tcW w:w="0" w:type="dxa"/>
            <w:vAlign w:val="bottom"/>
          </w:tcPr>
          <w:p>
            <w:pPr>
              <w:spacing w:after="0"/>
              <w:rPr>
                <w:sz w:val="1"/>
                <w:szCs w:val="1"/>
                <w:color w:val="auto"/>
              </w:rPr>
            </w:pPr>
          </w:p>
        </w:tc>
      </w:tr>
      <w:tr>
        <w:trPr>
          <w:trHeight w:val="160"/>
        </w:trPr>
        <w:tc>
          <w:tcPr>
            <w:tcW w:w="3100" w:type="dxa"/>
            <w:vAlign w:val="bottom"/>
          </w:tcPr>
          <w:p>
            <w:pPr>
              <w:jc w:val="center"/>
              <w:ind w:right="905"/>
              <w:spacing w:after="0"/>
              <w:rPr>
                <w:sz w:val="20"/>
                <w:szCs w:val="20"/>
                <w:color w:val="auto"/>
              </w:rPr>
            </w:pPr>
            <w:r>
              <w:rPr>
                <w:rFonts w:ascii="Arial" w:cs="Arial" w:eastAsia="Arial" w:hAnsi="Arial"/>
                <w:sz w:val="12"/>
                <w:szCs w:val="12"/>
                <w:b w:val="1"/>
                <w:bCs w:val="1"/>
                <w:color w:val="auto"/>
                <w:w w:val="95"/>
              </w:rPr>
              <w:t>of Incorporation)</w:t>
            </w:r>
          </w:p>
        </w:tc>
        <w:tc>
          <w:tcPr>
            <w:tcW w:w="3700" w:type="dxa"/>
            <w:vAlign w:val="bottom"/>
          </w:tcPr>
          <w:p>
            <w:pPr>
              <w:jc w:val="center"/>
              <w:ind w:right="220"/>
              <w:spacing w:after="0"/>
              <w:rPr>
                <w:sz w:val="20"/>
                <w:szCs w:val="20"/>
                <w:color w:val="auto"/>
              </w:rPr>
            </w:pPr>
            <w:r>
              <w:rPr>
                <w:rFonts w:ascii="Arial" w:cs="Arial" w:eastAsia="Arial" w:hAnsi="Arial"/>
                <w:sz w:val="12"/>
                <w:szCs w:val="12"/>
                <w:b w:val="1"/>
                <w:bCs w:val="1"/>
                <w:color w:val="auto"/>
                <w:w w:val="94"/>
              </w:rPr>
              <w:t>(Commission File Number)</w:t>
            </w:r>
          </w:p>
        </w:tc>
        <w:tc>
          <w:tcPr>
            <w:tcW w:w="2240" w:type="dxa"/>
            <w:vAlign w:val="bottom"/>
          </w:tcPr>
          <w:p>
            <w:pPr>
              <w:jc w:val="center"/>
              <w:ind w:left="1204"/>
              <w:spacing w:after="0"/>
              <w:rPr>
                <w:sz w:val="20"/>
                <w:szCs w:val="20"/>
                <w:color w:val="auto"/>
              </w:rPr>
            </w:pPr>
            <w:r>
              <w:rPr>
                <w:rFonts w:ascii="Arial" w:cs="Arial" w:eastAsia="Arial" w:hAnsi="Arial"/>
                <w:sz w:val="12"/>
                <w:szCs w:val="12"/>
                <w:b w:val="1"/>
                <w:bCs w:val="1"/>
                <w:color w:val="auto"/>
                <w:w w:val="94"/>
              </w:rPr>
              <w:t>Identification No.)</w:t>
            </w:r>
          </w:p>
        </w:tc>
        <w:tc>
          <w:tcPr>
            <w:tcW w:w="0" w:type="dxa"/>
            <w:vAlign w:val="bottom"/>
          </w:tcPr>
          <w:p>
            <w:pPr>
              <w:spacing w:after="0"/>
              <w:rPr>
                <w:sz w:val="1"/>
                <w:szCs w:val="1"/>
                <w:color w:val="auto"/>
              </w:rPr>
            </w:pPr>
          </w:p>
        </w:tc>
      </w:tr>
      <w:tr>
        <w:trPr>
          <w:trHeight w:val="392"/>
        </w:trPr>
        <w:tc>
          <w:tcPr>
            <w:tcW w:w="3100" w:type="dxa"/>
            <w:vAlign w:val="bottom"/>
          </w:tcPr>
          <w:p>
            <w:pPr>
              <w:jc w:val="center"/>
              <w:ind w:right="905"/>
              <w:spacing w:after="0"/>
              <w:rPr>
                <w:sz w:val="20"/>
                <w:szCs w:val="20"/>
                <w:color w:val="auto"/>
              </w:rPr>
            </w:pPr>
            <w:r>
              <w:rPr>
                <w:rFonts w:ascii="Arial" w:cs="Arial" w:eastAsia="Arial" w:hAnsi="Arial"/>
                <w:sz w:val="16"/>
                <w:szCs w:val="16"/>
                <w:b w:val="1"/>
                <w:bCs w:val="1"/>
                <w:color w:val="auto"/>
                <w:w w:val="93"/>
              </w:rPr>
              <w:t>555 Turnpike Street</w:t>
            </w:r>
            <w:r>
              <w:rPr>
                <w:rFonts w:ascii="Arial" w:cs="Arial" w:eastAsia="Arial" w:hAnsi="Arial"/>
                <w:sz w:val="19"/>
                <w:szCs w:val="19"/>
                <w:b w:val="1"/>
                <w:bCs w:val="1"/>
                <w:color w:val="auto"/>
                <w:w w:val="93"/>
              </w:rPr>
              <w:t>,</w:t>
            </w:r>
          </w:p>
        </w:tc>
        <w:tc>
          <w:tcPr>
            <w:tcW w:w="3700" w:type="dxa"/>
            <w:vAlign w:val="bottom"/>
          </w:tcPr>
          <w:p>
            <w:pPr>
              <w:spacing w:after="0"/>
              <w:rPr>
                <w:sz w:val="24"/>
                <w:szCs w:val="24"/>
                <w:color w:val="auto"/>
              </w:rPr>
            </w:pPr>
          </w:p>
        </w:tc>
        <w:tc>
          <w:tcPr>
            <w:tcW w:w="2240" w:type="dxa"/>
            <w:vAlign w:val="bottom"/>
            <w:vMerge w:val="restart"/>
          </w:tcPr>
          <w:p>
            <w:pPr>
              <w:jc w:val="right"/>
              <w:ind w:right="164"/>
              <w:spacing w:after="0"/>
              <w:rPr>
                <w:sz w:val="20"/>
                <w:szCs w:val="20"/>
                <w:color w:val="auto"/>
              </w:rPr>
            </w:pPr>
            <w:r>
              <w:rPr>
                <w:rFonts w:ascii="Arial" w:cs="Arial" w:eastAsia="Arial" w:hAnsi="Arial"/>
                <w:sz w:val="20"/>
                <w:szCs w:val="20"/>
                <w:b w:val="1"/>
                <w:bCs w:val="1"/>
                <w:color w:val="auto"/>
              </w:rPr>
              <w:t>02021</w:t>
            </w:r>
          </w:p>
        </w:tc>
        <w:tc>
          <w:tcPr>
            <w:tcW w:w="0" w:type="dxa"/>
            <w:vAlign w:val="bottom"/>
          </w:tcPr>
          <w:p>
            <w:pPr>
              <w:spacing w:after="0"/>
              <w:rPr>
                <w:sz w:val="1"/>
                <w:szCs w:val="1"/>
                <w:color w:val="auto"/>
              </w:rPr>
            </w:pPr>
          </w:p>
        </w:tc>
      </w:tr>
      <w:tr>
        <w:trPr>
          <w:trHeight w:val="201"/>
        </w:trPr>
        <w:tc>
          <w:tcPr>
            <w:tcW w:w="3100" w:type="dxa"/>
            <w:vAlign w:val="bottom"/>
          </w:tcPr>
          <w:p>
            <w:pPr>
              <w:jc w:val="center"/>
              <w:ind w:right="925"/>
              <w:spacing w:after="0"/>
              <w:rPr>
                <w:sz w:val="20"/>
                <w:szCs w:val="20"/>
                <w:color w:val="auto"/>
              </w:rPr>
            </w:pPr>
            <w:r>
              <w:rPr>
                <w:rFonts w:ascii="Arial" w:cs="Arial" w:eastAsia="Arial" w:hAnsi="Arial"/>
                <w:sz w:val="16"/>
                <w:szCs w:val="16"/>
                <w:b w:val="1"/>
                <w:bCs w:val="1"/>
                <w:color w:val="auto"/>
                <w:w w:val="90"/>
              </w:rPr>
              <w:t>Canton, Massachusetts</w:t>
            </w:r>
          </w:p>
        </w:tc>
        <w:tc>
          <w:tcPr>
            <w:tcW w:w="370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100" w:type="dxa"/>
            <w:vAlign w:val="bottom"/>
          </w:tcPr>
          <w:p>
            <w:pPr>
              <w:jc w:val="center"/>
              <w:ind w:right="925"/>
              <w:spacing w:after="0"/>
              <w:rPr>
                <w:sz w:val="20"/>
                <w:szCs w:val="20"/>
                <w:color w:val="auto"/>
              </w:rPr>
            </w:pPr>
            <w:r>
              <w:rPr>
                <w:rFonts w:ascii="Arial" w:cs="Arial" w:eastAsia="Arial" w:hAnsi="Arial"/>
                <w:sz w:val="12"/>
                <w:szCs w:val="12"/>
                <w:b w:val="1"/>
                <w:bCs w:val="1"/>
                <w:color w:val="auto"/>
                <w:w w:val="92"/>
              </w:rPr>
              <w:t>(Address of Principal Executive Offices)</w:t>
            </w:r>
          </w:p>
        </w:tc>
        <w:tc>
          <w:tcPr>
            <w:tcW w:w="3700" w:type="dxa"/>
            <w:vAlign w:val="bottom"/>
          </w:tcPr>
          <w:p>
            <w:pPr>
              <w:spacing w:after="0"/>
              <w:rPr>
                <w:sz w:val="13"/>
                <w:szCs w:val="13"/>
                <w:color w:val="auto"/>
              </w:rPr>
            </w:pPr>
          </w:p>
        </w:tc>
        <w:tc>
          <w:tcPr>
            <w:tcW w:w="2240" w:type="dxa"/>
            <w:vAlign w:val="bottom"/>
          </w:tcPr>
          <w:p>
            <w:pPr>
              <w:jc w:val="center"/>
              <w:ind w:left="1184"/>
              <w:spacing w:after="0"/>
              <w:rPr>
                <w:sz w:val="20"/>
                <w:szCs w:val="20"/>
                <w:color w:val="auto"/>
              </w:rPr>
            </w:pPr>
            <w:r>
              <w:rPr>
                <w:rFonts w:ascii="Arial" w:cs="Arial" w:eastAsia="Arial" w:hAnsi="Arial"/>
                <w:sz w:val="12"/>
                <w:szCs w:val="12"/>
                <w:b w:val="1"/>
                <w:bCs w:val="1"/>
                <w:color w:val="auto"/>
                <w:w w:val="97"/>
              </w:rPr>
              <w:t>(Zip Code)</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0"/>
        <w:spacing w:after="0"/>
        <w:rPr>
          <w:sz w:val="20"/>
          <w:szCs w:val="20"/>
          <w:color w:val="auto"/>
        </w:rPr>
      </w:pPr>
      <w:r>
        <w:rPr>
          <w:rFonts w:ascii="Arial" w:cs="Arial" w:eastAsia="Arial" w:hAnsi="Arial"/>
          <w:sz w:val="20"/>
          <w:szCs w:val="20"/>
          <w:b w:val="1"/>
          <w:bCs w:val="1"/>
          <w:color w:val="auto"/>
        </w:rPr>
        <w:t xml:space="preserve">Registrant’s Telephone Number, Including Area Code: </w:t>
      </w:r>
      <w:r>
        <w:rPr>
          <w:rFonts w:ascii="Arial" w:cs="Arial" w:eastAsia="Arial" w:hAnsi="Arial"/>
          <w:sz w:val="16"/>
          <w:szCs w:val="16"/>
          <w:b w:val="1"/>
          <w:bCs w:val="1"/>
          <w:color w:val="auto"/>
        </w:rPr>
        <w:t>(781) 828-9300</w:t>
      </w:r>
    </w:p>
    <w:p>
      <w:pPr>
        <w:spacing w:after="0" w:line="104" w:lineRule="exact"/>
        <w:rPr>
          <w:sz w:val="24"/>
          <w:szCs w:val="24"/>
          <w:color w:val="auto"/>
        </w:rPr>
      </w:pPr>
    </w:p>
    <w:p>
      <w:pPr>
        <w:jc w:val="center"/>
        <w:ind w:right="-200"/>
        <w:spacing w:after="0"/>
        <w:rPr>
          <w:sz w:val="20"/>
          <w:szCs w:val="20"/>
          <w:color w:val="auto"/>
        </w:rPr>
      </w:pPr>
      <w:r>
        <w:rPr>
          <w:rFonts w:ascii="Arial" w:cs="Arial" w:eastAsia="Arial" w:hAnsi="Arial"/>
          <w:sz w:val="15"/>
          <w:szCs w:val="15"/>
          <w:b w:val="1"/>
          <w:bCs w:val="1"/>
          <w:color w:val="auto"/>
        </w:rPr>
        <w:t>Not Applicable</w:t>
      </w:r>
    </w:p>
    <w:p>
      <w:pPr>
        <w:spacing w:after="0" w:line="19" w:lineRule="exact"/>
        <w:rPr>
          <w:sz w:val="24"/>
          <w:szCs w:val="24"/>
          <w:color w:val="auto"/>
        </w:rPr>
      </w:pPr>
    </w:p>
    <w:p>
      <w:pPr>
        <w:jc w:val="center"/>
        <w:ind w:right="-2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142875</wp:posOffset>
            </wp:positionV>
            <wp:extent cx="548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7620"/>
                    </a:xfrm>
                    <a:prstGeom prst="rect">
                      <a:avLst/>
                    </a:prstGeom>
                    <a:noFill/>
                  </pic:spPr>
                </pic:pic>
              </a:graphicData>
            </a:graphic>
          </wp:anchor>
        </w:drawing>
      </w:r>
    </w:p>
    <w:p>
      <w:pPr>
        <w:spacing w:after="0" w:line="353" w:lineRule="exact"/>
        <w:rPr>
          <w:sz w:val="24"/>
          <w:szCs w:val="24"/>
          <w:color w:val="auto"/>
        </w:rPr>
      </w:pPr>
    </w:p>
    <w:p>
      <w:pPr>
        <w:ind w:left="1"/>
        <w:spacing w:after="0" w:line="28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50" w:lineRule="exact"/>
        <w:rPr>
          <w:sz w:val="24"/>
          <w:szCs w:val="24"/>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2" w:lineRule="exact"/>
        <w:rPr>
          <w:rFonts w:ascii="MS PGothic" w:cs="MS PGothic" w:eastAsia="MS PGothic" w:hAnsi="MS PGothic"/>
          <w:sz w:val="16"/>
          <w:szCs w:val="16"/>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2" w:lineRule="exact"/>
        <w:rPr>
          <w:rFonts w:ascii="MS PGothic" w:cs="MS PGothic" w:eastAsia="MS PGothic" w:hAnsi="MS PGothic"/>
          <w:sz w:val="16"/>
          <w:szCs w:val="16"/>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2" w:lineRule="exact"/>
        <w:rPr>
          <w:rFonts w:ascii="MS PGothic" w:cs="MS PGothic" w:eastAsia="MS PGothic" w:hAnsi="MS PGothic"/>
          <w:sz w:val="16"/>
          <w:szCs w:val="16"/>
          <w:color w:val="auto"/>
        </w:rPr>
      </w:pPr>
    </w:p>
    <w:p>
      <w:pPr>
        <w:ind w:left="581" w:hanging="581"/>
        <w:spacing w:after="0"/>
        <w:tabs>
          <w:tab w:leader="none" w:pos="5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3" w:lineRule="exact"/>
        <w:rPr>
          <w:sz w:val="24"/>
          <w:szCs w:val="24"/>
          <w:color w:val="auto"/>
        </w:rPr>
      </w:pPr>
    </w:p>
    <w:p>
      <w:pPr>
        <w:ind w:left="1"/>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2444115</wp:posOffset>
            </wp:positionH>
            <wp:positionV relativeFrom="paragraph">
              <wp:posOffset>13335</wp:posOffset>
            </wp:positionV>
            <wp:extent cx="7620" cy="37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0" cy="375920"/>
                    </a:xfrm>
                    <a:prstGeom prst="rect">
                      <a:avLst/>
                    </a:prstGeom>
                    <a:noFill/>
                  </pic:spPr>
                </pic:pic>
              </a:graphicData>
            </a:graphic>
          </wp:anchor>
        </w:drawing>
      </w:r>
    </w:p>
    <w:tbl>
      <w:tblPr>
        <w:tblLayout w:type="fixed"/>
        <w:tblInd w:w="11" w:type="dxa"/>
        <w:tblCellMar>
          <w:top w:w="0" w:type="dxa"/>
          <w:left w:w="0" w:type="dxa"/>
          <w:bottom w:w="0" w:type="dxa"/>
          <w:right w:w="0" w:type="dxa"/>
        </w:tblCellMar>
      </w:tblPr>
      <w:tr>
        <w:trPr>
          <w:trHeight w:val="276"/>
        </w:trPr>
        <w:tc>
          <w:tcPr>
            <w:tcW w:w="2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Title of each class</w:t>
            </w:r>
          </w:p>
        </w:tc>
        <w:tc>
          <w:tcPr>
            <w:tcW w:w="37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w w:val="88"/>
              </w:rPr>
              <w:t>Trading symbol(s)Name of each exchange on which registered</w:t>
            </w:r>
          </w:p>
        </w:tc>
      </w:tr>
      <w:tr>
        <w:trPr>
          <w:trHeight w:val="30"/>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090" w:type="dxa"/>
            <w:vAlign w:val="bottom"/>
            <w:tcBorders>
              <w:bottom w:val="single" w:sz="8" w:color="auto"/>
            </w:tcBorders>
          </w:tcPr>
          <w:p>
            <w:pPr>
              <w:spacing w:after="0"/>
              <w:rPr>
                <w:sz w:val="2"/>
                <w:szCs w:val="2"/>
                <w:color w:val="auto"/>
              </w:rPr>
            </w:pPr>
          </w:p>
        </w:tc>
        <w:tc>
          <w:tcPr>
            <w:tcW w:w="2650" w:type="dxa"/>
            <w:vAlign w:val="bottom"/>
            <w:tcBorders>
              <w:bottom w:val="single" w:sz="8" w:color="auto"/>
              <w:right w:val="single" w:sz="8" w:color="auto"/>
            </w:tcBorders>
          </w:tcPr>
          <w:p>
            <w:pPr>
              <w:spacing w:after="0"/>
              <w:rPr>
                <w:sz w:val="2"/>
                <w:szCs w:val="2"/>
                <w:color w:val="auto"/>
              </w:rPr>
            </w:pPr>
          </w:p>
        </w:tc>
      </w:tr>
      <w:tr>
        <w:trPr>
          <w:trHeight w:val="180"/>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Common Stock, $0.01 par value</w:t>
            </w:r>
          </w:p>
        </w:tc>
        <w:tc>
          <w:tcPr>
            <w:tcW w:w="1090" w:type="dxa"/>
            <w:vAlign w:val="bottom"/>
          </w:tcPr>
          <w:p>
            <w:pPr>
              <w:ind w:left="340"/>
              <w:spacing w:after="0"/>
              <w:rPr>
                <w:sz w:val="20"/>
                <w:szCs w:val="20"/>
                <w:color w:val="auto"/>
              </w:rPr>
            </w:pPr>
            <w:r>
              <w:rPr>
                <w:rFonts w:ascii="Arial" w:cs="Arial" w:eastAsia="Arial" w:hAnsi="Arial"/>
                <w:sz w:val="15"/>
                <w:szCs w:val="15"/>
                <w:color w:val="auto"/>
              </w:rPr>
              <w:t>DXLG</w:t>
            </w:r>
          </w:p>
        </w:tc>
        <w:tc>
          <w:tcPr>
            <w:tcW w:w="2650" w:type="dxa"/>
            <w:vAlign w:val="bottom"/>
            <w:tcBorders>
              <w:right w:val="single" w:sz="8" w:color="auto"/>
            </w:tcBorders>
          </w:tcPr>
          <w:p>
            <w:pPr>
              <w:ind w:left="430"/>
              <w:spacing w:after="0"/>
              <w:rPr>
                <w:sz w:val="20"/>
                <w:szCs w:val="20"/>
                <w:color w:val="auto"/>
              </w:rPr>
            </w:pPr>
            <w:r>
              <w:rPr>
                <w:rFonts w:ascii="Arial" w:cs="Arial" w:eastAsia="Arial" w:hAnsi="Arial"/>
                <w:sz w:val="15"/>
                <w:szCs w:val="15"/>
                <w:color w:val="auto"/>
              </w:rPr>
              <w:t>NASDAQ Stock Market LLC</w:t>
            </w:r>
          </w:p>
        </w:tc>
      </w:tr>
      <w:tr>
        <w:trPr>
          <w:trHeight w:val="59"/>
        </w:trPr>
        <w:tc>
          <w:tcPr>
            <w:tcW w:w="2760" w:type="dxa"/>
            <w:vAlign w:val="bottom"/>
            <w:tcBorders>
              <w:left w:val="single" w:sz="8" w:color="auto"/>
              <w:bottom w:val="single" w:sz="8" w:color="auto"/>
              <w:right w:val="single" w:sz="8" w:color="auto"/>
            </w:tcBorders>
          </w:tcPr>
          <w:p>
            <w:pPr>
              <w:spacing w:after="0"/>
              <w:rPr>
                <w:sz w:val="5"/>
                <w:szCs w:val="5"/>
                <w:color w:val="auto"/>
              </w:rPr>
            </w:pPr>
          </w:p>
        </w:tc>
        <w:tc>
          <w:tcPr>
            <w:tcW w:w="1090" w:type="dxa"/>
            <w:vAlign w:val="bottom"/>
            <w:tcBorders>
              <w:bottom w:val="single" w:sz="8" w:color="auto"/>
            </w:tcBorders>
          </w:tcPr>
          <w:p>
            <w:pPr>
              <w:spacing w:after="0"/>
              <w:rPr>
                <w:sz w:val="5"/>
                <w:szCs w:val="5"/>
                <w:color w:val="auto"/>
              </w:rPr>
            </w:pPr>
          </w:p>
        </w:tc>
        <w:tc>
          <w:tcPr>
            <w:tcW w:w="2650" w:type="dxa"/>
            <w:vAlign w:val="bottom"/>
            <w:tcBorders>
              <w:bottom w:val="single" w:sz="8" w:color="auto"/>
              <w:right w:val="single" w:sz="8" w:color="auto"/>
            </w:tcBorders>
          </w:tcPr>
          <w:p>
            <w:pPr>
              <w:spacing w:after="0"/>
              <w:rPr>
                <w:sz w:val="5"/>
                <w:szCs w:val="5"/>
                <w:color w:val="auto"/>
              </w:rPr>
            </w:pPr>
          </w:p>
        </w:tc>
      </w:tr>
    </w:tbl>
    <w:p>
      <w:pPr>
        <w:spacing w:after="0" w:line="86" w:lineRule="exact"/>
        <w:rPr>
          <w:sz w:val="24"/>
          <w:szCs w:val="24"/>
          <w:color w:val="auto"/>
        </w:rPr>
      </w:pPr>
    </w:p>
    <w:p>
      <w:pPr>
        <w:ind w:left="1" w:right="100"/>
        <w:spacing w:after="0" w:line="28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ind w:left="1" w:right="2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5962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041"/>
          </w:cols>
          <w:pgMar w:left="319" w:top="566" w:right="5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196" w:lineRule="exact"/>
        <w:rPr>
          <w:sz w:val="20"/>
          <w:szCs w:val="20"/>
          <w:color w:val="auto"/>
        </w:rPr>
      </w:pPr>
    </w:p>
    <w:p>
      <w:pPr>
        <w:jc w:val="both"/>
        <w:ind w:right="320"/>
        <w:spacing w:after="0" w:line="307" w:lineRule="auto"/>
        <w:rPr>
          <w:sz w:val="20"/>
          <w:szCs w:val="20"/>
          <w:color w:val="auto"/>
        </w:rPr>
      </w:pPr>
      <w:r>
        <w:rPr>
          <w:rFonts w:ascii="Arial" w:cs="Arial" w:eastAsia="Arial" w:hAnsi="Arial"/>
          <w:sz w:val="18"/>
          <w:szCs w:val="18"/>
          <w:color w:val="auto"/>
        </w:rPr>
        <w:t>On April 15, 2020, Destination XL Group, Inc. (the “Company”) amended its credit facility with Bank of America, N.A, as amended (the “Credit Agreement”) by executing the Third Amendment to Seventh Amended and Restated Credit Agreement (the “Third Amendment”).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Third Amendment amends, among other things:</w:t>
      </w:r>
    </w:p>
    <w:p>
      <w:pPr>
        <w:spacing w:after="0" w:line="189" w:lineRule="exact"/>
        <w:rPr>
          <w:sz w:val="20"/>
          <w:szCs w:val="20"/>
          <w:color w:val="auto"/>
        </w:rPr>
      </w:pPr>
    </w:p>
    <w:p>
      <w:pPr>
        <w:ind w:left="860" w:right="320" w:hanging="430"/>
        <w:spacing w:after="0" w:line="300"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definition of “Permitted Indebtedness” to permit the Company the ability to enter into promissory notes with merchandise vendors in satisfaction of outstanding accounts payable for existing goods, in an aggregate amount not to exceed $15.0 million;</w:t>
      </w:r>
    </w:p>
    <w:p>
      <w:pPr>
        <w:ind w:left="860" w:right="240" w:hanging="430"/>
        <w:spacing w:after="0" w:line="231"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financial covenant such that it is no longer a “springing” financial covenant but now requires that Availability at any time cannot be less than the greater of (i) 10% of the Revolving Loan Cap (calculated without giving effect to the FILO (first-in, last-out) Push Down Reserve) or (ii) $10.0 million. Previously, the “springing” financial covenant was dependent on the Availability not being less than the greater of (i) 12.5% of the Revolving Loan Cap (calculated without giving effect to the FILO Push Down Reserve) or (ii) $7.5 million;</w:t>
      </w:r>
    </w:p>
    <w:p>
      <w:pPr>
        <w:spacing w:after="0" w:line="3" w:lineRule="exact"/>
        <w:rPr>
          <w:rFonts w:ascii="Arial" w:cs="Arial" w:eastAsia="Arial" w:hAnsi="Arial"/>
          <w:sz w:val="20"/>
          <w:szCs w:val="20"/>
          <w:color w:val="auto"/>
        </w:rPr>
      </w:pPr>
    </w:p>
    <w:p>
      <w:pPr>
        <w:ind w:left="860" w:right="400" w:hanging="430"/>
        <w:spacing w:after="0" w:line="231"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FILO Advance Rates, which step-down over time, to extend the applicable advance rate for the first step by approximately seven months. As such, the 10% FILO Advance Rate was extended from May 24, 2020 to December 31, 2020, then it will decrease to 7.5% through May 24, 2021 and then to 5% for the remainder of the term of the first-in, last-out term loan facility (“FILO Facility”);</w:t>
      </w:r>
    </w:p>
    <w:p>
      <w:pPr>
        <w:spacing w:after="0" w:line="2" w:lineRule="exact"/>
        <w:rPr>
          <w:rFonts w:ascii="Arial" w:cs="Arial" w:eastAsia="Arial" w:hAnsi="Arial"/>
          <w:sz w:val="20"/>
          <w:szCs w:val="20"/>
          <w:color w:val="auto"/>
        </w:rPr>
      </w:pPr>
    </w:p>
    <w:p>
      <w:pPr>
        <w:ind w:left="860" w:right="100" w:hanging="430"/>
        <w:spacing w:after="0" w:line="231"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FILO IP Advance Rate, which steps-down over time, to extend the applicable advance rates for the first step by approximately seven months. As such, the 50% FILO IP Advance Rate was extended from May 24, 2020 to December 31, 2020, then it will decrease to 45% through May 24, 2021, then it will decrease to 40% through May 24, 2022 and then to 35% for the remainder of the FILO Facility term;</w:t>
      </w:r>
    </w:p>
    <w:p>
      <w:pPr>
        <w:spacing w:after="0" w:line="2" w:lineRule="exact"/>
        <w:rPr>
          <w:rFonts w:ascii="Arial" w:cs="Arial" w:eastAsia="Arial" w:hAnsi="Arial"/>
          <w:sz w:val="20"/>
          <w:szCs w:val="20"/>
          <w:color w:val="auto"/>
        </w:rPr>
      </w:pPr>
    </w:p>
    <w:p>
      <w:pPr>
        <w:ind w:left="860" w:right="460" w:hanging="430"/>
        <w:spacing w:after="0" w:line="231"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Applicable Margins for the Company’s revolving loan facility (“Revolving Facility”) and its FILO Facility to increase the respective Applicable Margins for both LIBOR and Base Rate Loans by 150 basis points effective as of the date of the Third Amendment;</w:t>
      </w:r>
    </w:p>
    <w:p>
      <w:pPr>
        <w:spacing w:after="0" w:line="2" w:lineRule="exact"/>
        <w:rPr>
          <w:rFonts w:ascii="Arial" w:cs="Arial" w:eastAsia="Arial" w:hAnsi="Arial"/>
          <w:sz w:val="20"/>
          <w:szCs w:val="20"/>
          <w:color w:val="auto"/>
        </w:rPr>
      </w:pPr>
    </w:p>
    <w:p>
      <w:pPr>
        <w:ind w:left="860" w:hanging="430"/>
        <w:spacing w:after="0" w:line="231"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definition of “LIBOR Rate” to add a “LIBOR Floor” of 1.00% per annum;</w:t>
      </w:r>
    </w:p>
    <w:p>
      <w:pPr>
        <w:ind w:left="860" w:right="240" w:hanging="430"/>
        <w:spacing w:after="0" w:line="231"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Company’s ability to declare or make Restricted Payments to state that no such payments may be made until after December 31, 2020, and thereafter subject to the conditions set forth in the Credit Agreement; and</w:t>
      </w:r>
    </w:p>
    <w:p>
      <w:pPr>
        <w:spacing w:after="0" w:line="1" w:lineRule="exact"/>
        <w:rPr>
          <w:rFonts w:ascii="Arial" w:cs="Arial" w:eastAsia="Arial" w:hAnsi="Arial"/>
          <w:sz w:val="18"/>
          <w:szCs w:val="18"/>
          <w:color w:val="auto"/>
        </w:rPr>
      </w:pPr>
    </w:p>
    <w:p>
      <w:pPr>
        <w:ind w:left="860" w:right="320" w:hanging="430"/>
        <w:spacing w:after="0" w:line="288"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covenants to add an Excess Cash Amount requirement, which states that at no time when the Availability is less than 15% of the Borrowing Base shall the aggregate of the Company’s DDA accounts exceed $1.0 million.</w:t>
      </w:r>
    </w:p>
    <w:p>
      <w:pPr>
        <w:spacing w:after="0" w:line="129"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The foregoing description of the Third Amendment does not purport to be complete and is qualified in its entirety by reference to the full text of the Third Amendment, which is filed herewith as Exhibit 10.1 and is incorporated herein by reference.</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3.01 Notice of Delisting or Failure to Satisfy a Continued Listing Rule or Standard; Transfer of Listing.</w:t>
      </w:r>
    </w:p>
    <w:p>
      <w:pPr>
        <w:spacing w:after="0" w:line="195" w:lineRule="exact"/>
        <w:rPr>
          <w:sz w:val="20"/>
          <w:szCs w:val="20"/>
          <w:color w:val="auto"/>
        </w:rPr>
      </w:pPr>
    </w:p>
    <w:p>
      <w:pPr>
        <w:jc w:val="both"/>
        <w:ind w:firstLine="981"/>
        <w:spacing w:after="0" w:line="242" w:lineRule="auto"/>
        <w:rPr>
          <w:sz w:val="20"/>
          <w:szCs w:val="20"/>
          <w:color w:val="auto"/>
        </w:rPr>
      </w:pPr>
      <w:r>
        <w:rPr>
          <w:rFonts w:ascii="Arial" w:cs="Arial" w:eastAsia="Arial" w:hAnsi="Arial"/>
          <w:sz w:val="20"/>
          <w:szCs w:val="20"/>
          <w:color w:val="auto"/>
        </w:rPr>
        <w:t>On April 9, 2020, the Company received a letter (the “Notice”) from the Listing Qualifications staff of The Nasdaq Stock Market LLC (“Nasdaq”) indicating that, based upon the closing bid price of the Company’s common stock for the last 30 consecutive business days,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both"/>
        <w:spacing w:after="0" w:line="253" w:lineRule="auto"/>
        <w:rPr>
          <w:sz w:val="20"/>
          <w:szCs w:val="20"/>
          <w:color w:val="auto"/>
        </w:rPr>
      </w:pPr>
      <w:r>
        <w:rPr>
          <w:rFonts w:ascii="Arial" w:cs="Arial" w:eastAsia="Arial" w:hAnsi="Arial"/>
          <w:sz w:val="20"/>
          <w:szCs w:val="20"/>
          <w:color w:val="auto"/>
        </w:rPr>
        <w:t xml:space="preserve">Company no longer meets the requirement to maintain a </w:t>
      </w:r>
      <w:r>
        <w:rPr>
          <w:rFonts w:ascii="Arial" w:cs="Arial" w:eastAsia="Arial" w:hAnsi="Arial"/>
          <w:sz w:val="20"/>
          <w:szCs w:val="20"/>
          <w:color w:val="252525"/>
        </w:rPr>
        <w:t>minimum</w:t>
      </w:r>
      <w:r>
        <w:rPr>
          <w:rFonts w:ascii="Arial" w:cs="Arial" w:eastAsia="Arial" w:hAnsi="Arial"/>
          <w:sz w:val="20"/>
          <w:szCs w:val="20"/>
          <w:color w:val="auto"/>
        </w:rPr>
        <w:t xml:space="preserve"> consolidated closing </w:t>
      </w:r>
      <w:r>
        <w:rPr>
          <w:rFonts w:ascii="Arial" w:cs="Arial" w:eastAsia="Arial" w:hAnsi="Arial"/>
          <w:sz w:val="20"/>
          <w:szCs w:val="20"/>
          <w:color w:val="252525"/>
        </w:rPr>
        <w:t>bid</w:t>
      </w:r>
      <w:r>
        <w:rPr>
          <w:rFonts w:ascii="Arial" w:cs="Arial" w:eastAsia="Arial" w:hAnsi="Arial"/>
          <w:sz w:val="20"/>
          <w:szCs w:val="20"/>
          <w:color w:val="auto"/>
        </w:rPr>
        <w:t xml:space="preserve"> price of $1.00 per share, as set forth in Nasdaq Listing Rule 5450(a)(1).</w:t>
      </w:r>
    </w:p>
    <w:p>
      <w:pPr>
        <w:spacing w:after="0" w:line="157" w:lineRule="exact"/>
        <w:rPr>
          <w:sz w:val="20"/>
          <w:szCs w:val="20"/>
          <w:color w:val="auto"/>
        </w:rPr>
      </w:pPr>
    </w:p>
    <w:p>
      <w:pPr>
        <w:jc w:val="both"/>
        <w:ind w:firstLine="981"/>
        <w:spacing w:after="0" w:line="247" w:lineRule="auto"/>
        <w:rPr>
          <w:sz w:val="20"/>
          <w:szCs w:val="20"/>
          <w:color w:val="auto"/>
        </w:rPr>
      </w:pPr>
      <w:r>
        <w:rPr>
          <w:rFonts w:ascii="Arial" w:cs="Arial" w:eastAsia="Arial" w:hAnsi="Arial"/>
          <w:sz w:val="19"/>
          <w:szCs w:val="19"/>
          <w:color w:val="auto"/>
        </w:rPr>
        <w:t xml:space="preserve">In accordance with Nasdaq Listing Rule 5810(c)(3)(A), the Company has been provided a period of 180 calendar days, or until October 6, 2020, in which to regain compliance. In order to regain compliance with the </w:t>
      </w:r>
      <w:r>
        <w:rPr>
          <w:rFonts w:ascii="Arial" w:cs="Arial" w:eastAsia="Arial" w:hAnsi="Arial"/>
          <w:sz w:val="19"/>
          <w:szCs w:val="19"/>
          <w:color w:val="252525"/>
        </w:rPr>
        <w:t>minimum bid</w:t>
      </w:r>
      <w:r>
        <w:rPr>
          <w:rFonts w:ascii="Arial" w:cs="Arial" w:eastAsia="Arial" w:hAnsi="Arial"/>
          <w:sz w:val="19"/>
          <w:szCs w:val="19"/>
          <w:color w:val="auto"/>
        </w:rPr>
        <w:t xml:space="preserve"> price requirement, the consolidated closing bid price of the Company’s common stock must be at least $1.00 per share for a minimum of ten consecutive business days during this 180-day period. In the event that the Company does not regain compliance within this 180-day period, the Company may be eligible to seek an additional compliance period of 180 calendar days if it (i) transfers its listing to the Nasdaq Capital Market and (ii) meets the continued listing requirement for market value of publicly held shares and all other initial listing standards for the Nasdaq Capital Market, with the exception of the bid price requirement, and provides written notice to Nasdaq of its intent to cure the deficiency during this second compliance period, by effecting a reverse stock split, if necessary. However, if it appears to Nasdaq that the Company will not be able to cure the deficiency, or if the Company is otherwise not eligible, Nasdaq will provide notice to the Company that its common stock will be subject to delisting.</w:t>
      </w:r>
    </w:p>
    <w:p>
      <w:pPr>
        <w:spacing w:after="0" w:line="194" w:lineRule="exact"/>
        <w:rPr>
          <w:sz w:val="20"/>
          <w:szCs w:val="20"/>
          <w:color w:val="auto"/>
        </w:rPr>
      </w:pPr>
    </w:p>
    <w:p>
      <w:pPr>
        <w:jc w:val="both"/>
        <w:ind w:firstLine="981"/>
        <w:spacing w:after="0" w:line="274" w:lineRule="auto"/>
        <w:rPr>
          <w:sz w:val="20"/>
          <w:szCs w:val="20"/>
          <w:color w:val="auto"/>
        </w:rPr>
      </w:pPr>
      <w:r>
        <w:rPr>
          <w:rFonts w:ascii="Arial" w:cs="Arial" w:eastAsia="Arial" w:hAnsi="Arial"/>
          <w:sz w:val="18"/>
          <w:szCs w:val="18"/>
          <w:color w:val="auto"/>
        </w:rPr>
        <w:t>The Notice does not result in the immediate delisting of the Company’s common stock from the Nasdaq Global Select Market. The Company intends to monitor the closing bid price of the Company’s common stock to allow a reasonable period for the price to rebound from its recent decline but will continue to consider its available options to regain compliance. There can be no assurance that the Company will be able to regain compliance with the minimum bid price requirement or maintain compliance with the other listing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(d)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Exhibit No.</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7680" w:type="dxa"/>
            <w:vAlign w:val="bottom"/>
            <w:gridSpan w:val="2"/>
          </w:tcPr>
          <w:p>
            <w:pPr>
              <w:spacing w:after="0"/>
              <w:rPr>
                <w:sz w:val="19"/>
                <w:szCs w:val="19"/>
                <w:color w:val="auto"/>
              </w:rPr>
            </w:pPr>
          </w:p>
        </w:tc>
      </w:tr>
      <w:tr>
        <w:trPr>
          <w:trHeight w:val="424"/>
        </w:trPr>
        <w:tc>
          <w:tcPr>
            <w:tcW w:w="920" w:type="dxa"/>
            <w:vAlign w:val="bottom"/>
          </w:tcPr>
          <w:p>
            <w:pPr>
              <w:spacing w:after="0"/>
              <w:rPr>
                <w:sz w:val="20"/>
                <w:szCs w:val="20"/>
                <w:color w:val="auto"/>
              </w:rPr>
            </w:pPr>
            <w:r>
              <w:rPr>
                <w:rFonts w:ascii="Arial" w:cs="Arial" w:eastAsia="Arial" w:hAnsi="Arial"/>
                <w:sz w:val="20"/>
                <w:szCs w:val="20"/>
                <w:color w:val="auto"/>
              </w:rPr>
              <w:t>10.1</w:t>
            </w:r>
          </w:p>
        </w:tc>
        <w:tc>
          <w:tcPr>
            <w:tcW w:w="800" w:type="dxa"/>
            <w:vAlign w:val="bottom"/>
          </w:tcPr>
          <w:p>
            <w:pPr>
              <w:spacing w:after="0"/>
              <w:rPr>
                <w:sz w:val="24"/>
                <w:szCs w:val="24"/>
                <w:color w:val="auto"/>
              </w:rPr>
            </w:pPr>
          </w:p>
        </w:tc>
        <w:tc>
          <w:tcPr>
            <w:tcW w:w="9500" w:type="dxa"/>
            <w:vAlign w:val="bottom"/>
            <w:tcBorders>
              <w:bottom w:val="single" w:sz="8" w:color="0000EE"/>
            </w:tcBorders>
            <w:gridSpan w:val="4"/>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Third Amendment to Seventh Amended and Restated Credit Agreement dated as of April 15, 2020, by and among Bank</w:t>
              </w:r>
            </w:hyperlink>
          </w:p>
        </w:tc>
      </w:tr>
      <w:tr>
        <w:trPr>
          <w:trHeight w:val="202"/>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00" w:type="dxa"/>
            <w:vAlign w:val="bottom"/>
            <w:gridSpan w:val="4"/>
          </w:tcPr>
          <w:p>
            <w:pPr>
              <w:spacing w:after="0" w:line="202" w:lineRule="exact"/>
              <w:rPr>
                <w:rFonts w:ascii="Arial" w:cs="Arial" w:eastAsia="Arial" w:hAnsi="Arial"/>
                <w:sz w:val="20"/>
                <w:szCs w:val="20"/>
                <w:color w:val="0000EE"/>
                <w:w w:val="91"/>
              </w:rPr>
            </w:pPr>
            <w:hyperlink w:anchor="page5">
              <w:r>
                <w:rPr>
                  <w:rFonts w:ascii="Arial" w:cs="Arial" w:eastAsia="Arial" w:hAnsi="Arial"/>
                  <w:sz w:val="20"/>
                  <w:szCs w:val="20"/>
                  <w:color w:val="0000EE"/>
                  <w:w w:val="91"/>
                </w:rPr>
                <w:t>of America, N.A., as Administrative Agent and Collateral Agent, the Lenders identified therein, the Company, as Lead</w:t>
              </w:r>
            </w:hyperlink>
          </w:p>
        </w:tc>
      </w:tr>
      <w:tr>
        <w:trPr>
          <w:trHeight w:val="248"/>
        </w:trPr>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380" w:type="dxa"/>
            <w:vAlign w:val="bottom"/>
            <w:tcBorders>
              <w:top w:val="single" w:sz="8" w:color="0000EE"/>
            </w:tcBorders>
            <w:gridSpan w:val="3"/>
          </w:tcPr>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Borrower, the Company and CMRG Apparel, LLC, as Borrowers, and the Guarantors identified therein</w:t>
              </w:r>
              <w:r>
                <w:rPr>
                  <w:rFonts w:ascii="Arial" w:cs="Arial" w:eastAsia="Arial" w:hAnsi="Arial"/>
                  <w:sz w:val="20"/>
                  <w:szCs w:val="20"/>
                  <w:u w:val="single" w:color="auto"/>
                  <w:color w:val="000000"/>
                </w:rPr>
                <w:t>.</w:t>
              </w:r>
            </w:hyperlink>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560"/>
        <w:spacing w:after="0"/>
        <w:rPr>
          <w:sz w:val="20"/>
          <w:szCs w:val="20"/>
          <w:color w:val="auto"/>
        </w:rPr>
      </w:pPr>
      <w:r>
        <w:rPr>
          <w:rFonts w:ascii="Arial" w:cs="Arial" w:eastAsia="Arial" w:hAnsi="Arial"/>
          <w:sz w:val="20"/>
          <w:szCs w:val="20"/>
          <w:color w:val="auto"/>
        </w:rPr>
        <w:t>DESTINATION XL GROUP, INC.</w:t>
      </w:r>
    </w:p>
    <w:p>
      <w:pPr>
        <w:spacing w:after="0" w:line="165" w:lineRule="exact"/>
        <w:rPr>
          <w:sz w:val="20"/>
          <w:szCs w:val="20"/>
          <w:color w:val="auto"/>
        </w:rPr>
      </w:pPr>
    </w:p>
    <w:p>
      <w:pPr>
        <w:ind w:left="20"/>
        <w:spacing w:after="0"/>
        <w:tabs>
          <w:tab w:leader="none" w:pos="840" w:val="left"/>
          <w:tab w:leader="none" w:pos="5780" w:val="left"/>
          <w:tab w:leader="none" w:pos="80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April 16,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6985</wp:posOffset>
            </wp:positionV>
            <wp:extent cx="29686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8625" cy="762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3"/>
          <w:szCs w:val="13"/>
          <w:b w:val="1"/>
          <w:bCs w:val="1"/>
          <w:color w:val="auto"/>
        </w:rPr>
        <w:t>Robert S. Molloy</w:t>
      </w:r>
    </w:p>
    <w:p>
      <w:pPr>
        <w:jc w:val="center"/>
        <w:ind w:left="6520"/>
        <w:spacing w:after="0"/>
        <w:rPr>
          <w:sz w:val="20"/>
          <w:szCs w:val="20"/>
          <w:color w:val="auto"/>
        </w:rPr>
      </w:pPr>
      <w:r>
        <w:rPr>
          <w:rFonts w:ascii="Arial" w:cs="Arial" w:eastAsia="Arial" w:hAnsi="Arial"/>
          <w:sz w:val="13"/>
          <w:szCs w:val="13"/>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80"/>
          </w:cols>
          <w:pgMar w:left="320" w:top="114"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AMENDMENT TO SEVENTH AMENDED AND RESTATED CREDIT AGREEMENT</w:t>
      </w:r>
    </w:p>
    <w:p>
      <w:pPr>
        <w:spacing w:after="0" w:line="177" w:lineRule="exact"/>
        <w:rPr>
          <w:sz w:val="20"/>
          <w:szCs w:val="20"/>
          <w:color w:val="auto"/>
        </w:rPr>
      </w:pPr>
    </w:p>
    <w:p>
      <w:pPr>
        <w:jc w:val="both"/>
        <w:ind w:left="1" w:firstLine="865"/>
        <w:spacing w:after="0" w:line="237" w:lineRule="auto"/>
        <w:rPr>
          <w:sz w:val="20"/>
          <w:szCs w:val="20"/>
          <w:color w:val="auto"/>
        </w:rPr>
      </w:pPr>
      <w:r>
        <w:rPr>
          <w:rFonts w:ascii="Arial" w:cs="Arial" w:eastAsia="Arial" w:hAnsi="Arial"/>
          <w:sz w:val="20"/>
          <w:szCs w:val="20"/>
          <w:color w:val="auto"/>
        </w:rPr>
        <w:t>THIRD AMENDMENT TO SEVENTH AMENDED AND RESTATED CREDIT AGREEMENT (this “</w:t>
      </w:r>
      <w:r>
        <w:rPr>
          <w:rFonts w:ascii="Arial" w:cs="Arial" w:eastAsia="Arial" w:hAnsi="Arial"/>
          <w:sz w:val="20"/>
          <w:szCs w:val="20"/>
          <w:u w:val="single" w:color="auto"/>
          <w:color w:val="auto"/>
        </w:rPr>
        <w:t>Third Amendment</w:t>
      </w:r>
      <w:r>
        <w:rPr>
          <w:rFonts w:ascii="Arial" w:cs="Arial" w:eastAsia="Arial" w:hAnsi="Arial"/>
          <w:sz w:val="20"/>
          <w:szCs w:val="20"/>
          <w:color w:val="auto"/>
        </w:rPr>
        <w:t xml:space="preserve">”), dated as of April 15, 2020, by and among </w:t>
      </w:r>
      <w:r>
        <w:rPr>
          <w:rFonts w:ascii="Arial" w:cs="Arial" w:eastAsia="Arial" w:hAnsi="Arial"/>
          <w:sz w:val="20"/>
          <w:szCs w:val="20"/>
          <w:b w:val="1"/>
          <w:bCs w:val="1"/>
          <w:color w:val="auto"/>
        </w:rPr>
        <w:t>DESTINATION XL GROUP, INC.</w:t>
      </w:r>
      <w:r>
        <w:rPr>
          <w:rFonts w:ascii="Arial" w:cs="Arial" w:eastAsia="Arial" w:hAnsi="Arial"/>
          <w:sz w:val="20"/>
          <w:szCs w:val="20"/>
          <w:color w:val="auto"/>
        </w:rPr>
        <w:t>, a Delaware corporation, for itself and as Lead Borrower (in such capacity, the “</w:t>
      </w:r>
      <w:r>
        <w:rPr>
          <w:rFonts w:ascii="Arial" w:cs="Arial" w:eastAsia="Arial" w:hAnsi="Arial"/>
          <w:sz w:val="20"/>
          <w:szCs w:val="20"/>
          <w:u w:val="single" w:color="auto"/>
          <w:color w:val="auto"/>
        </w:rPr>
        <w:t>Lead Borrower</w:t>
      </w:r>
      <w:r>
        <w:rPr>
          <w:rFonts w:ascii="Arial" w:cs="Arial" w:eastAsia="Arial" w:hAnsi="Arial"/>
          <w:sz w:val="20"/>
          <w:szCs w:val="20"/>
          <w:color w:val="auto"/>
        </w:rPr>
        <w:t>”) for the other Borrowers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the Borrowers, the Guarantors, the Lenders party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and Collateral Agent (in such capacities, the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60" w:lineRule="exact"/>
        <w:rPr>
          <w:sz w:val="20"/>
          <w:szCs w:val="20"/>
          <w:color w:val="auto"/>
        </w:rPr>
      </w:pPr>
    </w:p>
    <w:p>
      <w:pPr>
        <w:jc w:val="center"/>
        <w:ind w:left="840"/>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165" w:lineRule="exact"/>
        <w:rPr>
          <w:sz w:val="20"/>
          <w:szCs w:val="20"/>
          <w:color w:val="auto"/>
        </w:rPr>
      </w:pPr>
    </w:p>
    <w:p>
      <w:pPr>
        <w:jc w:val="both"/>
        <w:ind w:left="1" w:firstLine="865"/>
        <w:spacing w:after="0" w:line="216" w:lineRule="auto"/>
        <w:rPr>
          <w:sz w:val="20"/>
          <w:szCs w:val="20"/>
          <w:color w:val="auto"/>
        </w:rPr>
      </w:pPr>
      <w:r>
        <w:rPr>
          <w:rFonts w:ascii="Arial" w:cs="Arial" w:eastAsia="Arial" w:hAnsi="Arial"/>
          <w:sz w:val="20"/>
          <w:szCs w:val="20"/>
          <w:color w:val="auto"/>
        </w:rPr>
        <w:t>WHEREAS, the Borrowers, the Guarantors, the Lenders and the Agent, among others, have entered into a certain Seventh Amended and Restated Credit Agreement, dated as of May 24, 2018, as amended by a certain First Amendment to Seventh Amended and Restated Credit Agreement, dated as of June 3, 2019, and as amended by a certain Waiver and Second Amendment to Seventh Amended and Restated Credit Agreement, dated as of September 5, 2019 (as further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49" w:lineRule="exact"/>
        <w:rPr>
          <w:sz w:val="20"/>
          <w:szCs w:val="20"/>
          <w:color w:val="auto"/>
        </w:rPr>
      </w:pPr>
    </w:p>
    <w:p>
      <w:pPr>
        <w:ind w:left="861"/>
        <w:spacing w:after="0" w:line="396" w:lineRule="auto"/>
        <w:rPr>
          <w:sz w:val="20"/>
          <w:szCs w:val="20"/>
          <w:color w:val="auto"/>
        </w:rPr>
      </w:pPr>
      <w:r>
        <w:rPr>
          <w:rFonts w:ascii="Arial" w:cs="Arial" w:eastAsia="Arial" w:hAnsi="Arial"/>
          <w:sz w:val="16"/>
          <w:szCs w:val="16"/>
          <w:color w:val="auto"/>
        </w:rPr>
        <w:t>WHEREAS, the parties to the Credit Agreement desire to modify certain provisions of the Credit Agreement as provided herein; NOW THEREFORE, in consideration of the mutual promises and agreements herein contained, the parties hereto hereby agree as</w:t>
      </w:r>
    </w:p>
    <w:p>
      <w:pPr>
        <w:spacing w:after="0" w:line="1" w:lineRule="exact"/>
        <w:rPr>
          <w:sz w:val="20"/>
          <w:szCs w:val="20"/>
          <w:color w:val="auto"/>
        </w:rPr>
      </w:pPr>
    </w:p>
    <w:p>
      <w:pPr>
        <w:ind w:left="1"/>
        <w:spacing w:after="0"/>
        <w:rPr>
          <w:sz w:val="20"/>
          <w:szCs w:val="20"/>
          <w:color w:val="auto"/>
        </w:rPr>
      </w:pPr>
      <w:r>
        <w:rPr>
          <w:rFonts w:ascii="Arial" w:cs="Arial" w:eastAsia="Arial" w:hAnsi="Arial"/>
          <w:sz w:val="20"/>
          <w:szCs w:val="20"/>
          <w:color w:val="auto"/>
        </w:rPr>
        <w:t>follows:</w:t>
      </w:r>
    </w:p>
    <w:p>
      <w:pPr>
        <w:spacing w:after="0" w:line="161" w:lineRule="exact"/>
        <w:rPr>
          <w:sz w:val="20"/>
          <w:szCs w:val="20"/>
          <w:color w:val="auto"/>
        </w:rPr>
      </w:pPr>
    </w:p>
    <w:p>
      <w:pPr>
        <w:jc w:val="both"/>
        <w:ind w:left="861" w:hanging="861"/>
        <w:spacing w:after="0" w:line="238" w:lineRule="auto"/>
        <w:tabs>
          <w:tab w:leader="none" w:pos="861"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Incorporation of Terms and Conditions of Credit Agreement.</w:t>
      </w:r>
      <w:r>
        <w:rPr>
          <w:rFonts w:ascii="Arial" w:cs="Arial" w:eastAsia="Arial" w:hAnsi="Arial"/>
          <w:sz w:val="20"/>
          <w:szCs w:val="20"/>
          <w:color w:val="auto"/>
        </w:rPr>
        <w:t xml:space="preserve"> Except as amended hereby, all of the terms and conditions of the Credit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Credit Agreement, as applicable.</w:t>
      </w:r>
    </w:p>
    <w:p>
      <w:pPr>
        <w:spacing w:after="0" w:line="173" w:lineRule="exact"/>
        <w:rPr>
          <w:rFonts w:ascii="Arial" w:cs="Arial" w:eastAsia="Arial" w:hAnsi="Arial"/>
          <w:sz w:val="20"/>
          <w:szCs w:val="20"/>
          <w:color w:val="auto"/>
        </w:rPr>
      </w:pPr>
    </w:p>
    <w:p>
      <w:pPr>
        <w:ind w:left="861" w:hanging="861"/>
        <w:spacing w:after="0"/>
        <w:tabs>
          <w:tab w:leader="none" w:pos="861"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hereby represents and warrants that, as of the Third Amendment Effective Date,</w:t>
      </w:r>
    </w:p>
    <w:p>
      <w:pPr>
        <w:spacing w:after="0" w:line="54" w:lineRule="exact"/>
        <w:rPr>
          <w:rFonts w:ascii="Arial" w:cs="Arial" w:eastAsia="Arial" w:hAnsi="Arial"/>
          <w:sz w:val="16"/>
          <w:szCs w:val="16"/>
          <w:color w:val="auto"/>
        </w:rPr>
      </w:pPr>
    </w:p>
    <w:p>
      <w:pPr>
        <w:jc w:val="both"/>
        <w:ind w:left="861"/>
        <w:spacing w:after="0" w:line="234" w:lineRule="auto"/>
        <w:rPr>
          <w:rFonts w:ascii="Arial" w:cs="Arial" w:eastAsia="Arial" w:hAnsi="Arial"/>
          <w:sz w:val="16"/>
          <w:szCs w:val="16"/>
          <w:color w:val="auto"/>
        </w:rPr>
      </w:pPr>
      <w:r>
        <w:rPr>
          <w:rFonts w:ascii="Arial" w:cs="Arial" w:eastAsia="Arial" w:hAnsi="Arial"/>
          <w:sz w:val="20"/>
          <w:szCs w:val="20"/>
          <w:color w:val="auto"/>
        </w:rPr>
        <w:t>(i) no Default or Event of Default exists under the Credit Agreement or under any other Loan Document and (ii) all representations and warranties contained in the Credit Agreement or in any other Loan Document are true and correct in all material respects, except (i) to the extent that such representations and warranties specifically refer to an earlier date, in which case they are true and correct as of such earlier date, (ii) in the case of any representation and warranty qualified by materiality, they are true and correct in all respects.</w:t>
      </w:r>
    </w:p>
    <w:p>
      <w:pPr>
        <w:spacing w:after="0" w:line="170" w:lineRule="exact"/>
        <w:rPr>
          <w:rFonts w:ascii="Arial" w:cs="Arial" w:eastAsia="Arial" w:hAnsi="Arial"/>
          <w:sz w:val="16"/>
          <w:szCs w:val="16"/>
          <w:color w:val="auto"/>
        </w:rPr>
      </w:pPr>
    </w:p>
    <w:p>
      <w:pPr>
        <w:jc w:val="both"/>
        <w:ind w:left="861" w:hanging="861"/>
        <w:spacing w:after="0" w:line="238" w:lineRule="auto"/>
        <w:tabs>
          <w:tab w:leader="none" w:pos="861"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Ratification of Loan Documents, Guaranties and Security Interests</w:t>
      </w:r>
      <w:r>
        <w:rPr>
          <w:rFonts w:ascii="Arial" w:cs="Arial" w:eastAsia="Arial" w:hAnsi="Arial"/>
          <w:sz w:val="20"/>
          <w:szCs w:val="20"/>
          <w:color w:val="auto"/>
        </w:rPr>
        <w:t>. The Credit Agreement, as hereby amended, and all other Loan Documents, are hereby ratified, confirmed and re-affirmed in all material respects and shall continue in full force and effect. Each Guarantor hereby acknowledges, confirms and agrees that its Guaranteed Obligations as a Guarantor under, and as defined in, the Facility Guaranty include, without limitation,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921385</wp:posOffset>
            </wp:positionV>
            <wp:extent cx="71596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4" w:right="339" w:bottom="1440" w:gutter="0" w:footer="0" w:header="0"/>
        </w:sectPr>
      </w:pPr>
    </w:p>
    <w:bookmarkStart w:id="5" w:name="page6"/>
    <w:bookmarkEnd w:id="5"/>
    <w:p>
      <w:pPr>
        <w:jc w:val="both"/>
        <w:ind w:left="861" w:right="100"/>
        <w:spacing w:after="0" w:line="269" w:lineRule="auto"/>
        <w:rPr>
          <w:sz w:val="20"/>
          <w:szCs w:val="20"/>
          <w:color w:val="auto"/>
        </w:rPr>
      </w:pPr>
      <w:r>
        <w:rPr>
          <w:rFonts w:ascii="Arial" w:cs="Arial" w:eastAsia="Arial" w:hAnsi="Arial"/>
          <w:sz w:val="18"/>
          <w:szCs w:val="18"/>
          <w:color w:val="auto"/>
        </w:rPr>
        <w:t>of the Loan Parties at any time and from time to time outstanding under the Credit Agreement and the other Loan Documents, each as amended hereby. The Loan Parties hereby acknowledge, confirm and agree that the Loan Documents and any and all Collateral pledged to the Agent, for the benefit of the Secured Parties (as defined in the Security Agreement), pursuant to the Loan Documents as amended hereby shall continue to secure all applicable Obligations of the Loan Parties at any time and from time to time outstanding under the Credit Agreement (as amended hereby) and the other Loan Documents.</w:t>
      </w:r>
    </w:p>
    <w:p>
      <w:pPr>
        <w:spacing w:after="0" w:line="148" w:lineRule="exact"/>
        <w:rPr>
          <w:sz w:val="20"/>
          <w:szCs w:val="20"/>
          <w:color w:val="auto"/>
        </w:rPr>
      </w:pPr>
    </w:p>
    <w:p>
      <w:pPr>
        <w:ind w:left="861" w:hanging="861"/>
        <w:spacing w:after="0"/>
        <w:tabs>
          <w:tab w:leader="none" w:pos="86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Subject to the satisfaction or waiver of the conditions precedent set forth in Section 5 hereof:</w:t>
      </w:r>
    </w:p>
    <w:p>
      <w:pPr>
        <w:spacing w:after="0" w:line="212" w:lineRule="exact"/>
        <w:rPr>
          <w:rFonts w:ascii="Arial" w:cs="Arial" w:eastAsia="Arial" w:hAnsi="Arial"/>
          <w:sz w:val="18"/>
          <w:szCs w:val="18"/>
          <w:color w:val="auto"/>
        </w:rPr>
      </w:pPr>
    </w:p>
    <w:p>
      <w:pPr>
        <w:ind w:left="861"/>
        <w:spacing w:after="0"/>
        <w:rPr>
          <w:rFonts w:ascii="Arial" w:cs="Arial" w:eastAsia="Arial" w:hAnsi="Arial"/>
          <w:sz w:val="18"/>
          <w:szCs w:val="18"/>
          <w:color w:val="auto"/>
        </w:rPr>
      </w:pPr>
      <w:r>
        <w:rPr>
          <w:rFonts w:ascii="Arial" w:cs="Arial" w:eastAsia="Arial" w:hAnsi="Arial"/>
          <w:sz w:val="20"/>
          <w:szCs w:val="20"/>
          <w:color w:val="auto"/>
        </w:rPr>
        <w:t>a.</w:t>
      </w:r>
      <w:r>
        <w:rPr>
          <w:rFonts w:ascii="Arial" w:cs="Arial" w:eastAsia="Arial" w:hAnsi="Arial"/>
          <w:sz w:val="18"/>
          <w:szCs w:val="18"/>
          <w:u w:val="single" w:color="auto"/>
          <w:color w:val="auto"/>
        </w:rPr>
        <w:t xml:space="preserve">Article I </w:t>
      </w:r>
      <w:r>
        <w:rPr>
          <w:rFonts w:ascii="Arial" w:cs="Arial" w:eastAsia="Arial" w:hAnsi="Arial"/>
          <w:sz w:val="18"/>
          <w:szCs w:val="18"/>
          <w:color w:val="auto"/>
        </w:rPr>
        <w:t>of the Credit Agreement is hereby amended as follows:</w:t>
      </w:r>
    </w:p>
    <w:p>
      <w:pPr>
        <w:spacing w:after="0" w:line="189" w:lineRule="exact"/>
        <w:rPr>
          <w:rFonts w:ascii="Arial" w:cs="Arial" w:eastAsia="Arial" w:hAnsi="Arial"/>
          <w:sz w:val="18"/>
          <w:szCs w:val="18"/>
          <w:color w:val="auto"/>
        </w:rPr>
      </w:pPr>
    </w:p>
    <w:p>
      <w:pPr>
        <w:ind w:left="2581" w:right="100" w:hanging="854"/>
        <w:spacing w:after="0" w:line="278" w:lineRule="auto"/>
        <w:tabs>
          <w:tab w:leader="none" w:pos="2581"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definition of “Accelerated Borrowing Base Delivery Event” is hereby amended by deleting each reference to “twelve and one-half percent (12.5%)” and substituting “fifteen percent (15%)” in its stead.</w:t>
      </w:r>
    </w:p>
    <w:p>
      <w:pPr>
        <w:spacing w:after="0" w:line="135" w:lineRule="exact"/>
        <w:rPr>
          <w:rFonts w:ascii="Arial" w:cs="Arial" w:eastAsia="Arial" w:hAnsi="Arial"/>
          <w:sz w:val="19"/>
          <w:szCs w:val="19"/>
          <w:color w:val="auto"/>
        </w:rPr>
      </w:pPr>
    </w:p>
    <w:p>
      <w:pPr>
        <w:ind w:left="2581" w:right="100" w:hanging="854"/>
        <w:spacing w:after="0" w:line="252" w:lineRule="auto"/>
        <w:tabs>
          <w:tab w:leader="none" w:pos="2581" w:val="left"/>
        </w:tabs>
        <w:numPr>
          <w:ilvl w:val="2"/>
          <w:numId w:val="4"/>
        </w:numPr>
        <w:rPr>
          <w:rFonts w:ascii="Arial" w:cs="Arial" w:eastAsia="Arial" w:hAnsi="Arial"/>
          <w:sz w:val="20"/>
          <w:szCs w:val="20"/>
          <w:color w:val="auto"/>
        </w:rPr>
      </w:pPr>
      <w:r>
        <w:rPr>
          <w:rFonts w:ascii="Arial" w:cs="Arial" w:eastAsia="Arial" w:hAnsi="Arial"/>
          <w:sz w:val="20"/>
          <w:szCs w:val="20"/>
          <w:color w:val="auto"/>
        </w:rPr>
        <w:t>The pricing grid contained in subsection (b) of the definition of “Applicable Margin” is hereby deleted in its entirety and the following is substituted in its stead:</w:t>
      </w:r>
    </w:p>
    <w:p>
      <w:pPr>
        <w:spacing w:after="0" w:line="158" w:lineRule="exact"/>
        <w:rPr>
          <w:sz w:val="20"/>
          <w:szCs w:val="20"/>
          <w:color w:val="auto"/>
        </w:rPr>
      </w:pPr>
    </w:p>
    <w:tbl>
      <w:tblPr>
        <w:tblLayout w:type="fixed"/>
        <w:tblInd w:w="11" w:type="dxa"/>
        <w:tblCellMar>
          <w:top w:w="0" w:type="dxa"/>
          <w:left w:w="0" w:type="dxa"/>
          <w:bottom w:w="0" w:type="dxa"/>
          <w:right w:w="0" w:type="dxa"/>
        </w:tblCellMar>
      </w:tblPr>
      <w:tr>
        <w:trPr>
          <w:trHeight w:val="201"/>
        </w:trPr>
        <w:tc>
          <w:tcPr>
            <w:tcW w:w="96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1"/>
              </w:rPr>
              <w:t>Average Revolving</w:t>
            </w:r>
          </w:p>
        </w:tc>
        <w:tc>
          <w:tcPr>
            <w:tcW w:w="22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Applicable Margin</w:t>
            </w:r>
          </w:p>
        </w:tc>
        <w:tc>
          <w:tcPr>
            <w:tcW w:w="162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Applicable Margin</w:t>
            </w:r>
          </w:p>
        </w:tc>
        <w:tc>
          <w:tcPr>
            <w:tcW w:w="168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Applicable Margin</w:t>
            </w:r>
          </w:p>
        </w:tc>
        <w:tc>
          <w:tcPr>
            <w:tcW w:w="168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Applicable Margin</w:t>
            </w:r>
          </w:p>
        </w:tc>
        <w:tc>
          <w:tcPr>
            <w:tcW w:w="158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9"/>
              </w:rPr>
              <w:t>Applicable Margin</w:t>
            </w: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7"/>
              </w:rPr>
              <w:t>Applic</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Availability</w:t>
            </w:r>
          </w:p>
        </w:tc>
        <w:tc>
          <w:tcPr>
            <w:tcW w:w="2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0"/>
              </w:rPr>
              <w:t>for Revolving Loans</w:t>
            </w:r>
          </w:p>
        </w:tc>
        <w:tc>
          <w:tcPr>
            <w:tcW w:w="1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1"/>
              </w:rPr>
              <w:t>for Revolving Loans</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8"/>
              </w:rPr>
              <w:t>for FILO Loans that</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8"/>
              </w:rPr>
              <w:t>for FILO Loans that</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for FILO Loans</w:t>
            </w:r>
          </w:p>
        </w:tc>
        <w:tc>
          <w:tcPr>
            <w:tcW w:w="500" w:type="dxa"/>
            <w:vAlign w:val="bottom"/>
          </w:tcPr>
          <w:p>
            <w:pPr>
              <w:spacing w:after="0"/>
              <w:rPr>
                <w:sz w:val="20"/>
                <w:szCs w:val="20"/>
                <w:color w:val="auto"/>
              </w:rPr>
            </w:pPr>
            <w:r>
              <w:rPr>
                <w:rFonts w:ascii="Arial" w:cs="Arial" w:eastAsia="Arial" w:hAnsi="Arial"/>
                <w:sz w:val="18"/>
                <w:szCs w:val="18"/>
                <w:b w:val="1"/>
                <w:bCs w:val="1"/>
                <w:color w:val="auto"/>
                <w:w w:val="85"/>
              </w:rPr>
              <w:t>for FIL</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that are LIBOR</w:t>
            </w:r>
          </w:p>
        </w:tc>
        <w:tc>
          <w:tcPr>
            <w:tcW w:w="1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that are Base Rate</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are LIBOR</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are Base Rate Loans</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that are LIBOR</w:t>
            </w:r>
          </w:p>
        </w:tc>
        <w:tc>
          <w:tcPr>
            <w:tcW w:w="500" w:type="dxa"/>
            <w:vAlign w:val="bottom"/>
          </w:tcPr>
          <w:p>
            <w:pPr>
              <w:spacing w:after="0"/>
              <w:rPr>
                <w:sz w:val="20"/>
                <w:szCs w:val="20"/>
                <w:color w:val="auto"/>
              </w:rPr>
            </w:pPr>
            <w:r>
              <w:rPr>
                <w:rFonts w:ascii="Arial" w:cs="Arial" w:eastAsia="Arial" w:hAnsi="Arial"/>
                <w:sz w:val="18"/>
                <w:szCs w:val="18"/>
                <w:b w:val="1"/>
                <w:bCs w:val="1"/>
                <w:color w:val="auto"/>
                <w:w w:val="87"/>
              </w:rPr>
              <w:t>that ar</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Level</w:t>
            </w: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Rate Loans</w:t>
            </w:r>
          </w:p>
        </w:tc>
        <w:tc>
          <w:tcPr>
            <w:tcW w:w="1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Loans</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Rate Loans from</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from September 5,</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Rate Loans after</w:t>
            </w:r>
          </w:p>
        </w:tc>
        <w:tc>
          <w:tcPr>
            <w:tcW w:w="500" w:type="dxa"/>
            <w:vAlign w:val="bottom"/>
          </w:tcPr>
          <w:p>
            <w:pPr>
              <w:spacing w:after="0"/>
              <w:rPr>
                <w:sz w:val="20"/>
                <w:szCs w:val="20"/>
                <w:color w:val="auto"/>
              </w:rPr>
            </w:pPr>
            <w:r>
              <w:rPr>
                <w:rFonts w:ascii="Arial" w:cs="Arial" w:eastAsia="Arial" w:hAnsi="Arial"/>
                <w:sz w:val="18"/>
                <w:szCs w:val="18"/>
                <w:b w:val="1"/>
                <w:bCs w:val="1"/>
                <w:color w:val="auto"/>
                <w:w w:val="90"/>
              </w:rPr>
              <w:t>Loans</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September 5, 2019</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2019 through May</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May 24, 2021</w:t>
            </w:r>
          </w:p>
        </w:tc>
        <w:tc>
          <w:tcPr>
            <w:tcW w:w="500" w:type="dxa"/>
            <w:vAlign w:val="bottom"/>
          </w:tcPr>
          <w:p>
            <w:pPr>
              <w:spacing w:after="0"/>
              <w:rPr>
                <w:sz w:val="20"/>
                <w:szCs w:val="20"/>
                <w:color w:val="auto"/>
              </w:rPr>
            </w:pPr>
            <w:r>
              <w:rPr>
                <w:rFonts w:ascii="Arial" w:cs="Arial" w:eastAsia="Arial" w:hAnsi="Arial"/>
                <w:sz w:val="18"/>
                <w:szCs w:val="18"/>
                <w:b w:val="1"/>
                <w:bCs w:val="1"/>
                <w:color w:val="auto"/>
                <w:w w:val="77"/>
              </w:rPr>
              <w:t>2021 th</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through May 24,</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24, 2021</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through the</w:t>
            </w: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Matur</w:t>
            </w:r>
          </w:p>
        </w:tc>
        <w:tc>
          <w:tcPr>
            <w:tcW w:w="0" w:type="dxa"/>
            <w:vAlign w:val="bottom"/>
          </w:tcPr>
          <w:p>
            <w:pPr>
              <w:spacing w:after="0"/>
              <w:rPr>
                <w:sz w:val="1"/>
                <w:szCs w:val="1"/>
                <w:color w:val="auto"/>
              </w:rPr>
            </w:pPr>
          </w:p>
        </w:tc>
      </w:tr>
      <w:tr>
        <w:trPr>
          <w:trHeight w:val="235"/>
        </w:trPr>
        <w:tc>
          <w:tcPr>
            <w:tcW w:w="960" w:type="dxa"/>
            <w:vAlign w:val="bottom"/>
            <w:tcBorders>
              <w:left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2021</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Maturity Date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3"/>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60" w:type="dxa"/>
            <w:vAlign w:val="bottom"/>
            <w:tcBorders>
              <w:left w:val="single" w:sz="8" w:color="auto"/>
              <w:right w:val="single" w:sz="8" w:color="auto"/>
            </w:tcBorders>
          </w:tcPr>
          <w:p>
            <w:pPr>
              <w:ind w:left="20"/>
              <w:spacing w:after="0" w:line="185" w:lineRule="exact"/>
              <w:rPr>
                <w:sz w:val="20"/>
                <w:szCs w:val="20"/>
                <w:color w:val="auto"/>
              </w:rPr>
            </w:pPr>
            <w:r>
              <w:rPr>
                <w:rFonts w:ascii="Arial" w:cs="Arial" w:eastAsia="Arial" w:hAnsi="Arial"/>
                <w:sz w:val="18"/>
                <w:szCs w:val="18"/>
                <w:color w:val="auto"/>
              </w:rPr>
              <w:t>I</w:t>
            </w:r>
          </w:p>
        </w:tc>
        <w:tc>
          <w:tcPr>
            <w:tcW w:w="1500" w:type="dxa"/>
            <w:vAlign w:val="bottom"/>
          </w:tcPr>
          <w:p>
            <w:pPr>
              <w:spacing w:after="0" w:line="185" w:lineRule="exact"/>
              <w:rPr>
                <w:sz w:val="20"/>
                <w:szCs w:val="20"/>
                <w:color w:val="auto"/>
              </w:rPr>
            </w:pPr>
            <w:r>
              <w:rPr>
                <w:rFonts w:ascii="Arial" w:cs="Arial" w:eastAsia="Arial" w:hAnsi="Arial"/>
                <w:sz w:val="18"/>
                <w:szCs w:val="18"/>
                <w:color w:val="auto"/>
                <w:w w:val="97"/>
              </w:rPr>
              <w:t>Greater  than  35%</w:t>
            </w:r>
          </w:p>
        </w:tc>
        <w:tc>
          <w:tcPr>
            <w:tcW w:w="22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8"/>
                <w:szCs w:val="18"/>
                <w:color w:val="auto"/>
                <w:w w:val="92"/>
              </w:rPr>
              <w:t>of</w:t>
            </w:r>
          </w:p>
        </w:tc>
        <w:tc>
          <w:tcPr>
            <w:tcW w:w="1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2.75%</w:t>
            </w:r>
          </w:p>
        </w:tc>
        <w:tc>
          <w:tcPr>
            <w:tcW w:w="162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1.75%</w:t>
            </w:r>
          </w:p>
        </w:tc>
        <w:tc>
          <w:tcPr>
            <w:tcW w:w="16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4.75%</w:t>
            </w:r>
          </w:p>
        </w:tc>
        <w:tc>
          <w:tcPr>
            <w:tcW w:w="16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3.75%</w:t>
            </w:r>
          </w:p>
        </w:tc>
        <w:tc>
          <w:tcPr>
            <w:tcW w:w="1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4.25%</w:t>
            </w:r>
          </w:p>
        </w:tc>
        <w:tc>
          <w:tcPr>
            <w:tcW w:w="500" w:type="dxa"/>
            <w:vAlign w:val="bottom"/>
          </w:tcPr>
          <w:p>
            <w:pPr>
              <w:spacing w:after="0" w:line="185" w:lineRule="exact"/>
              <w:rPr>
                <w:sz w:val="20"/>
                <w:szCs w:val="20"/>
                <w:color w:val="auto"/>
              </w:rPr>
            </w:pPr>
            <w:r>
              <w:rPr>
                <w:rFonts w:ascii="Arial" w:cs="Arial" w:eastAsia="Arial" w:hAnsi="Arial"/>
                <w:sz w:val="18"/>
                <w:szCs w:val="18"/>
                <w:color w:val="auto"/>
                <w:w w:val="93"/>
              </w:rPr>
              <w:t>3.25%</w:t>
            </w:r>
          </w:p>
        </w:tc>
        <w:tc>
          <w:tcPr>
            <w:tcW w:w="0" w:type="dxa"/>
            <w:vAlign w:val="bottom"/>
          </w:tcPr>
          <w:p>
            <w:pPr>
              <w:spacing w:after="0"/>
              <w:rPr>
                <w:sz w:val="1"/>
                <w:szCs w:val="1"/>
                <w:color w:val="auto"/>
              </w:rPr>
            </w:pPr>
          </w:p>
        </w:tc>
      </w:tr>
      <w:tr>
        <w:trPr>
          <w:trHeight w:val="231"/>
        </w:trPr>
        <w:tc>
          <w:tcPr>
            <w:tcW w:w="960" w:type="dxa"/>
            <w:vAlign w:val="bottom"/>
            <w:tcBorders>
              <w:left w:val="single" w:sz="8" w:color="auto"/>
              <w:right w:val="single" w:sz="8" w:color="auto"/>
            </w:tcBorders>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4"/>
              </w:rPr>
              <w:t>the Borrowing Base</w:t>
            </w:r>
          </w:p>
        </w:tc>
        <w:tc>
          <w:tcPr>
            <w:tcW w:w="2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1"/>
          </w:cols>
          <w:pgMar w:left="319" w:top="31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w w:val="89"/>
              </w:rPr>
              <w:t>Less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than or equal to</w:t>
            </w:r>
          </w:p>
        </w:tc>
        <w:tc>
          <w:tcPr>
            <w:tcW w:w="1600" w:type="dxa"/>
            <w:vAlign w:val="bottom"/>
            <w:tcBorders>
              <w:right w:val="single" w:sz="8" w:color="auto"/>
            </w:tcBorders>
          </w:tcPr>
          <w:p>
            <w:pPr>
              <w:jc w:val="right"/>
              <w:ind w:right="1050"/>
              <w:spacing w:after="0"/>
              <w:rPr>
                <w:sz w:val="20"/>
                <w:szCs w:val="20"/>
                <w:color w:val="auto"/>
              </w:rPr>
            </w:pPr>
            <w:r>
              <w:rPr>
                <w:rFonts w:ascii="Arial" w:cs="Arial" w:eastAsia="Arial" w:hAnsi="Arial"/>
                <w:sz w:val="18"/>
                <w:szCs w:val="18"/>
                <w:color w:val="auto"/>
                <w:w w:val="86"/>
              </w:rPr>
              <w:t>3.00%</w:t>
            </w:r>
          </w:p>
        </w:tc>
        <w:tc>
          <w:tcPr>
            <w:tcW w:w="1620" w:type="dxa"/>
            <w:vAlign w:val="bottom"/>
            <w:tcBorders>
              <w:right w:val="single" w:sz="8" w:color="auto"/>
            </w:tcBorders>
          </w:tcPr>
          <w:p>
            <w:pPr>
              <w:jc w:val="right"/>
              <w:ind w:right="1070"/>
              <w:spacing w:after="0"/>
              <w:rPr>
                <w:sz w:val="20"/>
                <w:szCs w:val="20"/>
                <w:color w:val="auto"/>
              </w:rPr>
            </w:pPr>
            <w:r>
              <w:rPr>
                <w:rFonts w:ascii="Arial" w:cs="Arial" w:eastAsia="Arial" w:hAnsi="Arial"/>
                <w:sz w:val="18"/>
                <w:szCs w:val="18"/>
                <w:color w:val="auto"/>
                <w:w w:val="86"/>
              </w:rPr>
              <w:t>2.00%</w:t>
            </w:r>
          </w:p>
        </w:tc>
        <w:tc>
          <w:tcPr>
            <w:tcW w:w="1680" w:type="dxa"/>
            <w:vAlign w:val="bottom"/>
            <w:tcBorders>
              <w:right w:val="single" w:sz="8" w:color="auto"/>
            </w:tcBorders>
          </w:tcPr>
          <w:p>
            <w:pPr>
              <w:jc w:val="right"/>
              <w:ind w:right="1130"/>
              <w:spacing w:after="0"/>
              <w:rPr>
                <w:sz w:val="20"/>
                <w:szCs w:val="20"/>
                <w:color w:val="auto"/>
              </w:rPr>
            </w:pPr>
            <w:r>
              <w:rPr>
                <w:rFonts w:ascii="Arial" w:cs="Arial" w:eastAsia="Arial" w:hAnsi="Arial"/>
                <w:sz w:val="18"/>
                <w:szCs w:val="18"/>
                <w:color w:val="auto"/>
                <w:w w:val="86"/>
              </w:rPr>
              <w:t>5.00%</w:t>
            </w:r>
          </w:p>
        </w:tc>
        <w:tc>
          <w:tcPr>
            <w:tcW w:w="1680" w:type="dxa"/>
            <w:vAlign w:val="bottom"/>
            <w:tcBorders>
              <w:right w:val="single" w:sz="8" w:color="auto"/>
            </w:tcBorders>
          </w:tcPr>
          <w:p>
            <w:pPr>
              <w:jc w:val="right"/>
              <w:ind w:right="1130"/>
              <w:spacing w:after="0"/>
              <w:rPr>
                <w:sz w:val="20"/>
                <w:szCs w:val="20"/>
                <w:color w:val="auto"/>
              </w:rPr>
            </w:pPr>
            <w:r>
              <w:rPr>
                <w:rFonts w:ascii="Arial" w:cs="Arial" w:eastAsia="Arial" w:hAnsi="Arial"/>
                <w:sz w:val="18"/>
                <w:szCs w:val="18"/>
                <w:color w:val="auto"/>
                <w:w w:val="86"/>
              </w:rPr>
              <w:t>4.00%</w:t>
            </w:r>
          </w:p>
        </w:tc>
        <w:tc>
          <w:tcPr>
            <w:tcW w:w="1580" w:type="dxa"/>
            <w:vAlign w:val="bottom"/>
            <w:tcBorders>
              <w:right w:val="single" w:sz="8" w:color="auto"/>
            </w:tcBorders>
          </w:tcPr>
          <w:p>
            <w:pPr>
              <w:jc w:val="right"/>
              <w:ind w:right="1030"/>
              <w:spacing w:after="0"/>
              <w:rPr>
                <w:sz w:val="20"/>
                <w:szCs w:val="20"/>
                <w:color w:val="auto"/>
              </w:rPr>
            </w:pPr>
            <w:r>
              <w:rPr>
                <w:rFonts w:ascii="Arial" w:cs="Arial" w:eastAsia="Arial" w:hAnsi="Arial"/>
                <w:sz w:val="18"/>
                <w:szCs w:val="18"/>
                <w:color w:val="auto"/>
                <w:w w:val="86"/>
              </w:rPr>
              <w:t>4.50%</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3.50%</w:t>
            </w:r>
          </w:p>
        </w:tc>
      </w:tr>
      <w:tr>
        <w:trPr>
          <w:trHeight w:val="210"/>
        </w:trPr>
        <w:tc>
          <w:tcPr>
            <w:tcW w:w="360" w:type="dxa"/>
            <w:vAlign w:val="bottom"/>
          </w:tcPr>
          <w:p>
            <w:pPr>
              <w:spacing w:after="0"/>
              <w:rPr>
                <w:sz w:val="20"/>
                <w:szCs w:val="20"/>
                <w:color w:val="auto"/>
              </w:rPr>
            </w:pPr>
            <w:r>
              <w:rPr>
                <w:rFonts w:ascii="Arial" w:cs="Arial" w:eastAsia="Arial" w:hAnsi="Arial"/>
                <w:sz w:val="18"/>
                <w:szCs w:val="18"/>
                <w:color w:val="auto"/>
                <w:w w:val="94"/>
              </w:rPr>
              <w:t>35%</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 the Borrowing</w:t>
            </w:r>
          </w:p>
        </w:tc>
        <w:tc>
          <w:tcPr>
            <w:tcW w:w="16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1"/>
        </w:trPr>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Base</w:t>
            </w: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538"/>
        </w:trPr>
        <w:tc>
          <w:tcPr>
            <w:tcW w:w="36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-751205</wp:posOffset>
            </wp:positionV>
            <wp:extent cx="7201535" cy="751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751840"/>
                    </a:xfrm>
                    <a:prstGeom prst="rect">
                      <a:avLst/>
                    </a:prstGeom>
                    <a:noFill/>
                  </pic:spPr>
                </pic:pic>
              </a:graphicData>
            </a:graphic>
          </wp:anchor>
        </w:drawing>
      </w:r>
    </w:p>
    <w:p>
      <w:pPr>
        <w:spacing w:after="0" w:line="356" w:lineRule="exact"/>
        <w:rPr>
          <w:sz w:val="20"/>
          <w:szCs w:val="20"/>
          <w:color w:val="auto"/>
        </w:rPr>
      </w:pPr>
    </w:p>
    <w:p>
      <w:pPr>
        <w:ind w:left="1620" w:hanging="854"/>
        <w:spacing w:after="0"/>
        <w:tabs>
          <w:tab w:leader="none" w:pos="1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definition of “Base Rate” is hereby deleted in its entirety and the following is substituted in its stead:</w:t>
      </w:r>
    </w:p>
    <w:p>
      <w:pPr>
        <w:spacing w:after="0" w:line="200" w:lineRule="exact"/>
        <w:rPr>
          <w:rFonts w:ascii="Arial" w:cs="Arial" w:eastAsia="Arial" w:hAnsi="Arial"/>
          <w:sz w:val="19"/>
          <w:szCs w:val="19"/>
          <w:color w:val="auto"/>
        </w:rPr>
      </w:pPr>
    </w:p>
    <w:p>
      <w:pPr>
        <w:jc w:val="both"/>
        <w:ind w:left="1640" w:right="60"/>
        <w:spacing w:after="0" w:line="262" w:lineRule="auto"/>
        <w:rPr>
          <w:rFonts w:ascii="Arial" w:cs="Arial" w:eastAsia="Arial" w:hAnsi="Arial"/>
          <w:sz w:val="19"/>
          <w:szCs w:val="19"/>
          <w:color w:val="auto"/>
        </w:rPr>
      </w:pPr>
      <w:r>
        <w:rPr>
          <w:rFonts w:ascii="Arial" w:cs="Arial" w:eastAsia="Arial" w:hAnsi="Arial"/>
          <w:sz w:val="18"/>
          <w:szCs w:val="18"/>
          <w:color w:val="auto"/>
        </w:rPr>
        <w:t xml:space="preserve">““Base Rate” means for any day a fluctuating rate per annum equal to the highest of (a) the Federal Funds Rate plus 1/2 of 1%, (b) the rate of interest in effect for such day as publicly announced from time to time by Bank of America as its “prime rate,” and (c) the LIBOR Rate plus 1.00% (which rate, for the avoidance of doubt, shall not be less than the LIBOR Floor).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clauses (a) and (b) above and shall be determined without reference to clause (c) above.</w:t>
      </w:r>
    </w:p>
    <w:p>
      <w:pPr>
        <w:spacing w:after="0" w:line="158" w:lineRule="exact"/>
        <w:rPr>
          <w:sz w:val="20"/>
          <w:szCs w:val="20"/>
          <w:color w:val="auto"/>
        </w:rPr>
      </w:pPr>
    </w:p>
    <w:p>
      <w:pPr>
        <w:jc w:val="both"/>
        <w:ind w:left="1620" w:right="60" w:hanging="854"/>
        <w:spacing w:after="0" w:line="242" w:lineRule="auto"/>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definition of “Disposition” is hereby amended by adding “and whether effected pursuant to a Division or otherwise” in the second line of such definition after “whether in one transaction or in a series of transactions”.</w:t>
      </w:r>
    </w:p>
    <w:p>
      <w:pPr>
        <w:spacing w:after="0" w:line="167" w:lineRule="exact"/>
        <w:rPr>
          <w:rFonts w:ascii="Arial" w:cs="Arial" w:eastAsia="Arial" w:hAnsi="Arial"/>
          <w:sz w:val="20"/>
          <w:szCs w:val="20"/>
          <w:color w:val="auto"/>
        </w:rPr>
      </w:pPr>
    </w:p>
    <w:p>
      <w:pPr>
        <w:ind w:left="1620" w:right="60" w:hanging="854"/>
        <w:spacing w:after="0" w:line="252" w:lineRule="auto"/>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definition of “Federal Funds Rate” is hereby deleted in its entirety and the following is substituted in its stead:</w:t>
      </w:r>
    </w:p>
    <w:p>
      <w:pPr>
        <w:spacing w:after="0" w:line="158" w:lineRule="exact"/>
        <w:rPr>
          <w:rFonts w:ascii="Arial" w:cs="Arial" w:eastAsia="Arial" w:hAnsi="Arial"/>
          <w:sz w:val="20"/>
          <w:szCs w:val="20"/>
          <w:color w:val="auto"/>
        </w:rPr>
      </w:pPr>
    </w:p>
    <w:p>
      <w:pPr>
        <w:jc w:val="both"/>
        <w:ind w:left="1640" w:right="60"/>
        <w:spacing w:after="0" w:line="267" w:lineRule="auto"/>
        <w:rPr>
          <w:rFonts w:ascii="Arial" w:cs="Arial" w:eastAsia="Arial" w:hAnsi="Arial"/>
          <w:sz w:val="20"/>
          <w:szCs w:val="20"/>
          <w:color w:val="auto"/>
        </w:rPr>
      </w:pPr>
      <w:r>
        <w:rPr>
          <w:rFonts w:ascii="Arial" w:cs="Arial" w:eastAsia="Arial" w:hAnsi="Arial"/>
          <w:sz w:val="18"/>
          <w:szCs w:val="18"/>
          <w:color w:val="auto"/>
        </w:rPr>
        <w:t>““Federal Funds Rate”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194945</wp:posOffset>
            </wp:positionV>
            <wp:extent cx="71596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2">
            <w:col w:w="220" w:space="720"/>
            <w:col w:w="10340"/>
          </w:cols>
          <w:pgMar w:left="340" w:top="332" w:right="279" w:bottom="1440" w:gutter="0" w:footer="0" w:header="0"/>
        </w:sectPr>
      </w:pPr>
    </w:p>
    <w:bookmarkStart w:id="7" w:name="page8"/>
    <w:bookmarkEnd w:id="7"/>
    <w:p>
      <w:pPr>
        <w:ind w:left="1460" w:hanging="854"/>
        <w:spacing w:after="0" w:line="252" w:lineRule="auto"/>
        <w:tabs>
          <w:tab w:leader="none" w:pos="1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definition of “FILO Advance Rate” is hereby deleted in its entirety and the following is substituted in its stead:</w:t>
      </w:r>
    </w:p>
    <w:p>
      <w:pPr>
        <w:spacing w:after="0" w:line="158"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“FILO Advance Rate” shall mean the percentages set forth below:</w:t>
      </w:r>
    </w:p>
    <w:p>
      <w:pPr>
        <w:spacing w:after="0" w:line="189"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446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8"/>
                <w:szCs w:val="18"/>
                <w:color w:val="auto"/>
              </w:rPr>
              <w:t>Period</w:t>
            </w:r>
          </w:p>
        </w:tc>
        <w:tc>
          <w:tcPr>
            <w:tcW w:w="40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FILO Advance Rate</w:t>
            </w:r>
          </w:p>
        </w:tc>
      </w:tr>
      <w:tr>
        <w:trPr>
          <w:trHeight w:val="176"/>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4060" w:type="dxa"/>
            <w:vAlign w:val="bottom"/>
            <w:tcBorders>
              <w:bottom w:val="single" w:sz="8" w:color="auto"/>
              <w:right w:val="single" w:sz="8" w:color="auto"/>
            </w:tcBorders>
          </w:tcPr>
          <w:p>
            <w:pPr>
              <w:spacing w:after="0"/>
              <w:rPr>
                <w:sz w:val="15"/>
                <w:szCs w:val="15"/>
                <w:color w:val="auto"/>
              </w:rPr>
            </w:pPr>
          </w:p>
        </w:tc>
      </w:tr>
      <w:tr>
        <w:trPr>
          <w:trHeight w:val="185"/>
        </w:trPr>
        <w:tc>
          <w:tcPr>
            <w:tcW w:w="4460" w:type="dxa"/>
            <w:vAlign w:val="bottom"/>
            <w:tcBorders>
              <w:left w:val="single" w:sz="8" w:color="auto"/>
              <w:right w:val="single" w:sz="8" w:color="auto"/>
            </w:tcBorders>
          </w:tcPr>
          <w:p>
            <w:pPr>
              <w:spacing w:after="0" w:line="185" w:lineRule="exact"/>
              <w:rPr>
                <w:sz w:val="20"/>
                <w:szCs w:val="20"/>
                <w:color w:val="auto"/>
              </w:rPr>
            </w:pPr>
            <w:r>
              <w:rPr>
                <w:rFonts w:ascii="Arial" w:cs="Arial" w:eastAsia="Arial" w:hAnsi="Arial"/>
                <w:sz w:val="18"/>
                <w:szCs w:val="18"/>
                <w:color w:val="auto"/>
              </w:rPr>
              <w:t>From  the  Third  Amendment  Effective  Date  through</w:t>
            </w:r>
          </w:p>
        </w:tc>
        <w:tc>
          <w:tcPr>
            <w:tcW w:w="406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10%</w:t>
            </w:r>
          </w:p>
        </w:tc>
      </w:tr>
      <w:tr>
        <w:trPr>
          <w:trHeight w:val="231"/>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December 31, 2020</w:t>
            </w:r>
          </w:p>
        </w:tc>
        <w:tc>
          <w:tcPr>
            <w:tcW w:w="4060" w:type="dxa"/>
            <w:vAlign w:val="bottom"/>
            <w:tcBorders>
              <w:right w:val="single" w:sz="8" w:color="auto"/>
            </w:tcBorders>
          </w:tcPr>
          <w:p>
            <w:pPr>
              <w:spacing w:after="0"/>
              <w:rPr>
                <w:sz w:val="20"/>
                <w:szCs w:val="20"/>
                <w:color w:val="auto"/>
              </w:rPr>
            </w:pPr>
          </w:p>
        </w:tc>
      </w:tr>
      <w:tr>
        <w:trPr>
          <w:trHeight w:val="193"/>
        </w:trPr>
        <w:tc>
          <w:tcPr>
            <w:tcW w:w="4460" w:type="dxa"/>
            <w:vAlign w:val="bottom"/>
            <w:tcBorders>
              <w:left w:val="single" w:sz="8" w:color="auto"/>
              <w:bottom w:val="single" w:sz="8" w:color="auto"/>
              <w:right w:val="single" w:sz="8" w:color="auto"/>
            </w:tcBorders>
          </w:tcPr>
          <w:p>
            <w:pPr>
              <w:spacing w:after="0"/>
              <w:rPr>
                <w:sz w:val="16"/>
                <w:szCs w:val="16"/>
                <w:color w:val="auto"/>
              </w:rPr>
            </w:pPr>
          </w:p>
        </w:tc>
        <w:tc>
          <w:tcPr>
            <w:tcW w:w="4060" w:type="dxa"/>
            <w:vAlign w:val="bottom"/>
            <w:tcBorders>
              <w:bottom w:val="single" w:sz="8" w:color="auto"/>
              <w:right w:val="single" w:sz="8" w:color="auto"/>
            </w:tcBorders>
          </w:tcPr>
          <w:p>
            <w:pPr>
              <w:spacing w:after="0"/>
              <w:rPr>
                <w:sz w:val="16"/>
                <w:szCs w:val="16"/>
                <w:color w:val="auto"/>
              </w:rPr>
            </w:pPr>
          </w:p>
        </w:tc>
      </w:tr>
      <w:tr>
        <w:trPr>
          <w:trHeight w:val="223"/>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From January 1, 2021 until May 24, 2021</w:t>
            </w:r>
          </w:p>
        </w:tc>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7.5%</w:t>
            </w:r>
          </w:p>
        </w:tc>
      </w:tr>
      <w:tr>
        <w:trPr>
          <w:trHeight w:val="176"/>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4060" w:type="dxa"/>
            <w:vAlign w:val="bottom"/>
            <w:tcBorders>
              <w:bottom w:val="single" w:sz="8" w:color="auto"/>
              <w:right w:val="single" w:sz="8" w:color="auto"/>
            </w:tcBorders>
          </w:tcPr>
          <w:p>
            <w:pPr>
              <w:spacing w:after="0"/>
              <w:rPr>
                <w:sz w:val="15"/>
                <w:szCs w:val="15"/>
                <w:color w:val="auto"/>
              </w:rPr>
            </w:pPr>
          </w:p>
        </w:tc>
      </w:tr>
      <w:tr>
        <w:trPr>
          <w:trHeight w:val="223"/>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From May 25, 2021 until the Maturity Date</w:t>
            </w:r>
          </w:p>
        </w:tc>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r>
      <w:tr>
        <w:trPr>
          <w:trHeight w:val="176"/>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4060" w:type="dxa"/>
            <w:vAlign w:val="bottom"/>
            <w:tcBorders>
              <w:bottom w:val="single" w:sz="8" w:color="auto"/>
              <w:right w:val="single" w:sz="8" w:color="auto"/>
            </w:tcBorders>
          </w:tcPr>
          <w:p>
            <w:pPr>
              <w:spacing w:after="0"/>
              <w:rPr>
                <w:sz w:val="15"/>
                <w:szCs w:val="15"/>
                <w:color w:val="auto"/>
              </w:rPr>
            </w:pPr>
          </w:p>
        </w:tc>
      </w:tr>
    </w:tbl>
    <w:p>
      <w:pPr>
        <w:spacing w:after="0" w:line="376" w:lineRule="exact"/>
        <w:rPr>
          <w:sz w:val="20"/>
          <w:szCs w:val="20"/>
          <w:color w:val="auto"/>
        </w:rPr>
      </w:pPr>
    </w:p>
    <w:p>
      <w:pPr>
        <w:ind w:left="1460" w:hanging="854"/>
        <w:spacing w:after="0" w:line="252" w:lineRule="auto"/>
        <w:tabs>
          <w:tab w:leader="none" w:pos="1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definition of “FILO IP Advance Rate” is hereby deleted in its entirety and the following is substituted in its stead:</w:t>
      </w:r>
    </w:p>
    <w:p>
      <w:pPr>
        <w:spacing w:after="0" w:line="158"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“FILO IP Advance Rate” shall mean the percentages set forth below:</w:t>
      </w:r>
    </w:p>
    <w:p>
      <w:pPr>
        <w:spacing w:after="0" w:line="189" w:lineRule="exact"/>
        <w:rPr>
          <w:sz w:val="20"/>
          <w:szCs w:val="20"/>
          <w:color w:val="auto"/>
        </w:rPr>
      </w:pPr>
    </w:p>
    <w:tbl>
      <w:tblPr>
        <w:tblLayout w:type="fixed"/>
        <w:tblInd w:w="1710" w:type="dxa"/>
        <w:tblCellMar>
          <w:top w:w="0" w:type="dxa"/>
          <w:left w:w="0" w:type="dxa"/>
          <w:bottom w:w="0" w:type="dxa"/>
          <w:right w:w="0" w:type="dxa"/>
        </w:tblCellMar>
      </w:tblPr>
      <w:tr>
        <w:trPr>
          <w:trHeight w:val="234"/>
        </w:trPr>
        <w:tc>
          <w:tcPr>
            <w:tcW w:w="37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Period</w:t>
            </w:r>
          </w:p>
        </w:tc>
        <w:tc>
          <w:tcPr>
            <w:tcW w:w="4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FILO IP Advance Rate</w:t>
            </w:r>
          </w:p>
        </w:tc>
      </w:tr>
      <w:tr>
        <w:trPr>
          <w:trHeight w:val="195"/>
        </w:trPr>
        <w:tc>
          <w:tcPr>
            <w:tcW w:w="3780" w:type="dxa"/>
            <w:vAlign w:val="bottom"/>
            <w:tcBorders>
              <w:left w:val="single" w:sz="8" w:color="auto"/>
              <w:right w:val="single" w:sz="8" w:color="auto"/>
            </w:tcBorders>
          </w:tcPr>
          <w:p>
            <w:pPr>
              <w:spacing w:after="0" w:line="195" w:lineRule="exact"/>
              <w:rPr>
                <w:sz w:val="20"/>
                <w:szCs w:val="20"/>
                <w:color w:val="auto"/>
              </w:rPr>
            </w:pPr>
            <w:r>
              <w:rPr>
                <w:rFonts w:ascii="Arial" w:cs="Arial" w:eastAsia="Arial" w:hAnsi="Arial"/>
                <w:sz w:val="20"/>
                <w:szCs w:val="20"/>
                <w:color w:val="auto"/>
                <w:w w:val="99"/>
              </w:rPr>
              <w:t>From the Third Amendment Effective Date</w:t>
            </w:r>
          </w:p>
        </w:tc>
        <w:tc>
          <w:tcPr>
            <w:tcW w:w="4640" w:type="dxa"/>
            <w:vAlign w:val="bottom"/>
            <w:tcBorders>
              <w:right w:val="single" w:sz="8" w:color="auto"/>
            </w:tcBorders>
          </w:tcPr>
          <w:p>
            <w:pPr>
              <w:spacing w:after="0" w:line="195" w:lineRule="exact"/>
              <w:rPr>
                <w:sz w:val="20"/>
                <w:szCs w:val="20"/>
                <w:color w:val="auto"/>
              </w:rPr>
            </w:pPr>
            <w:r>
              <w:rPr>
                <w:rFonts w:ascii="Arial" w:cs="Arial" w:eastAsia="Arial" w:hAnsi="Arial"/>
                <w:sz w:val="20"/>
                <w:szCs w:val="20"/>
                <w:color w:val="auto"/>
              </w:rPr>
              <w:t>50%</w:t>
            </w:r>
          </w:p>
        </w:tc>
      </w:tr>
      <w:tr>
        <w:trPr>
          <w:trHeight w:val="241"/>
        </w:trPr>
        <w:tc>
          <w:tcPr>
            <w:tcW w:w="37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through </w:t>
            </w:r>
            <w:r>
              <w:rPr>
                <w:rFonts w:ascii="Arial" w:cs="Arial" w:eastAsia="Arial" w:hAnsi="Arial"/>
                <w:sz w:val="18"/>
                <w:szCs w:val="18"/>
                <w:color w:val="auto"/>
              </w:rPr>
              <w:t>December 31, 2020</w:t>
            </w:r>
          </w:p>
        </w:tc>
        <w:tc>
          <w:tcPr>
            <w:tcW w:w="4640" w:type="dxa"/>
            <w:vAlign w:val="bottom"/>
            <w:tcBorders>
              <w:bottom w:val="single" w:sz="8" w:color="auto"/>
              <w:right w:val="single" w:sz="8" w:color="auto"/>
            </w:tcBorders>
          </w:tcPr>
          <w:p>
            <w:pPr>
              <w:spacing w:after="0"/>
              <w:rPr>
                <w:sz w:val="20"/>
                <w:szCs w:val="20"/>
                <w:color w:val="auto"/>
              </w:rPr>
            </w:pPr>
          </w:p>
        </w:tc>
      </w:tr>
      <w:tr>
        <w:trPr>
          <w:trHeight w:val="214"/>
        </w:trPr>
        <w:tc>
          <w:tcPr>
            <w:tcW w:w="378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w w:val="94"/>
              </w:rPr>
              <w:t>From January 1, 2021 through May 24, 2021</w:t>
            </w:r>
          </w:p>
        </w:tc>
        <w:tc>
          <w:tcPr>
            <w:tcW w:w="4640" w:type="dxa"/>
            <w:vAlign w:val="bottom"/>
            <w:tcBorders>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rPr>
              <w:t>45%</w:t>
            </w:r>
          </w:p>
        </w:tc>
      </w:tr>
      <w:tr>
        <w:trPr>
          <w:trHeight w:val="214"/>
        </w:trPr>
        <w:tc>
          <w:tcPr>
            <w:tcW w:w="378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rPr>
              <w:t>From May 25, 2021 through May 24, 2022</w:t>
            </w:r>
          </w:p>
        </w:tc>
        <w:tc>
          <w:tcPr>
            <w:tcW w:w="4640" w:type="dxa"/>
            <w:vAlign w:val="bottom"/>
            <w:tcBorders>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rPr>
              <w:t>40%</w:t>
            </w:r>
          </w:p>
        </w:tc>
      </w:tr>
      <w:tr>
        <w:trPr>
          <w:trHeight w:val="214"/>
        </w:trPr>
        <w:tc>
          <w:tcPr>
            <w:tcW w:w="378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w w:val="92"/>
              </w:rPr>
              <w:t>From May 25, 2022 through the Maturity Date</w:t>
            </w:r>
          </w:p>
        </w:tc>
        <w:tc>
          <w:tcPr>
            <w:tcW w:w="4640" w:type="dxa"/>
            <w:vAlign w:val="bottom"/>
            <w:tcBorders>
              <w:bottom w:val="single" w:sz="8" w:color="auto"/>
              <w:right w:val="single" w:sz="8" w:color="auto"/>
            </w:tcBorders>
          </w:tcPr>
          <w:p>
            <w:pPr>
              <w:spacing w:after="0" w:line="214" w:lineRule="exact"/>
              <w:rPr>
                <w:sz w:val="20"/>
                <w:szCs w:val="20"/>
                <w:color w:val="auto"/>
              </w:rPr>
            </w:pPr>
            <w:r>
              <w:rPr>
                <w:rFonts w:ascii="Arial" w:cs="Arial" w:eastAsia="Arial" w:hAnsi="Arial"/>
                <w:sz w:val="20"/>
                <w:szCs w:val="20"/>
                <w:color w:val="auto"/>
              </w:rPr>
              <w:t>35%</w:t>
            </w:r>
          </w:p>
        </w:tc>
      </w:tr>
    </w:tbl>
    <w:p>
      <w:pPr>
        <w:spacing w:after="0" w:line="376" w:lineRule="exact"/>
        <w:rPr>
          <w:sz w:val="20"/>
          <w:szCs w:val="20"/>
          <w:color w:val="auto"/>
        </w:rPr>
      </w:pPr>
    </w:p>
    <w:p>
      <w:pPr>
        <w:ind w:left="1580" w:right="140" w:hanging="974"/>
        <w:spacing w:after="0" w:line="437" w:lineRule="auto"/>
        <w:tabs>
          <w:tab w:leader="none" w:pos="146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definition of “LIBOR Rate” is hereby deleted in its entirety and the following is substituted in its stead: ““LIBOR Rate” means the higher of:</w:t>
      </w:r>
    </w:p>
    <w:p>
      <w:pPr>
        <w:spacing w:after="0" w:line="1" w:lineRule="exact"/>
        <w:rPr>
          <w:rFonts w:ascii="Arial" w:cs="Arial" w:eastAsia="Arial" w:hAnsi="Arial"/>
          <w:sz w:val="20"/>
          <w:szCs w:val="20"/>
          <w:color w:val="auto"/>
        </w:rPr>
      </w:pPr>
    </w:p>
    <w:p>
      <w:pPr>
        <w:ind w:left="2480" w:hanging="240"/>
        <w:spacing w:after="0"/>
        <w:tabs>
          <w:tab w:leader="none" w:pos="248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LIBOR Floor, and</w:t>
      </w:r>
    </w:p>
    <w:p>
      <w:pPr>
        <w:spacing w:after="0" w:line="189" w:lineRule="exact"/>
        <w:rPr>
          <w:rFonts w:ascii="Arial" w:cs="Arial" w:eastAsia="Arial" w:hAnsi="Arial"/>
          <w:sz w:val="20"/>
          <w:szCs w:val="20"/>
          <w:color w:val="auto"/>
        </w:rPr>
      </w:pPr>
    </w:p>
    <w:p>
      <w:pPr>
        <w:jc w:val="both"/>
        <w:ind w:left="2340"/>
        <w:spacing w:after="0" w:line="242" w:lineRule="auto"/>
        <w:tabs>
          <w:tab w:leader="none" w:pos="2640" w:val="left"/>
        </w:tabs>
        <w:numPr>
          <w:ilvl w:val="2"/>
          <w:numId w:val="9"/>
        </w:numPr>
        <w:rPr>
          <w:rFonts w:ascii="Arial" w:cs="Arial" w:eastAsia="Arial" w:hAnsi="Arial"/>
          <w:sz w:val="20"/>
          <w:szCs w:val="20"/>
          <w:color w:val="auto"/>
        </w:rPr>
      </w:pPr>
      <w:r>
        <w:rPr>
          <w:rFonts w:ascii="Arial" w:cs="Arial" w:eastAsia="Arial" w:hAnsi="Arial"/>
          <w:sz w:val="20"/>
          <w:szCs w:val="20"/>
          <w:color w:val="auto"/>
        </w:rPr>
        <w:t>(a) for any Interest Period with respect to a LIBOR Rate Loan, the rate per annum equal to the London Interbank Offered Rate as administered by ICE Benchmark Administration or any other Person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8" w:name="page9"/>
    <w:bookmarkEnd w:id="8"/>
    <w:p>
      <w:pPr>
        <w:jc w:val="both"/>
        <w:ind w:left="2340"/>
        <w:spacing w:after="0" w:line="250" w:lineRule="auto"/>
        <w:rPr>
          <w:sz w:val="20"/>
          <w:szCs w:val="20"/>
          <w:color w:val="auto"/>
        </w:rPr>
      </w:pPr>
      <w:r>
        <w:rPr>
          <w:rFonts w:ascii="Arial" w:cs="Arial" w:eastAsia="Arial" w:hAnsi="Arial"/>
          <w:sz w:val="19"/>
          <w:szCs w:val="19"/>
          <w:color w:val="auto"/>
        </w:rPr>
        <w:t>that takes over the administration of such rate for U.S. Dollars for a period equal in length to such Interest Period (“</w:t>
      </w:r>
      <w:r>
        <w:rPr>
          <w:rFonts w:ascii="Arial" w:cs="Arial" w:eastAsia="Arial" w:hAnsi="Arial"/>
          <w:sz w:val="19"/>
          <w:szCs w:val="19"/>
          <w:u w:val="single" w:color="auto"/>
          <w:color w:val="auto"/>
        </w:rPr>
        <w:t>LIBOR</w:t>
      </w:r>
      <w:r>
        <w:rPr>
          <w:rFonts w:ascii="Arial" w:cs="Arial" w:eastAsia="Arial" w:hAnsi="Arial"/>
          <w:sz w:val="19"/>
          <w:szCs w:val="19"/>
          <w:color w:val="auto"/>
        </w:rPr>
        <w:t>”) as published on the applicable Bloomberg screen page (or such other commercially available source providing such quotations as may be designated by the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64" w:lineRule="exact"/>
        <w:rPr>
          <w:sz w:val="20"/>
          <w:szCs w:val="20"/>
          <w:color w:val="auto"/>
        </w:rPr>
      </w:pPr>
    </w:p>
    <w:p>
      <w:pPr>
        <w:jc w:val="both"/>
        <w:ind w:left="2340"/>
        <w:spacing w:after="0" w:line="282" w:lineRule="auto"/>
        <w:tabs>
          <w:tab w:leader="none" w:pos="31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or about 11:00 a.m., London time determined two London Banking Days prior to such date for U.S. Dollar deposits with a term of one month commencing that day.”</w:t>
      </w:r>
    </w:p>
    <w:p>
      <w:pPr>
        <w:spacing w:after="0" w:line="133" w:lineRule="exact"/>
        <w:rPr>
          <w:rFonts w:ascii="Arial" w:cs="Arial" w:eastAsia="Arial" w:hAnsi="Arial"/>
          <w:sz w:val="18"/>
          <w:szCs w:val="18"/>
          <w:color w:val="auto"/>
        </w:rPr>
      </w:pPr>
    </w:p>
    <w:p>
      <w:pPr>
        <w:ind w:left="1460" w:hanging="854"/>
        <w:spacing w:after="0" w:line="252" w:lineRule="auto"/>
        <w:tabs>
          <w:tab w:leader="none" w:pos="1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definition of “LIBOR Rate Loan” is hereby amended by deleting the reference to “Adjusted LIBOR Rate” and substituting “LIBOR Rate” in its stead.</w:t>
      </w:r>
    </w:p>
    <w:p>
      <w:pPr>
        <w:spacing w:after="0" w:line="158" w:lineRule="exact"/>
        <w:rPr>
          <w:rFonts w:ascii="Arial" w:cs="Arial" w:eastAsia="Arial" w:hAnsi="Arial"/>
          <w:sz w:val="20"/>
          <w:szCs w:val="20"/>
          <w:color w:val="auto"/>
        </w:rPr>
      </w:pPr>
    </w:p>
    <w:p>
      <w:pPr>
        <w:jc w:val="both"/>
        <w:ind w:left="1460" w:hanging="854"/>
        <w:spacing w:after="0" w:line="242" w:lineRule="auto"/>
        <w:tabs>
          <w:tab w:leader="none" w:pos="1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definition of “Permitted Indebtedness” is hereby amended by (i) deleting the conjunction “and” at the end of clause (i) therein, (ii) adding the following new clause (j) at the end thereof and (iii) relettering the existing clause (j) as clause (k):</w:t>
      </w:r>
    </w:p>
    <w:p>
      <w:pPr>
        <w:spacing w:after="0" w:line="168" w:lineRule="exact"/>
        <w:rPr>
          <w:sz w:val="20"/>
          <w:szCs w:val="20"/>
          <w:color w:val="auto"/>
        </w:rPr>
      </w:pPr>
    </w:p>
    <w:p>
      <w:pPr>
        <w:jc w:val="both"/>
        <w:ind w:left="1480"/>
        <w:spacing w:after="0" w:line="238" w:lineRule="auto"/>
        <w:rPr>
          <w:sz w:val="20"/>
          <w:szCs w:val="20"/>
          <w:color w:val="auto"/>
        </w:rPr>
      </w:pPr>
      <w:r>
        <w:rPr>
          <w:rFonts w:ascii="Arial" w:cs="Arial" w:eastAsia="Arial" w:hAnsi="Arial"/>
          <w:sz w:val="20"/>
          <w:szCs w:val="20"/>
          <w:color w:val="auto"/>
        </w:rPr>
        <w:t>“(j) Indebtedness evidenced by promissory notes entered into with merchandise vendors in satisfaction of outstanding account payables balances for existing goods that have already been shipped and with interest rates, maturity and other terms that are otherwise acceptable to the Agent in an aggregate principal amount not to exceed $15,000,000 in the aggregate; and”</w:t>
      </w:r>
    </w:p>
    <w:p>
      <w:pPr>
        <w:spacing w:after="0" w:line="173" w:lineRule="exact"/>
        <w:rPr>
          <w:sz w:val="20"/>
          <w:szCs w:val="20"/>
          <w:color w:val="auto"/>
        </w:rPr>
      </w:pPr>
    </w:p>
    <w:p>
      <w:pPr>
        <w:ind w:left="1460" w:hanging="854"/>
        <w:spacing w:after="0" w:line="252" w:lineRule="auto"/>
        <w:tabs>
          <w:tab w:leader="none" w:pos="14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definitions of “Adjusted LIBOR Rate”, “Covenant Compliance Event” and “Statutory Reserve Rate” are hereby deleted in their entirety.</w:t>
      </w:r>
    </w:p>
    <w:p>
      <w:pPr>
        <w:spacing w:after="0" w:line="158" w:lineRule="exact"/>
        <w:rPr>
          <w:rFonts w:ascii="Arial" w:cs="Arial" w:eastAsia="Arial" w:hAnsi="Arial"/>
          <w:sz w:val="20"/>
          <w:szCs w:val="20"/>
          <w:color w:val="auto"/>
        </w:rPr>
      </w:pPr>
    </w:p>
    <w:p>
      <w:pPr>
        <w:ind w:left="1480" w:right="2780" w:hanging="874"/>
        <w:spacing w:after="0" w:line="437" w:lineRule="auto"/>
        <w:tabs>
          <w:tab w:leader="none" w:pos="1474"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By adding the following new definitions in appropriate alphabetical order: ““Adjustment”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1480"/>
        <w:spacing w:after="0" w:line="252" w:lineRule="auto"/>
        <w:rPr>
          <w:rFonts w:ascii="Arial" w:cs="Arial" w:eastAsia="Arial" w:hAnsi="Arial"/>
          <w:sz w:val="20"/>
          <w:szCs w:val="20"/>
          <w:color w:val="auto"/>
        </w:rPr>
      </w:pPr>
      <w:r>
        <w:rPr>
          <w:rFonts w:ascii="Arial" w:cs="Arial" w:eastAsia="Arial" w:hAnsi="Arial"/>
          <w:sz w:val="20"/>
          <w:szCs w:val="20"/>
          <w:color w:val="auto"/>
        </w:rPr>
        <w:t>““BHC Act Affiliate” of a party means an “affiliate” (as such term is defined under, and interpreted in accordance with, 12 U.S.C. 1841(k)) of such party.”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9" w:name="page10"/>
    <w:bookmarkEnd w:id="9"/>
    <w:p>
      <w:pPr>
        <w:jc w:val="both"/>
        <w:ind w:left="1480"/>
        <w:spacing w:after="0" w:line="238" w:lineRule="auto"/>
        <w:rPr>
          <w:sz w:val="20"/>
          <w:szCs w:val="20"/>
          <w:color w:val="auto"/>
        </w:rPr>
      </w:pPr>
      <w:r>
        <w:rPr>
          <w:rFonts w:ascii="Arial" w:cs="Arial" w:eastAsia="Arial" w:hAnsi="Arial"/>
          <w:sz w:val="20"/>
          <w:szCs w:val="20"/>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““Covered Party” has the meaning specified in Section 10.26.”</w:t>
      </w:r>
    </w:p>
    <w:p>
      <w:pPr>
        <w:spacing w:after="0" w:line="189" w:lineRule="exact"/>
        <w:rPr>
          <w:sz w:val="20"/>
          <w:szCs w:val="20"/>
          <w:color w:val="auto"/>
        </w:rPr>
      </w:pPr>
    </w:p>
    <w:p>
      <w:pPr>
        <w:jc w:val="both"/>
        <w:ind w:left="1480"/>
        <w:spacing w:after="0" w:line="252"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“Dividing Person” has the meaning assigned to it in the definition of “Division.”</w:t>
      </w:r>
    </w:p>
    <w:p>
      <w:pPr>
        <w:spacing w:after="0" w:line="189" w:lineRule="exact"/>
        <w:rPr>
          <w:sz w:val="20"/>
          <w:szCs w:val="20"/>
          <w:color w:val="auto"/>
        </w:rPr>
      </w:pPr>
    </w:p>
    <w:p>
      <w:pPr>
        <w:jc w:val="both"/>
        <w:ind w:left="1480"/>
        <w:spacing w:after="0" w:line="282" w:lineRule="auto"/>
        <w:rPr>
          <w:sz w:val="20"/>
          <w:szCs w:val="20"/>
          <w:color w:val="auto"/>
        </w:rPr>
      </w:pPr>
      <w:r>
        <w:rPr>
          <w:rFonts w:ascii="Arial" w:cs="Arial" w:eastAsia="Arial" w:hAnsi="Arial"/>
          <w:sz w:val="18"/>
          <w:szCs w:val="18"/>
          <w:color w:val="auto"/>
        </w:rPr>
        <w:t>“Division”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34" w:lineRule="exact"/>
        <w:rPr>
          <w:sz w:val="20"/>
          <w:szCs w:val="20"/>
          <w:color w:val="auto"/>
        </w:rPr>
      </w:pPr>
    </w:p>
    <w:p>
      <w:pPr>
        <w:ind w:left="1480" w:right="2980"/>
        <w:spacing w:after="0" w:line="437" w:lineRule="auto"/>
        <w:rPr>
          <w:sz w:val="20"/>
          <w:szCs w:val="20"/>
          <w:color w:val="auto"/>
        </w:rPr>
      </w:pPr>
      <w:r>
        <w:rPr>
          <w:rFonts w:ascii="Arial" w:cs="Arial" w:eastAsia="Arial" w:hAnsi="Arial"/>
          <w:sz w:val="20"/>
          <w:szCs w:val="20"/>
          <w:color w:val="auto"/>
        </w:rPr>
        <w:t>““LIBOR” has the meaning specified in the definition of LIBOR Rate.” ““LIBOR Floor” means 1.00% per annum.”</w:t>
      </w:r>
    </w:p>
    <w:p>
      <w:pPr>
        <w:spacing w:after="0" w:line="1" w:lineRule="exact"/>
        <w:rPr>
          <w:sz w:val="20"/>
          <w:szCs w:val="20"/>
          <w:color w:val="auto"/>
        </w:rPr>
      </w:pPr>
    </w:p>
    <w:p>
      <w:pPr>
        <w:jc w:val="both"/>
        <w:ind w:left="1480"/>
        <w:spacing w:after="0" w:line="242" w:lineRule="auto"/>
        <w:rPr>
          <w:sz w:val="20"/>
          <w:szCs w:val="20"/>
          <w:color w:val="auto"/>
        </w:rPr>
      </w:pPr>
      <w:r>
        <w:rPr>
          <w:rFonts w:ascii="Arial" w:cs="Arial" w:eastAsia="Arial" w:hAnsi="Arial"/>
          <w:sz w:val="20"/>
          <w:szCs w:val="20"/>
          <w:color w:val="auto"/>
        </w:rPr>
        <w:t>““LIBOR Screen Rate” means the LIBOR quote on the applicable screen page the Agent designates to determine LIBOR (or such other commercially available source providing such quotations as may be designated by the Agent from time to time).”</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 xml:space="preserve">““LIBOR Successor Rate”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89" w:lineRule="exact"/>
        <w:rPr>
          <w:sz w:val="20"/>
          <w:szCs w:val="20"/>
          <w:color w:val="auto"/>
        </w:rPr>
      </w:pPr>
    </w:p>
    <w:p>
      <w:pPr>
        <w:jc w:val="both"/>
        <w:ind w:left="1480"/>
        <w:spacing w:after="0" w:line="264" w:lineRule="auto"/>
        <w:rPr>
          <w:sz w:val="20"/>
          <w:szCs w:val="20"/>
          <w:color w:val="auto"/>
        </w:rPr>
      </w:pPr>
      <w:r>
        <w:rPr>
          <w:rFonts w:ascii="Arial" w:cs="Arial" w:eastAsia="Arial" w:hAnsi="Arial"/>
          <w:sz w:val="18"/>
          <w:szCs w:val="18"/>
          <w:color w:val="auto"/>
        </w:rPr>
        <w:t>““LIBOR Successor Rate Conforming Changes”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Agent, to reflect the adoption and implementation of such LIBOR Successor Rate and to permit the administration thereof by the Agent in a manner substantially consistent with market practice (or, if the Agent determines that adoption of any portion of such market practice is not administratively feasible or that no market practice for the administration of such LIBOR Successor Rate exists, in such other manner of administration as the Agent determines 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10" w:name="page11"/>
    <w:bookmarkEnd w:id="10"/>
    <w:p>
      <w:pPr>
        <w:ind w:left="1480"/>
        <w:spacing w:after="0"/>
        <w:rPr>
          <w:sz w:val="20"/>
          <w:szCs w:val="20"/>
          <w:color w:val="auto"/>
        </w:rPr>
      </w:pPr>
      <w:r>
        <w:rPr>
          <w:rFonts w:ascii="Arial" w:cs="Arial" w:eastAsia="Arial" w:hAnsi="Arial"/>
          <w:sz w:val="20"/>
          <w:szCs w:val="20"/>
          <w:color w:val="auto"/>
        </w:rPr>
        <w:t>reasonably necessary in connection with the administration of this Agreement).”</w:t>
      </w:r>
    </w:p>
    <w:p>
      <w:pPr>
        <w:spacing w:after="0" w:line="189" w:lineRule="exact"/>
        <w:rPr>
          <w:sz w:val="20"/>
          <w:szCs w:val="20"/>
          <w:color w:val="auto"/>
        </w:rPr>
      </w:pPr>
    </w:p>
    <w:p>
      <w:pPr>
        <w:jc w:val="both"/>
        <w:ind w:left="1480"/>
        <w:spacing w:after="0" w:line="252" w:lineRule="auto"/>
        <w:rPr>
          <w:sz w:val="20"/>
          <w:szCs w:val="20"/>
          <w:color w:val="auto"/>
        </w:rPr>
      </w:pPr>
      <w:r>
        <w:rPr>
          <w:rFonts w:ascii="Arial" w:cs="Arial" w:eastAsia="Arial" w:hAnsi="Arial"/>
          <w:sz w:val="20"/>
          <w:szCs w:val="20"/>
          <w:color w:val="auto"/>
        </w:rPr>
        <w:t>““London Banking Day” means any day on which dealings in Dollar deposits are conducted by and between banks in the London interbank eurodollar market.”</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 xml:space="preserve">““QFC Credit Support” has the meaning specified in </w:t>
      </w:r>
      <w:r>
        <w:rPr>
          <w:rFonts w:ascii="Arial" w:cs="Arial" w:eastAsia="Arial" w:hAnsi="Arial"/>
          <w:sz w:val="20"/>
          <w:szCs w:val="20"/>
          <w:u w:val="single" w:color="auto"/>
          <w:color w:val="auto"/>
        </w:rPr>
        <w:t>Section 10.26</w:t>
      </w:r>
      <w:r>
        <w:rPr>
          <w:rFonts w:ascii="Arial" w:cs="Arial" w:eastAsia="Arial" w:hAnsi="Arial"/>
          <w:sz w:val="20"/>
          <w:szCs w:val="20"/>
          <w:color w:val="auto"/>
        </w:rPr>
        <w:t>. ”</w:t>
      </w:r>
    </w:p>
    <w:p>
      <w:pPr>
        <w:spacing w:after="0" w:line="189" w:lineRule="exact"/>
        <w:rPr>
          <w:sz w:val="20"/>
          <w:szCs w:val="20"/>
          <w:color w:val="auto"/>
        </w:rPr>
      </w:pPr>
    </w:p>
    <w:p>
      <w:pPr>
        <w:jc w:val="both"/>
        <w:ind w:left="1480"/>
        <w:spacing w:after="0" w:line="238" w:lineRule="auto"/>
        <w:rPr>
          <w:sz w:val="20"/>
          <w:szCs w:val="20"/>
          <w:color w:val="auto"/>
        </w:rPr>
      </w:pPr>
      <w:r>
        <w:rPr>
          <w:rFonts w:ascii="Arial" w:cs="Arial" w:eastAsia="Arial" w:hAnsi="Arial"/>
          <w:sz w:val="20"/>
          <w:szCs w:val="20"/>
          <w:color w:val="auto"/>
        </w:rPr>
        <w:t>““Relevant Governmental Body” means the Federal Reserve Board and/or the Federal Reserve Bank of New York, or a committee officially endorsed or convened by the Federal Reserve Board and/or the Federal Reserve Bank of New York for the purpose of recommending a benchmark rate to replace LIBOR Rate in loan agreements similar to this Agreement.”</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 xml:space="preserve">““Scheduled Unavailability Date”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89" w:lineRule="exact"/>
        <w:rPr>
          <w:sz w:val="20"/>
          <w:szCs w:val="20"/>
          <w:color w:val="auto"/>
        </w:rPr>
      </w:pPr>
    </w:p>
    <w:p>
      <w:pPr>
        <w:jc w:val="both"/>
        <w:ind w:left="1480"/>
        <w:spacing w:after="0" w:line="255" w:lineRule="auto"/>
        <w:rPr>
          <w:sz w:val="20"/>
          <w:szCs w:val="20"/>
          <w:color w:val="auto"/>
        </w:rPr>
      </w:pPr>
      <w:r>
        <w:rPr>
          <w:rFonts w:ascii="Arial" w:cs="Arial" w:eastAsia="Arial" w:hAnsi="Arial"/>
          <w:sz w:val="19"/>
          <w:szCs w:val="19"/>
          <w:color w:val="auto"/>
        </w:rPr>
        <w:t>““SOFR”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 ”</w:t>
      </w:r>
    </w:p>
    <w:p>
      <w:pPr>
        <w:spacing w:after="0" w:line="157" w:lineRule="exact"/>
        <w:rPr>
          <w:sz w:val="20"/>
          <w:szCs w:val="20"/>
          <w:color w:val="auto"/>
        </w:rPr>
      </w:pPr>
    </w:p>
    <w:p>
      <w:pPr>
        <w:ind w:left="1480" w:right="3560"/>
        <w:spacing w:after="0" w:line="486" w:lineRule="auto"/>
        <w:rPr>
          <w:sz w:val="20"/>
          <w:szCs w:val="20"/>
          <w:color w:val="auto"/>
        </w:rPr>
      </w:pPr>
      <w:r>
        <w:rPr>
          <w:rFonts w:ascii="Arial" w:cs="Arial" w:eastAsia="Arial" w:hAnsi="Arial"/>
          <w:sz w:val="18"/>
          <w:szCs w:val="18"/>
          <w:color w:val="auto"/>
        </w:rPr>
        <w:t xml:space="preserve">““SOFR-Based Rate” means SOFR or Term SOFR.” ““Supported QFC” has the meaning specified in </w:t>
      </w:r>
      <w:r>
        <w:rPr>
          <w:rFonts w:ascii="Arial" w:cs="Arial" w:eastAsia="Arial" w:hAnsi="Arial"/>
          <w:sz w:val="18"/>
          <w:szCs w:val="18"/>
          <w:u w:val="single" w:color="auto"/>
          <w:color w:val="auto"/>
        </w:rPr>
        <w:t>Section 10.26</w:t>
      </w:r>
      <w:r>
        <w:rPr>
          <w:rFonts w:ascii="Arial" w:cs="Arial" w:eastAsia="Arial" w:hAnsi="Arial"/>
          <w:sz w:val="18"/>
          <w:szCs w:val="18"/>
          <w:color w:val="auto"/>
        </w:rPr>
        <w:t>.”</w:t>
      </w:r>
    </w:p>
    <w:p>
      <w:pPr>
        <w:spacing w:after="0" w:line="1" w:lineRule="exact"/>
        <w:rPr>
          <w:sz w:val="20"/>
          <w:szCs w:val="20"/>
          <w:color w:val="auto"/>
        </w:rPr>
      </w:pPr>
    </w:p>
    <w:p>
      <w:pPr>
        <w:jc w:val="both"/>
        <w:ind w:left="1480"/>
        <w:spacing w:after="0" w:line="237" w:lineRule="auto"/>
        <w:rPr>
          <w:sz w:val="20"/>
          <w:szCs w:val="20"/>
          <w:color w:val="auto"/>
        </w:rPr>
      </w:pPr>
      <w:r>
        <w:rPr>
          <w:rFonts w:ascii="Arial" w:cs="Arial" w:eastAsia="Arial" w:hAnsi="Arial"/>
          <w:sz w:val="20"/>
          <w:szCs w:val="20"/>
          <w:color w:val="auto"/>
        </w:rPr>
        <w:t>““Term SOFR” means the forward-looking term rate for any period that is approximately (as determined by the Agent) as long as any of the Interest Period options set forth in the definition of “Interest Period” and that is based on SOFR and that has been selected or recommended by the Relevant Governmental Body, in each case as published on an information service as selected by the Agent from time to time in its reasonable discretion.”</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““Third Amendment Effective Date” means April 15, 2020.”</w:t>
      </w:r>
    </w:p>
    <w:p>
      <w:pPr>
        <w:spacing w:after="0" w:line="18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 xml:space="preserve">““U.S. Special Resolution Regimes” has the meaning specified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189" w:lineRule="exact"/>
        <w:rPr>
          <w:sz w:val="20"/>
          <w:szCs w:val="20"/>
          <w:color w:val="auto"/>
        </w:rPr>
      </w:pPr>
    </w:p>
    <w:p>
      <w:pPr>
        <w:ind w:left="1460" w:hanging="854"/>
        <w:spacing w:after="0"/>
        <w:tabs>
          <w:tab w:leader="none" w:pos="14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By adding the following new clause (e) at the end of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thereof:</w:t>
      </w:r>
    </w:p>
    <w:p>
      <w:pPr>
        <w:spacing w:after="0" w:line="189" w:lineRule="exact"/>
        <w:rPr>
          <w:sz w:val="20"/>
          <w:szCs w:val="20"/>
          <w:color w:val="auto"/>
        </w:rPr>
      </w:pPr>
    </w:p>
    <w:p>
      <w:pPr>
        <w:ind w:left="600"/>
        <w:spacing w:after="0" w:line="252" w:lineRule="auto"/>
        <w:rPr>
          <w:sz w:val="20"/>
          <w:szCs w:val="20"/>
          <w:color w:val="auto"/>
        </w:rPr>
      </w:pPr>
      <w:r>
        <w:rPr>
          <w:rFonts w:ascii="Arial" w:cs="Arial" w:eastAsia="Arial" w:hAnsi="Arial"/>
          <w:sz w:val="20"/>
          <w:szCs w:val="20"/>
          <w:color w:val="auto"/>
        </w:rPr>
        <w:t>“(e) Any reference herein to a merger, transfer, consolidation, amalgamation, consolidation, assignment, sale, disposition or transfer, or similar term, shall be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11" w:name="page12"/>
    <w:bookmarkEnd w:id="11"/>
    <w:p>
      <w:pPr>
        <w:jc w:val="both"/>
        <w:ind w:left="858"/>
        <w:spacing w:after="0" w:line="236" w:lineRule="auto"/>
        <w:rPr>
          <w:sz w:val="20"/>
          <w:szCs w:val="20"/>
          <w:color w:val="auto"/>
        </w:rPr>
      </w:pPr>
      <w:r>
        <w:rPr>
          <w:rFonts w:ascii="Arial" w:cs="Arial" w:eastAsia="Arial" w:hAnsi="Arial"/>
          <w:sz w:val="20"/>
          <w:szCs w:val="20"/>
          <w:color w:val="auto"/>
        </w:rPr>
        <w:t>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3" w:lineRule="exact"/>
        <w:rPr>
          <w:sz w:val="20"/>
          <w:szCs w:val="20"/>
          <w:color w:val="auto"/>
        </w:rPr>
      </w:pPr>
    </w:p>
    <w:p>
      <w:pPr>
        <w:ind w:left="1718" w:hanging="854"/>
        <w:spacing w:after="0"/>
        <w:tabs>
          <w:tab w:leader="none" w:pos="1718"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By adding the following new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at the end of such </w:t>
      </w:r>
      <w:r>
        <w:rPr>
          <w:rFonts w:ascii="Arial" w:cs="Arial" w:eastAsia="Arial" w:hAnsi="Arial"/>
          <w:sz w:val="20"/>
          <w:szCs w:val="20"/>
          <w:u w:val="single" w:color="auto"/>
          <w:color w:val="auto"/>
        </w:rPr>
        <w:t>Article I</w:t>
      </w:r>
      <w:r>
        <w:rPr>
          <w:rFonts w:ascii="Arial" w:cs="Arial" w:eastAsia="Arial" w:hAnsi="Arial"/>
          <w:sz w:val="20"/>
          <w:szCs w:val="20"/>
          <w:color w:val="auto"/>
        </w:rPr>
        <w:t xml:space="preserve"> thereof:</w:t>
      </w:r>
    </w:p>
    <w:p>
      <w:pPr>
        <w:spacing w:after="0" w:line="183" w:lineRule="exact"/>
        <w:rPr>
          <w:sz w:val="20"/>
          <w:szCs w:val="20"/>
          <w:color w:val="auto"/>
        </w:rPr>
      </w:pPr>
    </w:p>
    <w:p>
      <w:pPr>
        <w:jc w:val="both"/>
        <w:ind w:left="173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1.07 Interest Rates</w:t>
      </w:r>
      <w:r>
        <w:rPr>
          <w:rFonts w:ascii="Arial" w:cs="Arial" w:eastAsia="Arial" w:hAnsi="Arial"/>
          <w:sz w:val="19"/>
          <w:szCs w:val="19"/>
          <w:color w:val="auto"/>
        </w:rPr>
        <w:t>. The Agent does not warrant, nor accept responsibility, nor shall the Agent have any liability with respect to the administration, submission or any other matter related to the rates in the definition of “LIBOR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57" w:lineRule="exact"/>
        <w:rPr>
          <w:sz w:val="20"/>
          <w:szCs w:val="20"/>
          <w:color w:val="auto"/>
        </w:rPr>
      </w:pPr>
    </w:p>
    <w:p>
      <w:pPr>
        <w:jc w:val="both"/>
        <w:ind w:left="858" w:hanging="858"/>
        <w:spacing w:after="0" w:line="242" w:lineRule="auto"/>
        <w:tabs>
          <w:tab w:leader="none" w:pos="85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Section 2.08</w:t>
      </w:r>
      <w:r>
        <w:rPr>
          <w:rFonts w:ascii="Arial" w:cs="Arial" w:eastAsia="Arial" w:hAnsi="Arial"/>
          <w:sz w:val="20"/>
          <w:szCs w:val="20"/>
          <w:color w:val="auto"/>
        </w:rPr>
        <w:t xml:space="preserve"> of the Credit Agreement is hereby amended by (i) deleting each reference in such Section to “Adjusted LIBOR Rate” and substituting “LIBOR Rate” in its stead and (ii) adding “and </w:t>
      </w:r>
      <w:r>
        <w:rPr>
          <w:rFonts w:ascii="Arial" w:cs="Arial" w:eastAsia="Arial" w:hAnsi="Arial"/>
          <w:sz w:val="20"/>
          <w:szCs w:val="20"/>
          <w:u w:val="single" w:color="auto"/>
          <w:color w:val="auto"/>
        </w:rPr>
        <w:t>Section 3.03(b)</w:t>
      </w:r>
      <w:r>
        <w:rPr>
          <w:rFonts w:ascii="Arial" w:cs="Arial" w:eastAsia="Arial" w:hAnsi="Arial"/>
          <w:sz w:val="20"/>
          <w:szCs w:val="20"/>
          <w:color w:val="auto"/>
        </w:rPr>
        <w:t>” right before subclause (a)(i).</w:t>
      </w:r>
    </w:p>
    <w:p>
      <w:pPr>
        <w:spacing w:after="0" w:line="167" w:lineRule="exact"/>
        <w:rPr>
          <w:rFonts w:ascii="Arial" w:cs="Arial" w:eastAsia="Arial" w:hAnsi="Arial"/>
          <w:sz w:val="20"/>
          <w:szCs w:val="20"/>
          <w:color w:val="auto"/>
        </w:rPr>
      </w:pPr>
    </w:p>
    <w:p>
      <w:pPr>
        <w:ind w:left="858" w:hanging="858"/>
        <w:spacing w:after="0" w:line="252" w:lineRule="auto"/>
        <w:tabs>
          <w:tab w:leader="none" w:pos="85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of the Credit Agreement is hereby amended by adding “Subject to the provisions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3.03(b)</w:t>
      </w:r>
      <w:r>
        <w:rPr>
          <w:rFonts w:ascii="Arial" w:cs="Arial" w:eastAsia="Arial" w:hAnsi="Arial"/>
          <w:sz w:val="20"/>
          <w:szCs w:val="20"/>
          <w:color w:val="auto"/>
        </w:rPr>
        <w:t xml:space="preserve"> below” at the beginning of such Section.</w:t>
      </w:r>
    </w:p>
    <w:p>
      <w:pPr>
        <w:spacing w:after="0" w:line="158" w:lineRule="exact"/>
        <w:rPr>
          <w:rFonts w:ascii="Arial" w:cs="Arial" w:eastAsia="Arial" w:hAnsi="Arial"/>
          <w:sz w:val="20"/>
          <w:szCs w:val="20"/>
          <w:color w:val="auto"/>
        </w:rPr>
      </w:pPr>
    </w:p>
    <w:p>
      <w:pPr>
        <w:jc w:val="both"/>
        <w:ind w:left="858" w:hanging="858"/>
        <w:spacing w:after="0" w:line="242" w:lineRule="auto"/>
        <w:tabs>
          <w:tab w:leader="none" w:pos="85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of the Credit Agreement is hereby amended by (i) labeling the existing paragraph in such Section as clause (a), (ii) adding “Subject to </w:t>
      </w:r>
      <w:r>
        <w:rPr>
          <w:rFonts w:ascii="Arial" w:cs="Arial" w:eastAsia="Arial" w:hAnsi="Arial"/>
          <w:sz w:val="20"/>
          <w:szCs w:val="20"/>
          <w:u w:val="single" w:color="auto"/>
          <w:color w:val="auto"/>
        </w:rPr>
        <w:t>Section 3.03(b) below</w:t>
      </w:r>
      <w:r>
        <w:rPr>
          <w:rFonts w:ascii="Arial" w:cs="Arial" w:eastAsia="Arial" w:hAnsi="Arial"/>
          <w:sz w:val="20"/>
          <w:szCs w:val="20"/>
          <w:color w:val="auto"/>
        </w:rPr>
        <w:t>,” to the beginning of such new clause (a) and (iii) adding the following new clause (b) at the end thereof:</w:t>
      </w:r>
    </w:p>
    <w:p>
      <w:pPr>
        <w:spacing w:after="0" w:line="168" w:lineRule="exact"/>
        <w:rPr>
          <w:sz w:val="20"/>
          <w:szCs w:val="20"/>
          <w:color w:val="auto"/>
        </w:rPr>
      </w:pPr>
    </w:p>
    <w:p>
      <w:pPr>
        <w:jc w:val="both"/>
        <w:ind w:left="858"/>
        <w:spacing w:after="0" w:line="238" w:lineRule="auto"/>
        <w:rPr>
          <w:sz w:val="20"/>
          <w:szCs w:val="20"/>
          <w:color w:val="auto"/>
        </w:rPr>
      </w:pPr>
      <w:r>
        <w:rPr>
          <w:rFonts w:ascii="Arial" w:cs="Arial" w:eastAsia="Arial" w:hAnsi="Arial"/>
          <w:sz w:val="20"/>
          <w:szCs w:val="20"/>
          <w:color w:val="auto"/>
        </w:rPr>
        <w:t>“(b) Notwithstanding anything to the contrary in this Agreement or any other Loan Documents, if the Agent determines (which determination shall be conclusive absent manifest error), or the Lead Borrower or Required Lenders notify the Agent (with, in the case of the Required Lenders, a copy to the Lead Borrower) that the Lead Borrower or Required Lenders (as applicable) have determined, that:</w:t>
      </w:r>
    </w:p>
    <w:p>
      <w:pPr>
        <w:spacing w:after="0" w:line="173" w:lineRule="exact"/>
        <w:rPr>
          <w:sz w:val="20"/>
          <w:szCs w:val="20"/>
          <w:color w:val="auto"/>
        </w:rPr>
      </w:pPr>
    </w:p>
    <w:p>
      <w:pPr>
        <w:jc w:val="both"/>
        <w:ind w:left="858" w:firstLine="741"/>
        <w:spacing w:after="0" w:line="242" w:lineRule="auto"/>
        <w:tabs>
          <w:tab w:leader="none" w:pos="236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38"/>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194945</wp:posOffset>
            </wp:positionV>
            <wp:extent cx="71596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378"/>
          </w:cols>
          <w:pgMar w:left="1182" w:top="318" w:right="339" w:bottom="1440" w:gutter="0" w:footer="0" w:header="0"/>
        </w:sectPr>
      </w:pPr>
    </w:p>
    <w:bookmarkStart w:id="12" w:name="page13"/>
    <w:bookmarkEnd w:id="12"/>
    <w:p>
      <w:pPr>
        <w:jc w:val="both"/>
        <w:ind w:left="600" w:firstLine="741"/>
        <w:spacing w:after="0" w:line="252" w:lineRule="auto"/>
        <w:tabs>
          <w:tab w:leader="none" w:pos="216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Agent, that will continue to provide LIBOR after such specific date (such specific date, the “Scheduled Unavailability Date”); or</w:t>
      </w:r>
    </w:p>
    <w:p>
      <w:pPr>
        <w:spacing w:after="0" w:line="160" w:lineRule="exact"/>
        <w:rPr>
          <w:rFonts w:ascii="Arial" w:cs="Arial" w:eastAsia="Arial" w:hAnsi="Arial"/>
          <w:sz w:val="19"/>
          <w:szCs w:val="19"/>
          <w:color w:val="auto"/>
        </w:rPr>
      </w:pPr>
    </w:p>
    <w:p>
      <w:pPr>
        <w:jc w:val="both"/>
        <w:ind w:left="600" w:firstLine="741"/>
        <w:spacing w:after="0" w:line="242" w:lineRule="auto"/>
        <w:tabs>
          <w:tab w:leader="none" w:pos="1719"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syndicated loans currently being executed, or that include language similar to that contained in this </w:t>
      </w:r>
      <w:r>
        <w:rPr>
          <w:rFonts w:ascii="Arial" w:cs="Arial" w:eastAsia="Arial" w:hAnsi="Arial"/>
          <w:sz w:val="20"/>
          <w:szCs w:val="20"/>
          <w:u w:val="single" w:color="auto"/>
          <w:color w:val="auto"/>
        </w:rPr>
        <w:t>Section 3.03</w:t>
      </w:r>
      <w:r>
        <w:rPr>
          <w:rFonts w:ascii="Arial" w:cs="Arial" w:eastAsia="Arial" w:hAnsi="Arial"/>
          <w:sz w:val="20"/>
          <w:szCs w:val="20"/>
          <w:color w:val="auto"/>
        </w:rPr>
        <w:t>, are being executed or amended (as applicable) to incorporate or adopt a new benchmark interest rate to replace LIBOR,</w:t>
      </w:r>
    </w:p>
    <w:p>
      <w:pPr>
        <w:spacing w:after="0" w:line="168"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color w:val="auto"/>
        </w:rPr>
        <w:t xml:space="preserve">then, reasonably promptly after such determination by the Agent or receipt by the Agent of such notice, as applicable, the Agent and the Lead Borrower may amend this Agreement solely for the purpose of replacing LIBOR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with (x) one or more SOFR-Based Rates or (y) another alternate benchmark rate giving due consideration to any evolving or then existing convention for similar U.S. dollar denominated syndicated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Agent from time to time in its reasonable discretion and may be periodically updated (the “Adjustment;” and any such proposed rate, a “LIBOR Successor Rate”), and any such amendment shall become effective at 5:00 p.m. on the fifth Business Day after the Agent shall have posted such proposed amendment to all Lenders and the Lead Borrower unless, prior to such time, Lenders comprising the Required Lenders have delivered to the Agent written notice that such Required Lenders (A) in the case of an amendment to replace LIBOR with a rate described in clause (x), object to the Adjustment; or (B) in the case of an amendment to replace LIBOR with a rate described in clause (y), object to such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Agent, such LIBOR Successor Rate shall be applied in a manner as otherwise reasonably determined by the Agent.</w:t>
      </w:r>
    </w:p>
    <w:p>
      <w:pPr>
        <w:spacing w:after="0" w:line="158" w:lineRule="exact"/>
        <w:rPr>
          <w:sz w:val="20"/>
          <w:szCs w:val="20"/>
          <w:color w:val="auto"/>
        </w:rPr>
      </w:pPr>
    </w:p>
    <w:p>
      <w:pPr>
        <w:jc w:val="both"/>
        <w:ind w:left="600"/>
        <w:spacing w:after="0" w:line="242" w:lineRule="auto"/>
        <w:rPr>
          <w:sz w:val="20"/>
          <w:szCs w:val="20"/>
          <w:color w:val="auto"/>
        </w:rPr>
      </w:pPr>
      <w:r>
        <w:rPr>
          <w:rFonts w:ascii="Arial" w:cs="Arial" w:eastAsia="Arial" w:hAnsi="Arial"/>
          <w:sz w:val="20"/>
          <w:szCs w:val="20"/>
          <w:color w:val="auto"/>
        </w:rPr>
        <w:t>If no LIBOR Successor Rate has been determined and the circumstances under clause (i) above exist or the Scheduled Unavailability Date has occurred (as applicable), the Agent will promptly so notify the Lead Borrower and each Lender. Thereafter, (x) the obligation of the Lenders to make or maintain LIBOR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13" w:name="page14"/>
    <w:bookmarkEnd w:id="13"/>
    <w:p>
      <w:pPr>
        <w:jc w:val="both"/>
        <w:ind w:left="858"/>
        <w:spacing w:after="0" w:line="236" w:lineRule="auto"/>
        <w:rPr>
          <w:sz w:val="20"/>
          <w:szCs w:val="20"/>
          <w:color w:val="auto"/>
        </w:rPr>
      </w:pPr>
      <w:r>
        <w:rPr>
          <w:rFonts w:ascii="Arial" w:cs="Arial" w:eastAsia="Arial" w:hAnsi="Arial"/>
          <w:sz w:val="20"/>
          <w:szCs w:val="20"/>
          <w:color w:val="auto"/>
        </w:rPr>
        <w:t>Rate Loans shall be suspended, (to the extent of the affected LIBOR Rate Loans or Interest Periods), and (y) the LIBOR Rate component shall no longer be utilized in determining the Base Rate. Upon receipt of such notice, the Lead Borrower may revoke any pending request for a Borrowing of, conversion to or continuation of LIBOR Rate Loans (to the extent of the affected LIBOR Rate Loans or Interest Periods) or, failing that, will be deemed to have converted such request into a request for a Committed Borrowing of Base Rate Loans (subject to the foregoing clause (y)) in the amount specified therein.</w:t>
      </w:r>
    </w:p>
    <w:p>
      <w:pPr>
        <w:spacing w:after="0" w:line="173" w:lineRule="exact"/>
        <w:rPr>
          <w:sz w:val="20"/>
          <w:szCs w:val="20"/>
          <w:color w:val="auto"/>
        </w:rPr>
      </w:pPr>
    </w:p>
    <w:p>
      <w:pPr>
        <w:jc w:val="both"/>
        <w:ind w:left="858"/>
        <w:spacing w:after="0" w:line="252"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59" w:lineRule="exact"/>
        <w:rPr>
          <w:sz w:val="20"/>
          <w:szCs w:val="20"/>
          <w:color w:val="auto"/>
        </w:rPr>
      </w:pPr>
    </w:p>
    <w:p>
      <w:pPr>
        <w:jc w:val="both"/>
        <w:ind w:left="858" w:firstLine="9"/>
        <w:spacing w:after="0" w:line="267" w:lineRule="auto"/>
        <w:tabs>
          <w:tab w:leader="none" w:pos="1669"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In connection with the implementation of a LIBOR Successor Rate, the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Agent shall post each such amendment implementing such LIBOR Successor Conforming Changes to the Lenders reasonably promptly after such amendment becomes effective.”</w:t>
      </w:r>
    </w:p>
    <w:p>
      <w:pPr>
        <w:spacing w:after="0" w:line="148" w:lineRule="exact"/>
        <w:rPr>
          <w:rFonts w:ascii="Arial" w:cs="Arial" w:eastAsia="Arial" w:hAnsi="Arial"/>
          <w:sz w:val="18"/>
          <w:szCs w:val="18"/>
          <w:color w:val="auto"/>
        </w:rPr>
      </w:pPr>
    </w:p>
    <w:p>
      <w:pPr>
        <w:ind w:left="858" w:hanging="858"/>
        <w:spacing w:after="0" w:line="252" w:lineRule="auto"/>
        <w:tabs>
          <w:tab w:leader="none" w:pos="858"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of the Credit Agreement is hereby amended by adding “(including, in each case, pursuant to a Division)” in the heading of such Section after “(or agree to do any of the foregoing)”.</w:t>
      </w:r>
    </w:p>
    <w:p>
      <w:pPr>
        <w:spacing w:after="0" w:line="158" w:lineRule="exact"/>
        <w:rPr>
          <w:rFonts w:ascii="Arial" w:cs="Arial" w:eastAsia="Arial" w:hAnsi="Arial"/>
          <w:sz w:val="20"/>
          <w:szCs w:val="20"/>
          <w:color w:val="auto"/>
        </w:rPr>
      </w:pPr>
    </w:p>
    <w:p>
      <w:pPr>
        <w:ind w:left="858" w:hanging="858"/>
        <w:spacing w:after="0"/>
        <w:tabs>
          <w:tab w:leader="none" w:pos="858"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The provisions of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of the Credit Agreement are hereby amended as follows:</w:t>
      </w:r>
    </w:p>
    <w:p>
      <w:pPr>
        <w:spacing w:after="0" w:line="189" w:lineRule="exact"/>
        <w:rPr>
          <w:rFonts w:ascii="Arial" w:cs="Arial" w:eastAsia="Arial" w:hAnsi="Arial"/>
          <w:sz w:val="20"/>
          <w:szCs w:val="20"/>
          <w:color w:val="auto"/>
        </w:rPr>
      </w:pPr>
    </w:p>
    <w:p>
      <w:pPr>
        <w:ind w:left="1718" w:hanging="854"/>
        <w:spacing w:after="0" w:line="252" w:lineRule="auto"/>
        <w:tabs>
          <w:tab w:leader="none" w:pos="1718"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of the Credit Agreement is hereby amended by deleting the introductory paragraph in its entirety and substituting the following paragraph in its stead:</w:t>
      </w:r>
    </w:p>
    <w:p>
      <w:pPr>
        <w:spacing w:after="0" w:line="158" w:lineRule="exact"/>
        <w:rPr>
          <w:rFonts w:ascii="Arial" w:cs="Arial" w:eastAsia="Arial" w:hAnsi="Arial"/>
          <w:sz w:val="20"/>
          <w:szCs w:val="20"/>
          <w:color w:val="auto"/>
        </w:rPr>
      </w:pPr>
    </w:p>
    <w:p>
      <w:pPr>
        <w:jc w:val="both"/>
        <w:ind w:left="1738"/>
        <w:spacing w:after="0" w:line="238" w:lineRule="auto"/>
        <w:rPr>
          <w:rFonts w:ascii="Arial" w:cs="Arial" w:eastAsia="Arial" w:hAnsi="Arial"/>
          <w:sz w:val="20"/>
          <w:szCs w:val="20"/>
          <w:color w:val="auto"/>
        </w:rPr>
      </w:pPr>
      <w:r>
        <w:rPr>
          <w:rFonts w:ascii="Arial" w:cs="Arial" w:eastAsia="Arial" w:hAnsi="Arial"/>
          <w:sz w:val="20"/>
          <w:szCs w:val="20"/>
          <w:color w:val="auto"/>
        </w:rPr>
        <w:t>“Declare or make, directly or indirectly, any Restricted Payment, or incur any obligation (contingent or otherwise) to do so, except that at any time after December 31, 2020, each of the following shall be permitted so long as no Default or Event of Default shall have occurred and be continuing prior, or immediately after giving effect, to the following, or would result therefrom:”</w:t>
      </w:r>
    </w:p>
    <w:p>
      <w:pPr>
        <w:spacing w:after="0" w:line="173" w:lineRule="exact"/>
        <w:rPr>
          <w:rFonts w:ascii="Arial" w:cs="Arial" w:eastAsia="Arial" w:hAnsi="Arial"/>
          <w:sz w:val="20"/>
          <w:szCs w:val="20"/>
          <w:color w:val="auto"/>
        </w:rPr>
      </w:pPr>
    </w:p>
    <w:p>
      <w:pPr>
        <w:ind w:left="1718" w:hanging="854"/>
        <w:spacing w:after="0" w:line="252" w:lineRule="auto"/>
        <w:tabs>
          <w:tab w:leader="none" w:pos="1718"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Section 7.15</w:t>
      </w:r>
      <w:r>
        <w:rPr>
          <w:rFonts w:ascii="Arial" w:cs="Arial" w:eastAsia="Arial" w:hAnsi="Arial"/>
          <w:sz w:val="20"/>
          <w:szCs w:val="20"/>
          <w:color w:val="auto"/>
        </w:rPr>
        <w:t xml:space="preserve"> of the Credit Agreement is hereby deleted in its entirety and the following is substituted in its stead: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98"/>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194945</wp:posOffset>
            </wp:positionV>
            <wp:extent cx="71596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378"/>
          </w:cols>
          <w:pgMar w:left="1182" w:top="318" w:right="339" w:bottom="1440" w:gutter="0" w:footer="0" w:header="0"/>
        </w:sectPr>
      </w:pPr>
    </w:p>
    <w:bookmarkStart w:id="14" w:name="page15"/>
    <w:bookmarkEnd w:id="14"/>
    <w:p>
      <w:pPr>
        <w:jc w:val="both"/>
        <w:ind w:left="1738" w:right="2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7.15 Financial Covenant</w:t>
      </w:r>
      <w:r>
        <w:rPr>
          <w:rFonts w:ascii="Arial" w:cs="Arial" w:eastAsia="Arial" w:hAnsi="Arial"/>
          <w:sz w:val="20"/>
          <w:szCs w:val="20"/>
          <w:color w:val="auto"/>
        </w:rPr>
        <w:t>. Permit Availability at any time to be less than the greater of (x) ten percent (10%) of the Revolving Loan Cap (calculated without giving effect to the FILO Push Down Reserve) or (y) $10,000,000.”</w:t>
      </w:r>
    </w:p>
    <w:p>
      <w:pPr>
        <w:spacing w:after="0" w:line="165" w:lineRule="exact"/>
        <w:rPr>
          <w:sz w:val="20"/>
          <w:szCs w:val="20"/>
          <w:color w:val="auto"/>
        </w:rPr>
      </w:pPr>
    </w:p>
    <w:p>
      <w:pPr>
        <w:ind w:left="1718" w:right="20" w:hanging="854"/>
        <w:spacing w:after="0" w:line="252" w:lineRule="auto"/>
        <w:tabs>
          <w:tab w:leader="none" w:pos="1718"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of the Credit Agreement is hereby amended by adding the following new </w:t>
      </w:r>
      <w:r>
        <w:rPr>
          <w:rFonts w:ascii="Arial" w:cs="Arial" w:eastAsia="Arial" w:hAnsi="Arial"/>
          <w:sz w:val="20"/>
          <w:szCs w:val="20"/>
          <w:u w:val="single" w:color="auto"/>
          <w:color w:val="auto"/>
        </w:rPr>
        <w:t>Section 7.16</w:t>
      </w:r>
      <w:r>
        <w:rPr>
          <w:rFonts w:ascii="Arial" w:cs="Arial" w:eastAsia="Arial" w:hAnsi="Arial"/>
          <w:sz w:val="20"/>
          <w:szCs w:val="20"/>
          <w:color w:val="auto"/>
        </w:rPr>
        <w:t xml:space="preserve"> at the end thereof:</w:t>
      </w:r>
    </w:p>
    <w:p>
      <w:pPr>
        <w:spacing w:after="0" w:line="152" w:lineRule="exact"/>
        <w:rPr>
          <w:rFonts w:ascii="Arial" w:cs="Arial" w:eastAsia="Arial" w:hAnsi="Arial"/>
          <w:sz w:val="20"/>
          <w:szCs w:val="20"/>
          <w:color w:val="auto"/>
        </w:rPr>
      </w:pPr>
    </w:p>
    <w:p>
      <w:pPr>
        <w:jc w:val="both"/>
        <w:ind w:left="1738" w:right="20"/>
        <w:spacing w:after="0" w:line="276"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7.16 Excess Cash Amounts.</w:t>
      </w:r>
      <w:r>
        <w:rPr>
          <w:rFonts w:ascii="Arial" w:cs="Arial" w:eastAsia="Arial" w:hAnsi="Arial"/>
          <w:sz w:val="18"/>
          <w:szCs w:val="18"/>
          <w:color w:val="auto"/>
        </w:rPr>
        <w:t xml:space="preserve"> The Loan Parties shall not permit the aggregate amount of cash in DDAs (including all disbursement accounts), the Controlled Accounts, and the Collection Account maintained by the Loan Parties to exceed $1,000,000 at any time that Availability is less than fifteen percent (15%) of the Borrowing Base (calculated without giving effect to the FILO Push Down Reserve).”</w:t>
      </w:r>
    </w:p>
    <w:p>
      <w:pPr>
        <w:spacing w:after="0" w:line="139" w:lineRule="exact"/>
        <w:rPr>
          <w:rFonts w:ascii="Arial" w:cs="Arial" w:eastAsia="Arial" w:hAnsi="Arial"/>
          <w:sz w:val="20"/>
          <w:szCs w:val="20"/>
          <w:color w:val="auto"/>
        </w:rPr>
      </w:pPr>
    </w:p>
    <w:p>
      <w:pPr>
        <w:ind w:left="858" w:hanging="858"/>
        <w:spacing w:after="0"/>
        <w:tabs>
          <w:tab w:leader="none" w:pos="858"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The provisions of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the Credit Agreement are hereby amended as follows:</w:t>
      </w:r>
    </w:p>
    <w:p>
      <w:pPr>
        <w:spacing w:after="0" w:line="189" w:lineRule="exact"/>
        <w:rPr>
          <w:rFonts w:ascii="Arial" w:cs="Arial" w:eastAsia="Arial" w:hAnsi="Arial"/>
          <w:sz w:val="20"/>
          <w:szCs w:val="20"/>
          <w:color w:val="auto"/>
        </w:rPr>
      </w:pPr>
    </w:p>
    <w:p>
      <w:pPr>
        <w:ind w:left="1718" w:right="20" w:hanging="854"/>
        <w:spacing w:after="0" w:line="252" w:lineRule="auto"/>
        <w:tabs>
          <w:tab w:leader="none" w:pos="1718"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of the Credit Agreement is hereby amended by adding “Subject to </w:t>
      </w:r>
      <w:r>
        <w:rPr>
          <w:rFonts w:ascii="Arial" w:cs="Arial" w:eastAsia="Arial" w:hAnsi="Arial"/>
          <w:sz w:val="20"/>
          <w:szCs w:val="20"/>
          <w:u w:val="single" w:color="auto"/>
          <w:color w:val="auto"/>
        </w:rPr>
        <w:t>Section 3.03(b)</w:t>
      </w:r>
      <w:r>
        <w:rPr>
          <w:rFonts w:ascii="Arial" w:cs="Arial" w:eastAsia="Arial" w:hAnsi="Arial"/>
          <w:sz w:val="20"/>
          <w:szCs w:val="20"/>
          <w:color w:val="auto"/>
        </w:rPr>
        <w:t>” at the beginning of clause (a) of such Section.</w:t>
      </w:r>
    </w:p>
    <w:p>
      <w:pPr>
        <w:spacing w:after="0" w:line="159" w:lineRule="exact"/>
        <w:rPr>
          <w:sz w:val="20"/>
          <w:szCs w:val="20"/>
          <w:color w:val="auto"/>
        </w:rPr>
      </w:pPr>
    </w:p>
    <w:p>
      <w:pPr>
        <w:ind w:left="1718" w:hanging="854"/>
        <w:spacing w:after="0"/>
        <w:tabs>
          <w:tab w:leader="none" w:pos="171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is hereby amended by (i) renumbering existing </w:t>
      </w:r>
      <w:r>
        <w:rPr>
          <w:rFonts w:ascii="Arial" w:cs="Arial" w:eastAsia="Arial" w:hAnsi="Arial"/>
          <w:sz w:val="18"/>
          <w:szCs w:val="18"/>
          <w:u w:val="single" w:color="auto"/>
          <w:color w:val="auto"/>
        </w:rPr>
        <w:t>Section 10.26</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Section</w:t>
      </w:r>
    </w:p>
    <w:p>
      <w:pPr>
        <w:spacing w:after="0" w:line="31" w:lineRule="exact"/>
        <w:rPr>
          <w:rFonts w:ascii="Arial" w:cs="Arial" w:eastAsia="Arial" w:hAnsi="Arial"/>
          <w:sz w:val="18"/>
          <w:szCs w:val="18"/>
          <w:color w:val="auto"/>
        </w:rPr>
      </w:pPr>
    </w:p>
    <w:p>
      <w:pPr>
        <w:ind w:left="1718"/>
        <w:spacing w:after="0"/>
        <w:rPr>
          <w:rFonts w:ascii="Arial" w:cs="Arial" w:eastAsia="Arial" w:hAnsi="Arial"/>
          <w:sz w:val="18"/>
          <w:szCs w:val="18"/>
          <w:color w:val="auto"/>
        </w:rPr>
      </w:pPr>
      <w:r>
        <w:rPr>
          <w:rFonts w:ascii="Arial" w:cs="Arial" w:eastAsia="Arial" w:hAnsi="Arial"/>
          <w:sz w:val="20"/>
          <w:szCs w:val="20"/>
          <w:u w:val="single" w:color="auto"/>
          <w:color w:val="auto"/>
        </w:rPr>
        <w:t>10.27</w:t>
      </w:r>
      <w:r>
        <w:rPr>
          <w:rFonts w:ascii="Arial" w:cs="Arial" w:eastAsia="Arial" w:hAnsi="Arial"/>
          <w:sz w:val="20"/>
          <w:szCs w:val="20"/>
          <w:color w:val="auto"/>
        </w:rPr>
        <w:t xml:space="preserve"> and (ii) adding the following new </w:t>
      </w:r>
      <w:r>
        <w:rPr>
          <w:rFonts w:ascii="Arial" w:cs="Arial" w:eastAsia="Arial" w:hAnsi="Arial"/>
          <w:sz w:val="20"/>
          <w:szCs w:val="20"/>
          <w:u w:val="single" w:color="auto"/>
          <w:color w:val="auto"/>
        </w:rPr>
        <w:t>Section 10.26</w:t>
      </w:r>
      <w:r>
        <w:rPr>
          <w:rFonts w:ascii="Arial" w:cs="Arial" w:eastAsia="Arial" w:hAnsi="Arial"/>
          <w:sz w:val="20"/>
          <w:szCs w:val="20"/>
          <w:color w:val="auto"/>
        </w:rPr>
        <w:t xml:space="preserve"> at the end thereof:</w:t>
      </w:r>
    </w:p>
    <w:p>
      <w:pPr>
        <w:spacing w:after="0" w:line="167" w:lineRule="exact"/>
        <w:rPr>
          <w:sz w:val="20"/>
          <w:szCs w:val="20"/>
          <w:color w:val="auto"/>
        </w:rPr>
      </w:pPr>
    </w:p>
    <w:p>
      <w:pPr>
        <w:jc w:val="both"/>
        <w:ind w:left="858" w:right="2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10.26 Acknowledgement Regarding Any Supported QFCs</w:t>
      </w:r>
      <w:r>
        <w:rPr>
          <w:rFonts w:ascii="Arial" w:cs="Arial" w:eastAsia="Arial" w:hAnsi="Arial"/>
          <w:sz w:val="19"/>
          <w:szCs w:val="19"/>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2" w:lineRule="exact"/>
        <w:rPr>
          <w:sz w:val="20"/>
          <w:szCs w:val="20"/>
          <w:color w:val="auto"/>
        </w:rPr>
      </w:pPr>
    </w:p>
    <w:p>
      <w:pPr>
        <w:jc w:val="both"/>
        <w:ind w:left="858" w:firstLine="9"/>
        <w:spacing w:after="0" w:line="237" w:lineRule="auto"/>
        <w:tabs>
          <w:tab w:leader="none" w:pos="1669"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98"/>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194945</wp:posOffset>
            </wp:positionV>
            <wp:extent cx="71596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398"/>
          </w:cols>
          <w:pgMar w:left="1182" w:top="312" w:right="319" w:bottom="1440" w:gutter="0" w:footer="0" w:header="0"/>
        </w:sectPr>
      </w:pPr>
    </w:p>
    <w:bookmarkStart w:id="15" w:name="page16"/>
    <w:bookmarkEnd w:id="15"/>
    <w:p>
      <w:pPr>
        <w:jc w:val="both"/>
        <w:ind w:left="1721"/>
        <w:spacing w:after="0" w:line="262" w:lineRule="auto"/>
        <w:rPr>
          <w:sz w:val="20"/>
          <w:szCs w:val="20"/>
          <w:color w:val="auto"/>
        </w:rPr>
      </w:pPr>
      <w:r>
        <w:rPr>
          <w:rFonts w:ascii="Arial" w:cs="Arial" w:eastAsia="Arial" w:hAnsi="Arial"/>
          <w:sz w:val="18"/>
          <w:szCs w:val="18"/>
          <w:color w:val="auto"/>
        </w:rPr>
        <w:t>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8" w:lineRule="exact"/>
        <w:rPr>
          <w:sz w:val="20"/>
          <w:szCs w:val="20"/>
          <w:color w:val="auto"/>
        </w:rPr>
      </w:pPr>
    </w:p>
    <w:p>
      <w:pPr>
        <w:ind w:left="1721" w:hanging="858"/>
        <w:spacing w:after="0" w:line="252" w:lineRule="auto"/>
        <w:tabs>
          <w:tab w:leader="none" w:pos="1721"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of the Credit Agreement is hereby amended and restated in its entirety as of the Third Amendment Effective Date as set forth in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w:t>
      </w:r>
    </w:p>
    <w:p>
      <w:pPr>
        <w:spacing w:after="0" w:line="158" w:lineRule="exact"/>
        <w:rPr>
          <w:rFonts w:ascii="Arial" w:cs="Arial" w:eastAsia="Arial" w:hAnsi="Arial"/>
          <w:sz w:val="20"/>
          <w:szCs w:val="20"/>
          <w:color w:val="auto"/>
        </w:rPr>
      </w:pPr>
    </w:p>
    <w:p>
      <w:pPr>
        <w:ind w:left="861" w:hanging="861"/>
        <w:spacing w:after="0" w:line="252" w:lineRule="auto"/>
        <w:tabs>
          <w:tab w:leader="none" w:pos="8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Third Amendment shall not be effective until each of the following conditions precedent has been fulfilled to the satisfaction of the Agent (such date being the “</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ind w:left="1721" w:hanging="858"/>
        <w:spacing w:after="0" w:line="252" w:lineRule="auto"/>
        <w:tabs>
          <w:tab w:leader="none" w:pos="1721"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This Third Amendment shall have been duly executed and delivered by the Loan Parties and the Required Supermajority Lenders. The Agent shall have received a fully executed original hereof.</w:t>
      </w:r>
    </w:p>
    <w:p>
      <w:pPr>
        <w:spacing w:after="0" w:line="158" w:lineRule="exact"/>
        <w:rPr>
          <w:rFonts w:ascii="Arial" w:cs="Arial" w:eastAsia="Arial" w:hAnsi="Arial"/>
          <w:sz w:val="20"/>
          <w:szCs w:val="20"/>
          <w:color w:val="auto"/>
        </w:rPr>
      </w:pPr>
    </w:p>
    <w:p>
      <w:pPr>
        <w:ind w:left="1721" w:hanging="858"/>
        <w:spacing w:after="0" w:line="252" w:lineRule="auto"/>
        <w:tabs>
          <w:tab w:leader="none" w:pos="1721" w:val="left"/>
        </w:tabs>
        <w:numPr>
          <w:ilvl w:val="1"/>
          <w:numId w:val="25"/>
        </w:numPr>
        <w:rPr>
          <w:rFonts w:ascii="Arial" w:cs="Arial" w:eastAsia="Arial" w:hAnsi="Arial"/>
          <w:sz w:val="20"/>
          <w:szCs w:val="20"/>
          <w:color w:val="auto"/>
        </w:rPr>
      </w:pPr>
      <w:r>
        <w:rPr>
          <w:rFonts w:ascii="Arial" w:cs="Arial" w:eastAsia="Arial" w:hAnsi="Arial"/>
          <w:sz w:val="20"/>
          <w:szCs w:val="20"/>
          <w:color w:val="auto"/>
        </w:rPr>
        <w:t>All action on the part of each Loan Party necessary for the valid execution, delivery and performance by such Loan Party of this Third Amendment shall have been duly and effectively taken.</w:t>
      </w:r>
    </w:p>
    <w:p>
      <w:pPr>
        <w:spacing w:after="0" w:line="158" w:lineRule="exact"/>
        <w:rPr>
          <w:rFonts w:ascii="Arial" w:cs="Arial" w:eastAsia="Arial" w:hAnsi="Arial"/>
          <w:sz w:val="20"/>
          <w:szCs w:val="20"/>
          <w:color w:val="auto"/>
        </w:rPr>
      </w:pPr>
    </w:p>
    <w:p>
      <w:pPr>
        <w:ind w:left="1721" w:hanging="858"/>
        <w:spacing w:after="0"/>
        <w:tabs>
          <w:tab w:leader="none" w:pos="1721" w:val="left"/>
        </w:tabs>
        <w:numPr>
          <w:ilvl w:val="1"/>
          <w:numId w:val="25"/>
        </w:numPr>
        <w:rPr>
          <w:rFonts w:ascii="Arial" w:cs="Arial" w:eastAsia="Arial" w:hAnsi="Arial"/>
          <w:sz w:val="19"/>
          <w:szCs w:val="19"/>
          <w:color w:val="auto"/>
        </w:rPr>
      </w:pPr>
      <w:r>
        <w:rPr>
          <w:rFonts w:ascii="Arial" w:cs="Arial" w:eastAsia="Arial" w:hAnsi="Arial"/>
          <w:sz w:val="19"/>
          <w:szCs w:val="19"/>
          <w:color w:val="auto"/>
        </w:rPr>
        <w:t>After giving effect to this Third Amendment, no Default or Event of Default shall have occurred and be continuing.</w:t>
      </w:r>
    </w:p>
    <w:p>
      <w:pPr>
        <w:spacing w:after="0" w:line="200" w:lineRule="exact"/>
        <w:rPr>
          <w:rFonts w:ascii="Arial" w:cs="Arial" w:eastAsia="Arial" w:hAnsi="Arial"/>
          <w:sz w:val="19"/>
          <w:szCs w:val="19"/>
          <w:color w:val="auto"/>
        </w:rPr>
      </w:pPr>
    </w:p>
    <w:p>
      <w:pPr>
        <w:ind w:left="1721" w:hanging="858"/>
        <w:spacing w:after="0"/>
        <w:tabs>
          <w:tab w:leader="none" w:pos="1721"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Agent shall have received an updated Borrowing Base Certificate.</w:t>
      </w:r>
    </w:p>
    <w:p>
      <w:pPr>
        <w:spacing w:after="0" w:line="189" w:lineRule="exact"/>
        <w:rPr>
          <w:rFonts w:ascii="Arial" w:cs="Arial" w:eastAsia="Arial" w:hAnsi="Arial"/>
          <w:sz w:val="20"/>
          <w:szCs w:val="20"/>
          <w:color w:val="auto"/>
        </w:rPr>
      </w:pPr>
    </w:p>
    <w:p>
      <w:pPr>
        <w:ind w:left="861" w:hanging="861"/>
        <w:spacing w:after="0"/>
        <w:tabs>
          <w:tab w:leader="none" w:pos="8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This Third Amendment shall constitute a Loan Document for all purposes.</w:t>
      </w:r>
    </w:p>
    <w:p>
      <w:pPr>
        <w:spacing w:after="0" w:line="189" w:lineRule="exact"/>
        <w:rPr>
          <w:rFonts w:ascii="Arial" w:cs="Arial" w:eastAsia="Arial" w:hAnsi="Arial"/>
          <w:sz w:val="20"/>
          <w:szCs w:val="20"/>
          <w:color w:val="auto"/>
        </w:rPr>
      </w:pPr>
    </w:p>
    <w:p>
      <w:pPr>
        <w:ind w:left="861" w:hanging="861"/>
        <w:spacing w:after="0" w:line="252" w:lineRule="auto"/>
        <w:tabs>
          <w:tab w:leader="none" w:pos="8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The terms and provisions hereof shall be binding upon the parties hereto and their successors and assigns and shall inure to the benefit of the Agent and each Lender and their respective successors and assigns.</w:t>
      </w:r>
    </w:p>
    <w:p>
      <w:pPr>
        <w:spacing w:after="0" w:line="158" w:lineRule="exact"/>
        <w:rPr>
          <w:rFonts w:ascii="Arial" w:cs="Arial" w:eastAsia="Arial" w:hAnsi="Arial"/>
          <w:sz w:val="20"/>
          <w:szCs w:val="20"/>
          <w:color w:val="auto"/>
        </w:rPr>
      </w:pPr>
    </w:p>
    <w:p>
      <w:pPr>
        <w:ind w:left="861" w:hanging="861"/>
        <w:spacing w:after="0" w:line="252" w:lineRule="auto"/>
        <w:tabs>
          <w:tab w:leader="none" w:pos="8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Multiple Counterparts</w:t>
      </w:r>
      <w:r>
        <w:rPr>
          <w:rFonts w:ascii="Arial" w:cs="Arial" w:eastAsia="Arial" w:hAnsi="Arial"/>
          <w:sz w:val="20"/>
          <w:szCs w:val="20"/>
          <w:color w:val="auto"/>
        </w:rPr>
        <w:t>. This Third Amendment may be executed in counterparts (and by different parties hereto in different counterparts), each of which shall constitute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6" w:name="page17"/>
    <w:bookmarkEnd w:id="16"/>
    <w:p>
      <w:pPr>
        <w:jc w:val="both"/>
        <w:ind w:left="861"/>
        <w:spacing w:after="0" w:line="242" w:lineRule="auto"/>
        <w:rPr>
          <w:sz w:val="20"/>
          <w:szCs w:val="20"/>
          <w:color w:val="auto"/>
        </w:rPr>
      </w:pPr>
      <w:r>
        <w:rPr>
          <w:rFonts w:ascii="Arial" w:cs="Arial" w:eastAsia="Arial" w:hAnsi="Arial"/>
          <w:sz w:val="20"/>
          <w:szCs w:val="20"/>
          <w:color w:val="auto"/>
        </w:rPr>
        <w:t>but all of which when taken together shall constitute a single contract. Delivery of an executed counterpart of a signature page of this Third Amendment by telecopy, pdf or other electronic transmission shall be as effective as delivery of a manually executed counterpart of this Third Amendment.</w:t>
      </w:r>
    </w:p>
    <w:p>
      <w:pPr>
        <w:spacing w:after="0" w:line="168" w:lineRule="exact"/>
        <w:rPr>
          <w:sz w:val="20"/>
          <w:szCs w:val="20"/>
          <w:color w:val="auto"/>
        </w:rPr>
      </w:pPr>
    </w:p>
    <w:p>
      <w:pPr>
        <w:jc w:val="both"/>
        <w:ind w:left="861" w:hanging="861"/>
        <w:spacing w:after="0" w:line="269" w:lineRule="auto"/>
        <w:tabs>
          <w:tab w:leader="none" w:pos="86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Third Amendment is held to be illegal, invalid or unenforceable, (a) the legality, validity and enforceability of the remaining provisions of this Third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7" w:lineRule="exact"/>
        <w:rPr>
          <w:rFonts w:ascii="Arial" w:cs="Arial" w:eastAsia="Arial" w:hAnsi="Arial"/>
          <w:sz w:val="18"/>
          <w:szCs w:val="18"/>
          <w:color w:val="auto"/>
        </w:rPr>
      </w:pPr>
    </w:p>
    <w:p>
      <w:pPr>
        <w:ind w:left="861" w:hanging="861"/>
        <w:spacing w:after="0" w:line="252" w:lineRule="auto"/>
        <w:tabs>
          <w:tab w:leader="none" w:pos="8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at various places in this Third Amendment are intended for convenience only and shall not affect the interpretation of this Third Amendment.</w:t>
      </w:r>
    </w:p>
    <w:p>
      <w:pPr>
        <w:spacing w:after="0" w:line="158" w:lineRule="exact"/>
        <w:rPr>
          <w:rFonts w:ascii="Arial" w:cs="Arial" w:eastAsia="Arial" w:hAnsi="Arial"/>
          <w:sz w:val="20"/>
          <w:szCs w:val="20"/>
          <w:color w:val="auto"/>
        </w:rPr>
      </w:pPr>
    </w:p>
    <w:p>
      <w:pPr>
        <w:jc w:val="both"/>
        <w:ind w:left="861" w:hanging="861"/>
        <w:spacing w:after="0" w:line="238" w:lineRule="auto"/>
        <w:tabs>
          <w:tab w:leader="none" w:pos="8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THIRD AMENDMENT AND ANY CLAIMS, CONTROVERSY, DISPUTE OR CAUSE OF ACTION (WHETHER IN CONTRACT OR TORT OR OTHERWISE) BASED UPON, ARISING OUT OF OR RELATING TO THIS THIRD AMENDMENT AND THE TRANSACTIONS CONTEMPLATED HEREBY SHALL BE GOVERNED BY, AND CONSTRUED IN ACCORDANCE WITH, THE LAW OF THE STATE OF NEW YORK.</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18" w:right="339" w:bottom="1440" w:gutter="0" w:footer="0" w:header="0"/>
        </w:sectPr>
      </w:pPr>
    </w:p>
    <w:bookmarkStart w:id="17" w:name="page18"/>
    <w:bookmarkEnd w:id="17"/>
    <w:p>
      <w:pPr>
        <w:ind w:firstLine="865"/>
        <w:spacing w:after="0" w:line="233" w:lineRule="auto"/>
        <w:rPr>
          <w:sz w:val="20"/>
          <w:szCs w:val="20"/>
          <w:color w:val="auto"/>
        </w:rPr>
      </w:pPr>
      <w:r>
        <w:rPr>
          <w:rFonts w:ascii="Arial" w:cs="Arial" w:eastAsia="Arial" w:hAnsi="Arial"/>
          <w:sz w:val="20"/>
          <w:szCs w:val="20"/>
          <w:color w:val="auto"/>
        </w:rPr>
        <w:t>IN WITNESS WHEREOF, this Third Amendment has been duly executed and delivered by each of the parties hereto as of the date first above written and is intended to take effect as a sealed instrument.</w:t>
      </w:r>
    </w:p>
    <w:p>
      <w:pPr>
        <w:spacing w:after="0" w:line="355" w:lineRule="exact"/>
        <w:rPr>
          <w:sz w:val="20"/>
          <w:szCs w:val="20"/>
          <w:color w:val="auto"/>
        </w:rPr>
      </w:pPr>
    </w:p>
    <w:p>
      <w:pPr>
        <w:ind w:left="6060"/>
        <w:spacing w:after="0"/>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DESTINATION XL GROUP, INC.</w:t>
      </w:r>
      <w:r>
        <w:rPr>
          <w:rFonts w:ascii="Arial" w:cs="Arial" w:eastAsia="Arial" w:hAnsi="Arial"/>
          <w:sz w:val="18"/>
          <w:szCs w:val="18"/>
          <w:color w:val="auto"/>
        </w:rPr>
        <w:t>, as a Lead Borrower and 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Borrower</w:t>
      </w:r>
    </w:p>
    <w:p>
      <w:pPr>
        <w:spacing w:after="0" w:line="167" w:lineRule="exact"/>
        <w:rPr>
          <w:sz w:val="20"/>
          <w:szCs w:val="20"/>
          <w:color w:val="auto"/>
        </w:rPr>
      </w:pPr>
    </w:p>
    <w:tbl>
      <w:tblPr>
        <w:tblLayout w:type="fixed"/>
        <w:tblInd w:w="606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CMRG APPAREL, LLC</w:t>
            </w:r>
            <w:r>
              <w:rPr>
                <w:rFonts w:ascii="Arial" w:cs="Arial" w:eastAsia="Arial" w:hAnsi="Arial"/>
                <w:sz w:val="18"/>
                <w:szCs w:val="18"/>
                <w:color w:val="auto"/>
              </w:rPr>
              <w:t>, as a Borrower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26"/>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bl>
    <w:p>
      <w:pPr>
        <w:ind w:left="606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8" w:name="page19"/>
    <w:bookmarkEnd w:id="18"/>
    <w:p>
      <w:pPr>
        <w:ind w:left="494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19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CASUAL MALE RBT, LLC</w:t>
      </w:r>
      <w:r>
        <w:rPr>
          <w:rFonts w:ascii="Arial" w:cs="Arial" w:eastAsia="Arial" w:hAnsi="Arial"/>
          <w:sz w:val="18"/>
          <w:szCs w:val="18"/>
          <w:color w:val="auto"/>
        </w:rPr>
        <w:t>, as a Guarantor</w:t>
      </w:r>
    </w:p>
    <w:p>
      <w:pPr>
        <w:spacing w:after="0" w:line="187" w:lineRule="exact"/>
        <w:rPr>
          <w:sz w:val="20"/>
          <w:szCs w:val="20"/>
          <w:color w:val="auto"/>
        </w:rPr>
      </w:pPr>
    </w:p>
    <w:tbl>
      <w:tblPr>
        <w:tblLayout w:type="fixed"/>
        <w:tblInd w:w="494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CAPTURE,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CASUAL MALE STORE,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CASUAL MALE RETAIL STORE,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CASUAL MALE DIRECT,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THINK BIG PRODUCTS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26"/>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bl>
    <w:p>
      <w:pPr>
        <w:ind w:left="494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389" w:lineRule="exact"/>
        <w:rPr>
          <w:sz w:val="20"/>
          <w:szCs w:val="20"/>
          <w:color w:val="auto"/>
        </w:rPr>
      </w:pPr>
    </w:p>
    <w:p>
      <w:pPr>
        <w:ind w:left="2980"/>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700"/>
          </w:cols>
          <w:pgMar w:left="1440" w:top="740" w:right="759" w:bottom="1440" w:gutter="0" w:footer="0" w:header="0"/>
        </w:sectPr>
      </w:pPr>
    </w:p>
    <w:bookmarkStart w:id="19" w:name="page20"/>
    <w:bookmarkEnd w:id="19"/>
    <w:p>
      <w:pPr>
        <w:ind w:left="4940"/>
        <w:spacing w:after="0"/>
        <w:rPr>
          <w:sz w:val="20"/>
          <w:szCs w:val="20"/>
          <w:color w:val="auto"/>
        </w:rPr>
      </w:pPr>
      <w:r>
        <w:rPr>
          <w:rFonts w:ascii="Arial" w:cs="Arial" w:eastAsia="Arial" w:hAnsi="Arial"/>
          <w:sz w:val="18"/>
          <w:szCs w:val="18"/>
          <w:b w:val="1"/>
          <w:bCs w:val="1"/>
          <w:color w:val="auto"/>
        </w:rPr>
        <w:t>CMRG HOLDCO, LLC</w:t>
      </w:r>
      <w:r>
        <w:rPr>
          <w:rFonts w:ascii="Arial" w:cs="Arial" w:eastAsia="Arial" w:hAnsi="Arial"/>
          <w:sz w:val="18"/>
          <w:szCs w:val="18"/>
          <w:color w:val="auto"/>
        </w:rPr>
        <w:t>, as a Guarantor</w:t>
      </w:r>
    </w:p>
    <w:p>
      <w:pPr>
        <w:spacing w:after="0" w:line="187" w:lineRule="exact"/>
        <w:rPr>
          <w:sz w:val="20"/>
          <w:szCs w:val="20"/>
          <w:color w:val="auto"/>
        </w:rPr>
      </w:pPr>
    </w:p>
    <w:tbl>
      <w:tblPr>
        <w:tblLayout w:type="fixed"/>
        <w:tblInd w:w="494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814"/>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DXLG WHOLESALE,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CMRG APPAREL MANAGEMENT, INC.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CMXL APPAREL, LP</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r>
        <w:trPr>
          <w:trHeight w:val="231"/>
        </w:trPr>
        <w:tc>
          <w:tcPr>
            <w:tcW w:w="4760" w:type="dxa"/>
            <w:vAlign w:val="bottom"/>
            <w:gridSpan w:val="4"/>
          </w:tcPr>
          <w:p>
            <w:pPr>
              <w:spacing w:after="0"/>
              <w:rPr>
                <w:sz w:val="20"/>
                <w:szCs w:val="20"/>
                <w:color w:val="auto"/>
              </w:rPr>
            </w:pPr>
            <w:r>
              <w:rPr>
                <w:rFonts w:ascii="Arial" w:cs="Arial" w:eastAsia="Arial" w:hAnsi="Arial"/>
                <w:sz w:val="18"/>
                <w:szCs w:val="18"/>
                <w:color w:val="auto"/>
              </w:rPr>
              <w:t>Treasurer</w:t>
            </w:r>
          </w:p>
        </w:tc>
      </w:tr>
      <w:tr>
        <w:trPr>
          <w:trHeight w:val="407"/>
        </w:trPr>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CASUAL MALE (EUROPE), LLC</w:t>
            </w:r>
            <w:r>
              <w:rPr>
                <w:rFonts w:ascii="Arial" w:cs="Arial" w:eastAsia="Arial" w:hAnsi="Arial"/>
                <w:sz w:val="18"/>
                <w:szCs w:val="18"/>
                <w:color w:val="auto"/>
              </w:rPr>
              <w:t>, as a Guarantor</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 Peter H. Stratton, Jr.</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480" w:type="dxa"/>
            <w:vAlign w:val="bottom"/>
            <w:gridSpan w:val="2"/>
          </w:tcPr>
          <w:p>
            <w:pPr>
              <w:spacing w:after="0"/>
              <w:rPr>
                <w:sz w:val="20"/>
                <w:szCs w:val="20"/>
                <w:color w:val="auto"/>
              </w:rPr>
            </w:pPr>
            <w:r>
              <w:rPr>
                <w:rFonts w:ascii="Arial" w:cs="Arial" w:eastAsia="Arial" w:hAnsi="Arial"/>
                <w:sz w:val="18"/>
                <w:szCs w:val="18"/>
                <w:color w:val="auto"/>
                <w:w w:val="86"/>
              </w:rPr>
              <w:t>Name:</w:t>
            </w: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Peter H. Stratton, Jr.</w:t>
            </w:r>
          </w:p>
        </w:tc>
      </w:tr>
      <w:tr>
        <w:trPr>
          <w:trHeight w:val="226"/>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ind w:left="500"/>
              <w:spacing w:after="0"/>
              <w:rPr>
                <w:sz w:val="20"/>
                <w:szCs w:val="20"/>
                <w:color w:val="auto"/>
              </w:rPr>
            </w:pPr>
            <w:r>
              <w:rPr>
                <w:rFonts w:ascii="Arial" w:cs="Arial" w:eastAsia="Arial" w:hAnsi="Arial"/>
                <w:sz w:val="18"/>
                <w:szCs w:val="18"/>
                <w:color w:val="auto"/>
                <w:w w:val="93"/>
              </w:rPr>
              <w:t>Executive Vice President, Chief Financial Officer &amp;</w:t>
            </w:r>
          </w:p>
        </w:tc>
      </w:tr>
    </w:tbl>
    <w:p>
      <w:pPr>
        <w:ind w:left="494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80"/>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700"/>
          </w:cols>
          <w:pgMar w:left="1440" w:top="316" w:right="759" w:bottom="1440" w:gutter="0" w:footer="0" w:header="0"/>
        </w:sectPr>
      </w:pPr>
    </w:p>
    <w:bookmarkStart w:id="20" w:name="page21"/>
    <w:bookmarkEnd w:id="20"/>
    <w:p>
      <w:pPr>
        <w:ind w:left="4940"/>
        <w:spacing w:after="0"/>
        <w:rPr>
          <w:sz w:val="20"/>
          <w:szCs w:val="20"/>
          <w:color w:val="auto"/>
        </w:rPr>
      </w:pP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83" w:lineRule="exact"/>
        <w:rPr>
          <w:sz w:val="20"/>
          <w:szCs w:val="20"/>
          <w:color w:val="auto"/>
        </w:rPr>
      </w:pPr>
    </w:p>
    <w:p>
      <w:pPr>
        <w:ind w:left="4940"/>
        <w:spacing w:after="0" w:line="258"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and as</w:t>
      </w:r>
      <w:r>
        <w:rPr>
          <w:rFonts w:ascii="Arial" w:cs="Arial" w:eastAsia="Arial" w:hAnsi="Arial"/>
          <w:sz w:val="20"/>
          <w:szCs w:val="20"/>
          <w:b w:val="1"/>
          <w:bCs w:val="1"/>
          <w:color w:val="auto"/>
        </w:rPr>
        <w:t xml:space="preserve"> </w:t>
      </w:r>
      <w:r>
        <w:rPr>
          <w:rFonts w:ascii="Arial" w:cs="Arial" w:eastAsia="Arial" w:hAnsi="Arial"/>
          <w:sz w:val="20"/>
          <w:szCs w:val="20"/>
          <w:color w:val="auto"/>
        </w:rPr>
        <w:t>Collateral Agent</w:t>
      </w:r>
    </w:p>
    <w:p>
      <w:pPr>
        <w:spacing w:after="0" w:line="153" w:lineRule="exact"/>
        <w:rPr>
          <w:sz w:val="20"/>
          <w:szCs w:val="20"/>
          <w:color w:val="auto"/>
        </w:rPr>
      </w:pPr>
    </w:p>
    <w:p>
      <w:pPr>
        <w:ind w:left="4940"/>
        <w:spacing w:after="0"/>
        <w:tabs>
          <w:tab w:leader="none" w:pos="5440" w:val="left"/>
        </w:tabs>
        <w:rPr>
          <w:sz w:val="20"/>
          <w:szCs w:val="20"/>
          <w:color w:val="auto"/>
        </w:rPr>
      </w:pPr>
      <w:r>
        <w:rPr>
          <w:rFonts w:ascii="Arial" w:cs="Arial" w:eastAsia="Arial" w:hAnsi="Arial"/>
          <w:sz w:val="20"/>
          <w:szCs w:val="20"/>
          <w:color w:val="auto"/>
        </w:rPr>
        <w:t>By:</w:t>
        <w:tab/>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-15875</wp:posOffset>
            </wp:positionV>
            <wp:extent cx="13125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20"/>
          <w:szCs w:val="20"/>
          <w:color w:val="auto"/>
        </w:rPr>
        <w:t>Name: Christine Hutchinson</w:t>
      </w:r>
    </w:p>
    <w:p>
      <w:pPr>
        <w:ind w:left="4940"/>
        <w:spacing w:after="0"/>
        <w:tabs>
          <w:tab w:leader="none" w:pos="55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980"/>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900"/>
          </w:cols>
          <w:pgMar w:left="1440" w:top="318" w:right="559" w:bottom="1440" w:gutter="0" w:footer="0" w:header="0"/>
        </w:sectPr>
      </w:pPr>
    </w:p>
    <w:bookmarkStart w:id="21" w:name="page22"/>
    <w:bookmarkEnd w:id="21"/>
    <w:p>
      <w:pPr>
        <w:ind w:left="4940"/>
        <w:spacing w:after="0"/>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88" w:lineRule="exact"/>
        <w:rPr>
          <w:sz w:val="20"/>
          <w:szCs w:val="20"/>
          <w:color w:val="auto"/>
        </w:rPr>
      </w:pPr>
    </w:p>
    <w:p>
      <w:pPr>
        <w:ind w:left="4940"/>
        <w:spacing w:after="0" w:line="275"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Revolving Lender, a FILO Lender,</w:t>
      </w:r>
      <w:r>
        <w:rPr>
          <w:rFonts w:ascii="Arial" w:cs="Arial" w:eastAsia="Arial" w:hAnsi="Arial"/>
          <w:sz w:val="18"/>
          <w:szCs w:val="18"/>
          <w:b w:val="1"/>
          <w:bCs w:val="1"/>
          <w:color w:val="auto"/>
        </w:rPr>
        <w:t xml:space="preserve"> </w:t>
      </w:r>
      <w:r>
        <w:rPr>
          <w:rFonts w:ascii="Arial" w:cs="Arial" w:eastAsia="Arial" w:hAnsi="Arial"/>
          <w:sz w:val="18"/>
          <w:szCs w:val="18"/>
          <w:color w:val="auto"/>
        </w:rPr>
        <w:t>L/C Issuer and Swing Line Lender</w:t>
      </w:r>
    </w:p>
    <w:p>
      <w:pPr>
        <w:spacing w:after="0" w:line="144" w:lineRule="exact"/>
        <w:rPr>
          <w:sz w:val="20"/>
          <w:szCs w:val="20"/>
          <w:color w:val="auto"/>
        </w:rPr>
      </w:pPr>
    </w:p>
    <w:p>
      <w:pPr>
        <w:ind w:left="4940"/>
        <w:spacing w:after="0"/>
        <w:tabs>
          <w:tab w:leader="none" w:pos="5440" w:val="left"/>
        </w:tabs>
        <w:rPr>
          <w:sz w:val="20"/>
          <w:szCs w:val="20"/>
          <w:color w:val="auto"/>
        </w:rPr>
      </w:pPr>
      <w:r>
        <w:rPr>
          <w:rFonts w:ascii="Arial" w:cs="Arial" w:eastAsia="Arial" w:hAnsi="Arial"/>
          <w:sz w:val="20"/>
          <w:szCs w:val="20"/>
          <w:color w:val="auto"/>
        </w:rPr>
        <w:t>By:</w:t>
        <w:tab/>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-15875</wp:posOffset>
            </wp:positionV>
            <wp:extent cx="13125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20"/>
          <w:szCs w:val="20"/>
          <w:color w:val="auto"/>
        </w:rPr>
        <w:t>Name: Christine Hutchinson</w:t>
      </w:r>
    </w:p>
    <w:p>
      <w:pPr>
        <w:ind w:left="4940"/>
        <w:spacing w:after="0"/>
        <w:tabs>
          <w:tab w:leader="none" w:pos="55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393" w:lineRule="exact"/>
        <w:rPr>
          <w:sz w:val="20"/>
          <w:szCs w:val="20"/>
          <w:color w:val="auto"/>
        </w:rPr>
      </w:pPr>
    </w:p>
    <w:p>
      <w:pPr>
        <w:ind w:left="2980"/>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20"/>
          </w:cols>
          <w:pgMar w:left="1440" w:top="318" w:right="339" w:bottom="1440" w:gutter="0" w:footer="0" w:header="0"/>
        </w:sectPr>
      </w:pPr>
    </w:p>
    <w:bookmarkStart w:id="22" w:name="page23"/>
    <w:bookmarkEnd w:id="22"/>
    <w:p>
      <w:pPr>
        <w:ind w:left="494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Revolving Lender and a FILO Lender</w:t>
      </w:r>
    </w:p>
    <w:p>
      <w:pPr>
        <w:spacing w:after="0" w:line="196"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Michael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-10795</wp:posOffset>
            </wp:positionV>
            <wp:extent cx="96964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9645" cy="762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8"/>
          <w:szCs w:val="18"/>
          <w:color w:val="auto"/>
        </w:rPr>
        <w:t>Name: Michael Watson</w:t>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89" w:lineRule="exact"/>
        <w:rPr>
          <w:sz w:val="20"/>
          <w:szCs w:val="20"/>
          <w:color w:val="auto"/>
        </w:rPr>
      </w:pPr>
    </w:p>
    <w:p>
      <w:pPr>
        <w:ind w:left="2980"/>
        <w:spacing w:after="0"/>
        <w:rPr>
          <w:sz w:val="20"/>
          <w:szCs w:val="20"/>
          <w:color w:val="auto"/>
        </w:rPr>
      </w:pPr>
      <w:r>
        <w:rPr>
          <w:rFonts w:ascii="Arial" w:cs="Arial" w:eastAsia="Arial" w:hAnsi="Arial"/>
          <w:sz w:val="20"/>
          <w:szCs w:val="20"/>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540"/>
          </w:cols>
          <w:pgMar w:left="1440" w:top="316" w:right="919" w:bottom="1440" w:gutter="0" w:footer="0" w:header="0"/>
        </w:sectPr>
      </w:pPr>
    </w:p>
    <w:bookmarkStart w:id="23" w:name="page24"/>
    <w:bookmarkEnd w:id="23"/>
    <w:p>
      <w:pPr>
        <w:ind w:left="4940"/>
        <w:spacing w:after="0"/>
        <w:rPr>
          <w:sz w:val="20"/>
          <w:szCs w:val="20"/>
          <w:color w:val="auto"/>
        </w:rPr>
      </w:pPr>
      <w:r>
        <w:rPr>
          <w:rFonts w:ascii="Arial" w:cs="Arial" w:eastAsia="Arial" w:hAnsi="Arial"/>
          <w:sz w:val="17"/>
          <w:szCs w:val="17"/>
          <w:b w:val="1"/>
          <w:bCs w:val="1"/>
          <w:color w:val="auto"/>
        </w:rPr>
        <w:t>CITIZENS BANK, N.A.</w:t>
      </w:r>
      <w:r>
        <w:rPr>
          <w:rFonts w:ascii="Arial" w:cs="Arial" w:eastAsia="Arial" w:hAnsi="Arial"/>
          <w:sz w:val="17"/>
          <w:szCs w:val="17"/>
          <w:color w:val="auto"/>
        </w:rPr>
        <w:t>, as a Revolving Lender</w:t>
      </w:r>
    </w:p>
    <w:p>
      <w:pPr>
        <w:spacing w:after="0" w:line="216"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18"/>
          <w:szCs w:val="18"/>
          <w:color w:val="auto"/>
        </w:rPr>
        <w:t>By:</w:t>
        <w:tab/>
        <w:t>/s/ Michael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-10795</wp:posOffset>
            </wp:positionV>
            <wp:extent cx="10553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55370" cy="7620"/>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8"/>
          <w:szCs w:val="18"/>
          <w:color w:val="auto"/>
        </w:rPr>
        <w:t>Name:  Michael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-20955</wp:posOffset>
            </wp:positionV>
            <wp:extent cx="8896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635" cy="7620"/>
                    </a:xfrm>
                    <a:prstGeom prst="rect">
                      <a:avLst/>
                    </a:prstGeom>
                    <a:noFill/>
                  </pic:spPr>
                </pic:pic>
              </a:graphicData>
            </a:graphic>
          </wp:anchor>
        </w:drawing>
      </w:r>
    </w:p>
    <w:p>
      <w:pPr>
        <w:ind w:left="4940"/>
        <w:spacing w:after="0"/>
        <w:tabs>
          <w:tab w:leader="none" w:pos="5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-20955</wp:posOffset>
            </wp:positionV>
            <wp:extent cx="7518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1840" cy="7620"/>
                    </a:xfrm>
                    <a:prstGeom prst="rect">
                      <a:avLst/>
                    </a:prstGeom>
                    <a:noFill/>
                  </pic:spPr>
                </pic:pic>
              </a:graphicData>
            </a:graphic>
          </wp:anchor>
        </w:drawing>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209550</wp:posOffset>
            </wp:positionV>
            <wp:extent cx="71596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ANNEX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F to Credit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Borrowing Base Certificate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194945</wp:posOffset>
            </wp:positionV>
            <wp:extent cx="71596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Destination XL Group, Inc.</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4900" w:type="dxa"/>
            <w:vAlign w:val="bottom"/>
          </w:tcPr>
          <w:p>
            <w:pPr>
              <w:spacing w:after="0"/>
              <w:rPr>
                <w:sz w:val="13"/>
                <w:szCs w:val="13"/>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3"/>
                <w:szCs w:val="13"/>
                <w:color w:val="auto"/>
              </w:rPr>
              <w:t>Revolver Borrowing Base Certificate</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7"/>
        </w:trPr>
        <w:tc>
          <w:tcPr>
            <w:tcW w:w="7160" w:type="dxa"/>
            <w:vAlign w:val="bottom"/>
            <w:gridSpan w:val="3"/>
          </w:tcPr>
          <w:p>
            <w:pPr>
              <w:spacing w:after="0"/>
              <w:rPr>
                <w:sz w:val="20"/>
                <w:szCs w:val="20"/>
                <w:color w:val="auto"/>
              </w:rPr>
            </w:pPr>
            <w:r>
              <w:rPr>
                <w:rFonts w:ascii="Arial" w:cs="Arial" w:eastAsia="Arial" w:hAnsi="Arial"/>
                <w:sz w:val="13"/>
                <w:szCs w:val="13"/>
                <w:color w:val="auto"/>
              </w:rPr>
              <w:t>Email to: [ ]</w:t>
            </w:r>
          </w:p>
        </w:tc>
        <w:tc>
          <w:tcPr>
            <w:tcW w:w="2800" w:type="dxa"/>
            <w:vAlign w:val="bottom"/>
            <w:gridSpan w:val="4"/>
          </w:tcPr>
          <w:p>
            <w:pPr>
              <w:ind w:left="600"/>
              <w:spacing w:after="0"/>
              <w:rPr>
                <w:sz w:val="20"/>
                <w:szCs w:val="20"/>
                <w:color w:val="auto"/>
              </w:rPr>
            </w:pPr>
            <w:r>
              <w:rPr>
                <w:rFonts w:ascii="Arial" w:cs="Arial" w:eastAsia="Arial" w:hAnsi="Arial"/>
                <w:sz w:val="13"/>
                <w:szCs w:val="13"/>
                <w:color w:val="auto"/>
              </w:rPr>
              <w:t>Certificate No.</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4900" w:type="dxa"/>
            <w:vAlign w:val="bottom"/>
          </w:tcPr>
          <w:p>
            <w:pPr>
              <w:ind w:left="720"/>
              <w:spacing w:after="0"/>
              <w:rPr>
                <w:sz w:val="20"/>
                <w:szCs w:val="20"/>
                <w:color w:val="auto"/>
              </w:rPr>
            </w:pPr>
            <w:r>
              <w:rPr>
                <w:rFonts w:ascii="Arial" w:cs="Arial" w:eastAsia="Arial" w:hAnsi="Arial"/>
                <w:sz w:val="13"/>
                <w:szCs w:val="13"/>
                <w:color w:val="auto"/>
              </w:rPr>
              <w:t>[ ]</w:t>
            </w: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0" w:type="dxa"/>
            <w:vAlign w:val="bottom"/>
            <w:gridSpan w:val="5"/>
          </w:tcPr>
          <w:p>
            <w:pPr>
              <w:jc w:val="right"/>
              <w:ind w:right="1474"/>
              <w:spacing w:after="0"/>
              <w:rPr>
                <w:sz w:val="20"/>
                <w:szCs w:val="20"/>
                <w:color w:val="auto"/>
              </w:rPr>
            </w:pPr>
            <w:r>
              <w:rPr>
                <w:rFonts w:ascii="Arial" w:cs="Arial" w:eastAsia="Arial" w:hAnsi="Arial"/>
                <w:sz w:val="13"/>
                <w:szCs w:val="13"/>
                <w:color w:val="auto"/>
              </w:rPr>
              <w:t>Certificate Date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At Cost</w:t>
            </w:r>
          </w:p>
        </w:tc>
      </w:tr>
      <w:tr>
        <w:trPr>
          <w:trHeight w:val="153"/>
        </w:trPr>
        <w:tc>
          <w:tcPr>
            <w:tcW w:w="4900" w:type="dxa"/>
            <w:vAlign w:val="bottom"/>
          </w:tcPr>
          <w:p>
            <w:pPr>
              <w:spacing w:after="0"/>
              <w:rPr>
                <w:sz w:val="20"/>
                <w:szCs w:val="20"/>
                <w:color w:val="auto"/>
              </w:rPr>
            </w:pPr>
            <w:r>
              <w:rPr>
                <w:rFonts w:ascii="Arial" w:cs="Arial" w:eastAsia="Arial" w:hAnsi="Arial"/>
                <w:sz w:val="13"/>
                <w:szCs w:val="13"/>
                <w:color w:val="auto"/>
              </w:rPr>
              <w:t>Beginning Inventory as of:</w:t>
            </w:r>
          </w:p>
        </w:tc>
        <w:tc>
          <w:tcPr>
            <w:tcW w:w="2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Add: Receiving/ Purchases</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Add: Purchase Accrual (ASN)</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Add: Reverse ASN Accrual</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Add: Freight</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Less: Net Sales @ Retail (memo only)</w:t>
            </w:r>
          </w:p>
        </w:tc>
        <w:tc>
          <w:tcPr>
            <w:tcW w:w="2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Less: Cost of Goods Sold @ Cost</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Total Adds/ (Reductions)</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4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At Cost</w:t>
            </w:r>
          </w:p>
        </w:tc>
        <w:tc>
          <w:tcPr>
            <w:tcW w:w="120" w:type="dxa"/>
            <w:vAlign w:val="bottom"/>
          </w:tcPr>
          <w:p>
            <w:pPr>
              <w:spacing w:after="0"/>
              <w:rPr>
                <w:sz w:val="24"/>
                <w:szCs w:val="24"/>
                <w:color w:val="auto"/>
              </w:rPr>
            </w:pPr>
          </w:p>
        </w:tc>
      </w:tr>
      <w:tr>
        <w:trPr>
          <w:trHeight w:val="153"/>
        </w:trPr>
        <w:tc>
          <w:tcPr>
            <w:tcW w:w="4900" w:type="dxa"/>
            <w:vAlign w:val="bottom"/>
          </w:tcPr>
          <w:p>
            <w:pPr>
              <w:spacing w:after="0"/>
              <w:rPr>
                <w:sz w:val="20"/>
                <w:szCs w:val="20"/>
                <w:color w:val="auto"/>
              </w:rPr>
            </w:pPr>
            <w:r>
              <w:rPr>
                <w:rFonts w:ascii="Arial" w:cs="Arial" w:eastAsia="Arial" w:hAnsi="Arial"/>
                <w:sz w:val="13"/>
                <w:szCs w:val="13"/>
                <w:color w:val="auto"/>
              </w:rPr>
              <w:t>Ending Inventory as of:</w:t>
            </w:r>
          </w:p>
        </w:tc>
        <w:tc>
          <w:tcPr>
            <w:tcW w:w="2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0" w:type="dxa"/>
            <w:vAlign w:val="bottom"/>
            <w:gridSpan w:val="4"/>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31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Less: Shrinkage at Cost</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7160" w:type="dxa"/>
            <w:vAlign w:val="bottom"/>
            <w:gridSpan w:val="3"/>
          </w:tcPr>
          <w:p>
            <w:pPr>
              <w:ind w:left="780"/>
              <w:spacing w:after="0"/>
              <w:rPr>
                <w:sz w:val="20"/>
                <w:szCs w:val="20"/>
                <w:color w:val="auto"/>
              </w:rPr>
            </w:pPr>
            <w:r>
              <w:rPr>
                <w:rFonts w:ascii="Arial" w:cs="Arial" w:eastAsia="Arial" w:hAnsi="Arial"/>
                <w:sz w:val="13"/>
                <w:szCs w:val="13"/>
                <w:color w:val="auto"/>
              </w:rPr>
              <w:t>Less: RTV Inventory</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13"/>
        </w:trPr>
        <w:tc>
          <w:tcPr>
            <w:tcW w:w="7160" w:type="dxa"/>
            <w:vAlign w:val="bottom"/>
            <w:gridSpan w:val="3"/>
          </w:tcPr>
          <w:p>
            <w:pPr>
              <w:spacing w:after="0"/>
              <w:rPr>
                <w:sz w:val="20"/>
                <w:szCs w:val="20"/>
                <w:color w:val="auto"/>
              </w:rPr>
            </w:pPr>
            <w:r>
              <w:rPr>
                <w:rFonts w:ascii="Arial" w:cs="Arial" w:eastAsia="Arial" w:hAnsi="Arial"/>
                <w:sz w:val="13"/>
                <w:szCs w:val="13"/>
                <w:color w:val="auto"/>
              </w:rPr>
              <w:t>Eligible Inventory</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r>
      <w:tr>
        <w:trPr>
          <w:trHeight w:val="326"/>
        </w:trPr>
        <w:tc>
          <w:tcPr>
            <w:tcW w:w="7160" w:type="dxa"/>
            <w:vAlign w:val="bottom"/>
            <w:gridSpan w:val="3"/>
          </w:tcPr>
          <w:p>
            <w:pPr>
              <w:ind w:left="220"/>
              <w:spacing w:after="0"/>
              <w:rPr>
                <w:sz w:val="20"/>
                <w:szCs w:val="20"/>
                <w:color w:val="auto"/>
              </w:rPr>
            </w:pPr>
            <w:r>
              <w:rPr>
                <w:rFonts w:ascii="Arial" w:cs="Arial" w:eastAsia="Arial" w:hAnsi="Arial"/>
                <w:sz w:val="13"/>
                <w:szCs w:val="13"/>
                <w:color w:val="auto"/>
              </w:rPr>
              <w:t>NOLV (101.73% Dec 16-EOM Sept/102.53% Oct-Dec 15)</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7"/>
        </w:trPr>
        <w:tc>
          <w:tcPr>
            <w:tcW w:w="716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Advance Rate</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90.0%</w:t>
            </w:r>
          </w:p>
        </w:tc>
      </w:tr>
      <w:tr>
        <w:trPr>
          <w:trHeight w:val="31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 Inventory Availability</w:t>
            </w:r>
          </w:p>
        </w:tc>
        <w:tc>
          <w:tcPr>
            <w:tcW w:w="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r>
      <w:tr>
        <w:trPr>
          <w:trHeight w:val="313"/>
        </w:trPr>
        <w:tc>
          <w:tcPr>
            <w:tcW w:w="7160" w:type="dxa"/>
            <w:vAlign w:val="bottom"/>
            <w:gridSpan w:val="3"/>
          </w:tcPr>
          <w:p>
            <w:pPr>
              <w:spacing w:after="0"/>
              <w:rPr>
                <w:sz w:val="20"/>
                <w:szCs w:val="20"/>
                <w:color w:val="auto"/>
              </w:rPr>
            </w:pPr>
            <w:r>
              <w:rPr>
                <w:rFonts w:ascii="Arial" w:cs="Arial" w:eastAsia="Arial" w:hAnsi="Arial"/>
                <w:sz w:val="13"/>
                <w:szCs w:val="13"/>
                <w:color w:val="auto"/>
              </w:rPr>
              <w:t>Eligible LC Inventory</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26"/>
        </w:trPr>
        <w:tc>
          <w:tcPr>
            <w:tcW w:w="7160" w:type="dxa"/>
            <w:vAlign w:val="bottom"/>
            <w:gridSpan w:val="3"/>
          </w:tcPr>
          <w:p>
            <w:pPr>
              <w:ind w:left="340"/>
              <w:spacing w:after="0"/>
              <w:rPr>
                <w:sz w:val="20"/>
                <w:szCs w:val="20"/>
                <w:color w:val="auto"/>
              </w:rPr>
            </w:pPr>
            <w:r>
              <w:rPr>
                <w:rFonts w:ascii="Arial" w:cs="Arial" w:eastAsia="Arial" w:hAnsi="Arial"/>
                <w:sz w:val="13"/>
                <w:szCs w:val="13"/>
                <w:color w:val="auto"/>
              </w:rPr>
              <w:t>NOLV</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7"/>
        </w:trPr>
        <w:tc>
          <w:tcPr>
            <w:tcW w:w="7160" w:type="dxa"/>
            <w:vAlign w:val="bottom"/>
            <w:gridSpan w:val="3"/>
          </w:tcPr>
          <w:p>
            <w:pPr>
              <w:ind w:left="340"/>
              <w:spacing w:after="0" w:line="148" w:lineRule="exact"/>
              <w:rPr>
                <w:sz w:val="20"/>
                <w:szCs w:val="20"/>
                <w:color w:val="auto"/>
              </w:rPr>
            </w:pPr>
            <w:r>
              <w:rPr>
                <w:rFonts w:ascii="Arial" w:cs="Arial" w:eastAsia="Arial" w:hAnsi="Arial"/>
                <w:sz w:val="13"/>
                <w:szCs w:val="13"/>
                <w:color w:val="auto"/>
              </w:rPr>
              <w:t>Advance Rate</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85.0%</w:t>
            </w:r>
          </w:p>
        </w:tc>
      </w:tr>
      <w:tr>
        <w:trPr>
          <w:trHeight w:val="15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 LC Inventory Availability</w:t>
            </w:r>
          </w:p>
        </w:tc>
        <w:tc>
          <w:tcPr>
            <w:tcW w:w="6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313"/>
        </w:trPr>
        <w:tc>
          <w:tcPr>
            <w:tcW w:w="7160" w:type="dxa"/>
            <w:vAlign w:val="bottom"/>
            <w:gridSpan w:val="3"/>
          </w:tcPr>
          <w:p>
            <w:pPr>
              <w:spacing w:after="0"/>
              <w:rPr>
                <w:sz w:val="20"/>
                <w:szCs w:val="20"/>
                <w:color w:val="auto"/>
              </w:rPr>
            </w:pPr>
            <w:r>
              <w:rPr>
                <w:rFonts w:ascii="Arial" w:cs="Arial" w:eastAsia="Arial" w:hAnsi="Arial"/>
                <w:sz w:val="13"/>
                <w:szCs w:val="13"/>
                <w:color w:val="auto"/>
              </w:rPr>
              <w:t>In-Transit Inventory</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4900" w:type="dxa"/>
            <w:vAlign w:val="bottom"/>
          </w:tcPr>
          <w:p>
            <w:pPr>
              <w:spacing w:after="0"/>
              <w:rPr>
                <w:sz w:val="13"/>
                <w:szCs w:val="13"/>
                <w:color w:val="auto"/>
              </w:rPr>
            </w:pPr>
          </w:p>
        </w:tc>
        <w:tc>
          <w:tcPr>
            <w:tcW w:w="2260" w:type="dxa"/>
            <w:vAlign w:val="bottom"/>
            <w:gridSpan w:val="2"/>
          </w:tcPr>
          <w:p>
            <w:pPr>
              <w:spacing w:after="0"/>
              <w:rPr>
                <w:sz w:val="20"/>
                <w:szCs w:val="20"/>
                <w:color w:val="auto"/>
              </w:rPr>
            </w:pPr>
            <w:r>
              <w:rPr>
                <w:rFonts w:ascii="Arial" w:cs="Arial" w:eastAsia="Arial" w:hAnsi="Arial"/>
                <w:sz w:val="13"/>
                <w:szCs w:val="13"/>
                <w:color w:val="auto"/>
              </w:rPr>
              <w:t>Less: Ineligibles (&gt;45 days from</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4900" w:type="dxa"/>
            <w:vAlign w:val="bottom"/>
          </w:tcPr>
          <w:p>
            <w:pPr>
              <w:spacing w:after="0"/>
              <w:rPr>
                <w:sz w:val="12"/>
                <w:szCs w:val="12"/>
                <w:color w:val="auto"/>
              </w:rPr>
            </w:pPr>
          </w:p>
        </w:tc>
        <w:tc>
          <w:tcPr>
            <w:tcW w:w="2260" w:type="dxa"/>
            <w:vAlign w:val="bottom"/>
            <w:gridSpan w:val="2"/>
          </w:tcPr>
          <w:p>
            <w:pPr>
              <w:spacing w:after="0" w:line="144" w:lineRule="exact"/>
              <w:rPr>
                <w:sz w:val="20"/>
                <w:szCs w:val="20"/>
                <w:color w:val="auto"/>
              </w:rPr>
            </w:pPr>
            <w:r>
              <w:rPr>
                <w:rFonts w:ascii="Arial" w:cs="Arial" w:eastAsia="Arial" w:hAnsi="Arial"/>
                <w:sz w:val="13"/>
                <w:szCs w:val="13"/>
                <w:color w:val="auto"/>
              </w:rPr>
              <w:t>shipment)</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53"/>
        </w:trPr>
        <w:tc>
          <w:tcPr>
            <w:tcW w:w="7160" w:type="dxa"/>
            <w:vAlign w:val="bottom"/>
            <w:gridSpan w:val="3"/>
          </w:tcPr>
          <w:p>
            <w:pPr>
              <w:spacing w:after="0"/>
              <w:rPr>
                <w:sz w:val="20"/>
                <w:szCs w:val="20"/>
                <w:color w:val="auto"/>
              </w:rPr>
            </w:pPr>
            <w:r>
              <w:rPr>
                <w:rFonts w:ascii="Arial" w:cs="Arial" w:eastAsia="Arial" w:hAnsi="Arial"/>
                <w:sz w:val="13"/>
                <w:szCs w:val="13"/>
                <w:color w:val="auto"/>
              </w:rPr>
              <w:t>Eligible In-Transit Inventory</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166"/>
        </w:trPr>
        <w:tc>
          <w:tcPr>
            <w:tcW w:w="7160" w:type="dxa"/>
            <w:vAlign w:val="bottom"/>
            <w:gridSpan w:val="3"/>
          </w:tcPr>
          <w:p>
            <w:pPr>
              <w:ind w:left="340"/>
              <w:spacing w:after="0"/>
              <w:rPr>
                <w:sz w:val="20"/>
                <w:szCs w:val="20"/>
                <w:color w:val="auto"/>
              </w:rPr>
            </w:pPr>
            <w:r>
              <w:rPr>
                <w:rFonts w:ascii="Arial" w:cs="Arial" w:eastAsia="Arial" w:hAnsi="Arial"/>
                <w:sz w:val="13"/>
                <w:szCs w:val="13"/>
                <w:color w:val="auto"/>
              </w:rPr>
              <w:t>NOLV</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7"/>
        </w:trPr>
        <w:tc>
          <w:tcPr>
            <w:tcW w:w="7160" w:type="dxa"/>
            <w:vAlign w:val="bottom"/>
            <w:gridSpan w:val="3"/>
          </w:tcPr>
          <w:p>
            <w:pPr>
              <w:ind w:left="340"/>
              <w:spacing w:after="0" w:line="148" w:lineRule="exact"/>
              <w:rPr>
                <w:sz w:val="20"/>
                <w:szCs w:val="20"/>
                <w:color w:val="auto"/>
              </w:rPr>
            </w:pPr>
            <w:r>
              <w:rPr>
                <w:rFonts w:ascii="Arial" w:cs="Arial" w:eastAsia="Arial" w:hAnsi="Arial"/>
                <w:sz w:val="13"/>
                <w:szCs w:val="13"/>
                <w:color w:val="auto"/>
              </w:rPr>
              <w:t>Advance Rate</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80.0%</w:t>
            </w:r>
          </w:p>
        </w:tc>
      </w:tr>
      <w:tr>
        <w:trPr>
          <w:trHeight w:val="15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 In-Transit Inventory Availability</w:t>
            </w:r>
          </w:p>
        </w:tc>
        <w:tc>
          <w:tcPr>
            <w:tcW w:w="6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313"/>
        </w:trPr>
        <w:tc>
          <w:tcPr>
            <w:tcW w:w="4900" w:type="dxa"/>
            <w:vAlign w:val="bottom"/>
          </w:tcPr>
          <w:p>
            <w:pPr>
              <w:spacing w:after="0"/>
              <w:rPr>
                <w:sz w:val="20"/>
                <w:szCs w:val="20"/>
                <w:color w:val="auto"/>
              </w:rPr>
            </w:pPr>
            <w:r>
              <w:rPr>
                <w:rFonts w:ascii="Arial" w:cs="Arial" w:eastAsia="Arial" w:hAnsi="Arial"/>
                <w:sz w:val="13"/>
                <w:szCs w:val="13"/>
                <w:color w:val="auto"/>
              </w:rPr>
              <w:t>Eligible Credit Card Receivables as of:</w:t>
            </w:r>
          </w:p>
        </w:tc>
        <w:tc>
          <w:tcPr>
            <w:tcW w:w="2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7160" w:type="dxa"/>
            <w:vAlign w:val="bottom"/>
            <w:gridSpan w:val="3"/>
          </w:tcPr>
          <w:p>
            <w:pPr>
              <w:ind w:left="340"/>
              <w:spacing w:after="0"/>
              <w:rPr>
                <w:sz w:val="20"/>
                <w:szCs w:val="20"/>
                <w:color w:val="auto"/>
              </w:rPr>
            </w:pPr>
            <w:r>
              <w:rPr>
                <w:rFonts w:ascii="Arial" w:cs="Arial" w:eastAsia="Arial" w:hAnsi="Arial"/>
                <w:sz w:val="13"/>
                <w:szCs w:val="13"/>
                <w:color w:val="auto"/>
              </w:rPr>
              <w:t>Advance Rate</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90.0%</w:t>
            </w:r>
          </w:p>
        </w:tc>
      </w:tr>
      <w:tr>
        <w:trPr>
          <w:trHeight w:val="31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Credit Card Receivables Availability</w:t>
            </w:r>
          </w:p>
        </w:tc>
        <w:tc>
          <w:tcPr>
            <w:tcW w:w="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r>
      <w:tr>
        <w:trPr>
          <w:trHeight w:val="313"/>
        </w:trPr>
        <w:tc>
          <w:tcPr>
            <w:tcW w:w="4900" w:type="dxa"/>
            <w:vAlign w:val="bottom"/>
          </w:tcPr>
          <w:p>
            <w:pPr>
              <w:spacing w:after="0"/>
              <w:rPr>
                <w:sz w:val="20"/>
                <w:szCs w:val="20"/>
                <w:color w:val="auto"/>
              </w:rPr>
            </w:pPr>
            <w:r>
              <w:rPr>
                <w:rFonts w:ascii="Arial" w:cs="Arial" w:eastAsia="Arial" w:hAnsi="Arial"/>
                <w:sz w:val="13"/>
                <w:szCs w:val="13"/>
                <w:color w:val="auto"/>
              </w:rPr>
              <w:t>Eligible Amazon Receivables as of:</w:t>
            </w:r>
          </w:p>
        </w:tc>
        <w:tc>
          <w:tcPr>
            <w:tcW w:w="2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7160" w:type="dxa"/>
            <w:vAlign w:val="bottom"/>
            <w:gridSpan w:val="3"/>
          </w:tcPr>
          <w:p>
            <w:pPr>
              <w:ind w:left="340"/>
              <w:spacing w:after="0"/>
              <w:rPr>
                <w:sz w:val="20"/>
                <w:szCs w:val="20"/>
                <w:color w:val="auto"/>
              </w:rPr>
            </w:pPr>
            <w:r>
              <w:rPr>
                <w:rFonts w:ascii="Arial" w:cs="Arial" w:eastAsia="Arial" w:hAnsi="Arial"/>
                <w:sz w:val="13"/>
                <w:szCs w:val="13"/>
                <w:color w:val="auto"/>
              </w:rPr>
              <w:t>Advance Rate</w:t>
            </w: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85.0%</w:t>
            </w:r>
          </w:p>
        </w:tc>
      </w:tr>
      <w:tr>
        <w:trPr>
          <w:trHeight w:val="31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Amazon Receivables Availability (Capped at $8 million)</w:t>
            </w:r>
          </w:p>
        </w:tc>
        <w:tc>
          <w:tcPr>
            <w:tcW w:w="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r>
      <w:tr>
        <w:trPr>
          <w:trHeight w:val="31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Total Collateral Revolver Availability</w:t>
            </w:r>
          </w:p>
        </w:tc>
        <w:tc>
          <w:tcPr>
            <w:tcW w:w="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r>
      <w:tr>
        <w:trPr>
          <w:trHeight w:val="326"/>
        </w:trPr>
        <w:tc>
          <w:tcPr>
            <w:tcW w:w="7160" w:type="dxa"/>
            <w:vAlign w:val="bottom"/>
            <w:gridSpan w:val="3"/>
          </w:tcPr>
          <w:p>
            <w:pPr>
              <w:spacing w:after="0"/>
              <w:rPr>
                <w:sz w:val="20"/>
                <w:szCs w:val="20"/>
                <w:color w:val="auto"/>
              </w:rPr>
            </w:pPr>
            <w:r>
              <w:rPr>
                <w:rFonts w:ascii="Arial" w:cs="Arial" w:eastAsia="Arial" w:hAnsi="Arial"/>
                <w:sz w:val="13"/>
                <w:szCs w:val="13"/>
                <w:color w:val="auto"/>
              </w:rPr>
              <w:t>Availability Reserves:</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80"/>
          </w:cols>
          <w:pgMar w:left="320" w:top="658"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9260" w:type="dxa"/>
            <w:vAlign w:val="bottom"/>
            <w:gridSpan w:val="4"/>
          </w:tcPr>
          <w:p>
            <w:pPr>
              <w:ind w:left="780"/>
              <w:spacing w:after="0"/>
              <w:rPr>
                <w:sz w:val="20"/>
                <w:szCs w:val="20"/>
                <w:color w:val="auto"/>
              </w:rPr>
            </w:pPr>
            <w:r>
              <w:rPr>
                <w:rFonts w:ascii="Arial" w:cs="Arial" w:eastAsia="Arial" w:hAnsi="Arial"/>
                <w:sz w:val="13"/>
                <w:szCs w:val="13"/>
                <w:color w:val="auto"/>
              </w:rPr>
              <w:t>Less Landlord Reserve: 2 months: PA, VA and Wash.</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53"/>
        </w:trPr>
        <w:tc>
          <w:tcPr>
            <w:tcW w:w="7160" w:type="dxa"/>
            <w:vAlign w:val="bottom"/>
            <w:gridSpan w:val="2"/>
          </w:tcPr>
          <w:p>
            <w:pPr>
              <w:ind w:left="780"/>
              <w:spacing w:after="0"/>
              <w:rPr>
                <w:sz w:val="20"/>
                <w:szCs w:val="20"/>
                <w:color w:val="auto"/>
              </w:rPr>
            </w:pPr>
            <w:r>
              <w:rPr>
                <w:rFonts w:ascii="Arial" w:cs="Arial" w:eastAsia="Arial" w:hAnsi="Arial"/>
                <w:sz w:val="13"/>
                <w:szCs w:val="13"/>
                <w:color w:val="auto"/>
              </w:rPr>
              <w:t>Less Gift Certificate Merchandise Credits</w:t>
            </w:r>
          </w:p>
        </w:tc>
        <w:tc>
          <w:tcPr>
            <w:tcW w:w="2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50%</w:t>
            </w: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3"/>
        </w:trPr>
        <w:tc>
          <w:tcPr>
            <w:tcW w:w="7160" w:type="dxa"/>
            <w:vAlign w:val="bottom"/>
            <w:gridSpan w:val="2"/>
          </w:tcPr>
          <w:p>
            <w:pPr>
              <w:ind w:left="780"/>
              <w:spacing w:after="0"/>
              <w:rPr>
                <w:sz w:val="20"/>
                <w:szCs w:val="20"/>
                <w:color w:val="auto"/>
              </w:rPr>
            </w:pPr>
            <w:r>
              <w:rPr>
                <w:rFonts w:ascii="Arial" w:cs="Arial" w:eastAsia="Arial" w:hAnsi="Arial"/>
                <w:sz w:val="13"/>
                <w:szCs w:val="13"/>
                <w:color w:val="auto"/>
              </w:rPr>
              <w:t>Customer Deposits (TCM&amp; Rochester)</w:t>
            </w:r>
          </w:p>
        </w:tc>
        <w:tc>
          <w:tcPr>
            <w:tcW w:w="2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100%</w:t>
            </w: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3"/>
        </w:trPr>
        <w:tc>
          <w:tcPr>
            <w:tcW w:w="9260" w:type="dxa"/>
            <w:vAlign w:val="bottom"/>
            <w:gridSpan w:val="4"/>
          </w:tcPr>
          <w:p>
            <w:pPr>
              <w:ind w:left="780"/>
              <w:spacing w:after="0"/>
              <w:rPr>
                <w:sz w:val="20"/>
                <w:szCs w:val="20"/>
                <w:color w:val="auto"/>
              </w:rPr>
            </w:pPr>
            <w:r>
              <w:rPr>
                <w:rFonts w:ascii="Arial" w:cs="Arial" w:eastAsia="Arial" w:hAnsi="Arial"/>
                <w:sz w:val="13"/>
                <w:szCs w:val="13"/>
                <w:color w:val="auto"/>
              </w:rPr>
              <w:t>FILO Pushdown Reserve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313"/>
        </w:trPr>
        <w:tc>
          <w:tcPr>
            <w:tcW w:w="7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Availability Reserves</w:t>
            </w:r>
          </w:p>
        </w:tc>
        <w:tc>
          <w:tcPr>
            <w:tcW w:w="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313"/>
        </w:trPr>
        <w:tc>
          <w:tcPr>
            <w:tcW w:w="9260" w:type="dxa"/>
            <w:vAlign w:val="bottom"/>
            <w:gridSpan w:val="4"/>
          </w:tcPr>
          <w:p>
            <w:pPr>
              <w:spacing w:after="0"/>
              <w:rPr>
                <w:sz w:val="20"/>
                <w:szCs w:val="20"/>
                <w:color w:val="auto"/>
              </w:rPr>
            </w:pPr>
            <w:r>
              <w:rPr>
                <w:rFonts w:ascii="Arial" w:cs="Arial" w:eastAsia="Arial" w:hAnsi="Arial"/>
                <w:sz w:val="13"/>
                <w:szCs w:val="13"/>
                <w:color w:val="auto"/>
              </w:rPr>
              <w:t>Revolver Availability (uncapped)</w:t>
            </w:r>
          </w:p>
        </w:tc>
        <w:tc>
          <w:tcPr>
            <w:tcW w:w="1260" w:type="dxa"/>
            <w:vAlign w:val="bottom"/>
            <w:gridSpan w:val="3"/>
          </w:tcPr>
          <w:p>
            <w:pPr>
              <w:jc w:val="right"/>
              <w:ind w:right="41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13"/>
        </w:trPr>
        <w:tc>
          <w:tcPr>
            <w:tcW w:w="710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r>
        <w:trPr>
          <w:trHeight w:val="153"/>
        </w:trPr>
        <w:tc>
          <w:tcPr>
            <w:tcW w:w="9260" w:type="dxa"/>
            <w:vAlign w:val="bottom"/>
            <w:gridSpan w:val="4"/>
          </w:tcPr>
          <w:p>
            <w:pPr>
              <w:spacing w:after="0"/>
              <w:rPr>
                <w:sz w:val="20"/>
                <w:szCs w:val="20"/>
                <w:color w:val="auto"/>
              </w:rPr>
            </w:pPr>
            <w:r>
              <w:rPr>
                <w:rFonts w:ascii="Arial" w:cs="Arial" w:eastAsia="Arial" w:hAnsi="Arial"/>
                <w:sz w:val="13"/>
                <w:szCs w:val="13"/>
                <w:b w:val="1"/>
                <w:bCs w:val="1"/>
                <w:color w:val="auto"/>
              </w:rPr>
              <w:t>Maximum Revolver Availability ($125MM)</w:t>
            </w:r>
          </w:p>
        </w:tc>
        <w:tc>
          <w:tcPr>
            <w:tcW w:w="1260" w:type="dxa"/>
            <w:vAlign w:val="bottom"/>
            <w:gridSpan w:val="3"/>
          </w:tcPr>
          <w:p>
            <w:pPr>
              <w:jc w:val="right"/>
              <w:ind w:right="414"/>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7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60" w:type="dxa"/>
            <w:vAlign w:val="bottom"/>
            <w:gridSpan w:val="3"/>
          </w:tcPr>
          <w:p>
            <w:pPr>
              <w:spacing w:after="0"/>
              <w:rPr>
                <w:sz w:val="20"/>
                <w:szCs w:val="20"/>
                <w:color w:val="auto"/>
              </w:rPr>
            </w:pPr>
            <w:r>
              <w:rPr>
                <w:rFonts w:ascii="Arial" w:cs="Arial" w:eastAsia="Arial" w:hAnsi="Arial"/>
                <w:sz w:val="13"/>
                <w:szCs w:val="13"/>
                <w:b w:val="1"/>
                <w:bCs w:val="1"/>
                <w:color w:val="auto"/>
              </w:rPr>
              <w:t>AVAILABILITY CALCULATION</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160" w:type="dxa"/>
            <w:vAlign w:val="bottom"/>
            <w:gridSpan w:val="3"/>
          </w:tcPr>
          <w:p>
            <w:pPr>
              <w:spacing w:after="0"/>
              <w:rPr>
                <w:sz w:val="20"/>
                <w:szCs w:val="20"/>
                <w:color w:val="auto"/>
              </w:rPr>
            </w:pPr>
            <w:r>
              <w:rPr>
                <w:rFonts w:ascii="Arial" w:cs="Arial" w:eastAsia="Arial" w:hAnsi="Arial"/>
                <w:sz w:val="13"/>
                <w:szCs w:val="13"/>
                <w:color w:val="auto"/>
              </w:rPr>
              <w:t>Beginning Principal Balance (revolver)</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color w:val="auto"/>
              </w:rPr>
              <w:t>ADD:</w:t>
            </w:r>
          </w:p>
        </w:tc>
        <w:tc>
          <w:tcPr>
            <w:tcW w:w="1840" w:type="dxa"/>
            <w:vAlign w:val="bottom"/>
          </w:tcPr>
          <w:p>
            <w:pPr>
              <w:spacing w:after="0"/>
              <w:rPr>
                <w:sz w:val="20"/>
                <w:szCs w:val="20"/>
                <w:color w:val="auto"/>
              </w:rPr>
            </w:pPr>
            <w:r>
              <w:rPr>
                <w:rFonts w:ascii="Arial" w:cs="Arial" w:eastAsia="Arial" w:hAnsi="Arial"/>
                <w:sz w:val="13"/>
                <w:szCs w:val="13"/>
                <w:color w:val="auto"/>
              </w:rPr>
              <w:t>Prior days advance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color w:val="auto"/>
              </w:rPr>
              <w:t>ADD:</w:t>
            </w:r>
          </w:p>
        </w:tc>
        <w:tc>
          <w:tcPr>
            <w:tcW w:w="1840" w:type="dxa"/>
            <w:vAlign w:val="bottom"/>
          </w:tcPr>
          <w:p>
            <w:pPr>
              <w:spacing w:after="0"/>
              <w:rPr>
                <w:sz w:val="20"/>
                <w:szCs w:val="20"/>
                <w:color w:val="auto"/>
              </w:rPr>
            </w:pPr>
            <w:r>
              <w:rPr>
                <w:rFonts w:ascii="Arial" w:cs="Arial" w:eastAsia="Arial" w:hAnsi="Arial"/>
                <w:sz w:val="13"/>
                <w:szCs w:val="13"/>
                <w:color w:val="auto"/>
              </w:rPr>
              <w:t>Interest / Fees charged today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color w:val="auto"/>
              </w:rPr>
              <w:t>LESS:</w:t>
            </w:r>
          </w:p>
        </w:tc>
        <w:tc>
          <w:tcPr>
            <w:tcW w:w="1840" w:type="dxa"/>
            <w:vAlign w:val="bottom"/>
          </w:tcPr>
          <w:p>
            <w:pPr>
              <w:spacing w:after="0"/>
              <w:rPr>
                <w:sz w:val="20"/>
                <w:szCs w:val="20"/>
                <w:color w:val="auto"/>
              </w:rPr>
            </w:pPr>
            <w:r>
              <w:rPr>
                <w:rFonts w:ascii="Arial" w:cs="Arial" w:eastAsia="Arial" w:hAnsi="Arial"/>
                <w:sz w:val="13"/>
                <w:szCs w:val="13"/>
                <w:color w:val="auto"/>
              </w:rPr>
              <w:t>Prior day's paydown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60" w:type="dxa"/>
            <w:vAlign w:val="bottom"/>
            <w:gridSpan w:val="3"/>
          </w:tcPr>
          <w:p>
            <w:pPr>
              <w:spacing w:after="0"/>
              <w:rPr>
                <w:sz w:val="20"/>
                <w:szCs w:val="20"/>
                <w:color w:val="auto"/>
              </w:rPr>
            </w:pPr>
            <w:r>
              <w:rPr>
                <w:rFonts w:ascii="Arial" w:cs="Arial" w:eastAsia="Arial" w:hAnsi="Arial"/>
                <w:sz w:val="13"/>
                <w:szCs w:val="13"/>
                <w:color w:val="auto"/>
              </w:rPr>
              <w:t>Ending principal balance (revolver)</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860" w:type="dxa"/>
            <w:vAlign w:val="bottom"/>
          </w:tcPr>
          <w:p>
            <w:pPr>
              <w:spacing w:after="0"/>
              <w:rPr>
                <w:sz w:val="24"/>
                <w:szCs w:val="24"/>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color w:val="auto"/>
              </w:rPr>
              <w:t>ADD:</w:t>
            </w:r>
          </w:p>
        </w:tc>
        <w:tc>
          <w:tcPr>
            <w:tcW w:w="1840" w:type="dxa"/>
            <w:vAlign w:val="bottom"/>
          </w:tcPr>
          <w:p>
            <w:pPr>
              <w:spacing w:after="0"/>
              <w:rPr>
                <w:sz w:val="20"/>
                <w:szCs w:val="20"/>
                <w:color w:val="auto"/>
              </w:rPr>
            </w:pPr>
            <w:r>
              <w:rPr>
                <w:rFonts w:ascii="Arial" w:cs="Arial" w:eastAsia="Arial" w:hAnsi="Arial"/>
                <w:sz w:val="13"/>
                <w:szCs w:val="13"/>
                <w:color w:val="auto"/>
              </w:rPr>
              <w:t>Outstanding Letters of Credit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160" w:type="dxa"/>
            <w:vAlign w:val="bottom"/>
            <w:gridSpan w:val="3"/>
          </w:tcPr>
          <w:p>
            <w:pPr>
              <w:spacing w:after="0"/>
              <w:rPr>
                <w:sz w:val="20"/>
                <w:szCs w:val="20"/>
                <w:color w:val="auto"/>
              </w:rPr>
            </w:pPr>
            <w:r>
              <w:rPr>
                <w:rFonts w:ascii="Arial" w:cs="Arial" w:eastAsia="Arial" w:hAnsi="Arial"/>
                <w:sz w:val="13"/>
                <w:szCs w:val="13"/>
                <w:b w:val="1"/>
                <w:bCs w:val="1"/>
                <w:color w:val="auto"/>
              </w:rPr>
              <w:t>Total loan balance and L/Cs prior to request</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7160" w:type="dxa"/>
            <w:vAlign w:val="bottom"/>
            <w:gridSpan w:val="3"/>
          </w:tcPr>
          <w:p>
            <w:pPr>
              <w:spacing w:after="0"/>
              <w:rPr>
                <w:sz w:val="20"/>
                <w:szCs w:val="20"/>
                <w:color w:val="auto"/>
              </w:rPr>
            </w:pPr>
            <w:r>
              <w:rPr>
                <w:rFonts w:ascii="Arial" w:cs="Arial" w:eastAsia="Arial" w:hAnsi="Arial"/>
                <w:sz w:val="13"/>
                <w:szCs w:val="13"/>
                <w:color w:val="auto"/>
              </w:rPr>
              <w:t>Excess Availability prior to today's request</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b w:val="1"/>
                <w:bCs w:val="1"/>
                <w:color w:val="auto"/>
              </w:rPr>
              <w:t>ADVANCE REQUEST</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13"/>
        </w:trPr>
        <w:tc>
          <w:tcPr>
            <w:tcW w:w="1860" w:type="dxa"/>
            <w:vAlign w:val="bottom"/>
          </w:tcPr>
          <w:p>
            <w:pPr>
              <w:spacing w:after="0"/>
              <w:rPr>
                <w:sz w:val="24"/>
                <w:szCs w:val="24"/>
                <w:color w:val="auto"/>
              </w:rPr>
            </w:pPr>
          </w:p>
        </w:tc>
        <w:tc>
          <w:tcPr>
            <w:tcW w:w="5300" w:type="dxa"/>
            <w:vAlign w:val="bottom"/>
            <w:gridSpan w:val="2"/>
          </w:tcPr>
          <w:p>
            <w:pPr>
              <w:ind w:left="3040"/>
              <w:spacing w:after="0"/>
              <w:rPr>
                <w:sz w:val="20"/>
                <w:szCs w:val="20"/>
                <w:color w:val="auto"/>
              </w:rPr>
            </w:pPr>
            <w:r>
              <w:rPr>
                <w:rFonts w:ascii="Arial" w:cs="Arial" w:eastAsia="Arial" w:hAnsi="Arial"/>
                <w:sz w:val="13"/>
                <w:szCs w:val="13"/>
                <w:b w:val="1"/>
                <w:bCs w:val="1"/>
                <w:color w:val="auto"/>
              </w:rPr>
              <w:t>PAY DOWN</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00" w:type="dxa"/>
            <w:vAlign w:val="bottom"/>
            <w:gridSpan w:val="2"/>
          </w:tcPr>
          <w:p>
            <w:pPr>
              <w:spacing w:after="0"/>
              <w:rPr>
                <w:sz w:val="20"/>
                <w:szCs w:val="20"/>
                <w:color w:val="auto"/>
              </w:rPr>
            </w:pPr>
            <w:r>
              <w:rPr>
                <w:rFonts w:ascii="Arial" w:cs="Arial" w:eastAsia="Arial" w:hAnsi="Arial"/>
                <w:sz w:val="13"/>
                <w:szCs w:val="13"/>
                <w:b w:val="1"/>
                <w:bCs w:val="1"/>
                <w:color w:val="auto"/>
              </w:rPr>
              <w:t>Excess Revolver Availability</w:t>
            </w: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auto"/>
              <w:bottom w:val="single" w:sz="8" w:color="auto"/>
            </w:tcBorders>
          </w:tcPr>
          <w:p>
            <w:pPr>
              <w:spacing w:after="0" w:line="20" w:lineRule="exact"/>
              <w:rPr>
                <w:sz w:val="1"/>
                <w:szCs w:val="1"/>
                <w:color w:val="auto"/>
              </w:rPr>
            </w:pPr>
          </w:p>
        </w:tc>
        <w:tc>
          <w:tcPr>
            <w:tcW w:w="5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160" w:type="dxa"/>
            <w:vAlign w:val="bottom"/>
            <w:gridSpan w:val="3"/>
          </w:tcPr>
          <w:p>
            <w:pPr>
              <w:spacing w:after="0"/>
              <w:rPr>
                <w:sz w:val="20"/>
                <w:szCs w:val="20"/>
                <w:color w:val="auto"/>
              </w:rPr>
            </w:pPr>
            <w:r>
              <w:rPr>
                <w:rFonts w:ascii="Arial" w:cs="Arial" w:eastAsia="Arial" w:hAnsi="Arial"/>
                <w:sz w:val="13"/>
                <w:szCs w:val="13"/>
                <w:color w:val="auto"/>
              </w:rPr>
              <w:t>Compliance with Covenant - Total Availability (after today's request) &gt;= to the</w:t>
            </w:r>
          </w:p>
        </w:tc>
        <w:tc>
          <w:tcPr>
            <w:tcW w:w="2800" w:type="dxa"/>
            <w:vAlign w:val="bottom"/>
            <w:gridSpan w:val="5"/>
          </w:tcPr>
          <w:p>
            <w:pPr>
              <w:spacing w:after="0"/>
              <w:rPr>
                <w:sz w:val="20"/>
                <w:szCs w:val="20"/>
                <w:color w:val="auto"/>
              </w:rPr>
            </w:pPr>
            <w:r>
              <w:rPr>
                <w:rFonts w:ascii="Arial" w:cs="Arial" w:eastAsia="Arial" w:hAnsi="Arial"/>
                <w:sz w:val="13"/>
                <w:szCs w:val="13"/>
                <w:color w:val="auto"/>
              </w:rPr>
              <w:t>Minimum Required Total Revolver</w:t>
            </w:r>
          </w:p>
        </w:tc>
        <w:tc>
          <w:tcPr>
            <w:tcW w:w="26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10,000,000</w:t>
            </w:r>
          </w:p>
        </w:tc>
        <w:tc>
          <w:tcPr>
            <w:tcW w:w="0" w:type="dxa"/>
            <w:vAlign w:val="bottom"/>
          </w:tcPr>
          <w:p>
            <w:pPr>
              <w:spacing w:after="0"/>
              <w:rPr>
                <w:sz w:val="1"/>
                <w:szCs w:val="1"/>
                <w:color w:val="auto"/>
              </w:rPr>
            </w:pPr>
          </w:p>
        </w:tc>
      </w:tr>
      <w:tr>
        <w:trPr>
          <w:trHeight w:val="157"/>
        </w:trPr>
        <w:tc>
          <w:tcPr>
            <w:tcW w:w="7160" w:type="dxa"/>
            <w:vAlign w:val="bottom"/>
            <w:gridSpan w:val="3"/>
          </w:tcPr>
          <w:p>
            <w:pPr>
              <w:spacing w:after="0"/>
              <w:rPr>
                <w:sz w:val="20"/>
                <w:szCs w:val="20"/>
                <w:color w:val="auto"/>
              </w:rPr>
            </w:pPr>
            <w:r>
              <w:rPr>
                <w:rFonts w:ascii="Arial" w:cs="Arial" w:eastAsia="Arial" w:hAnsi="Arial"/>
                <w:sz w:val="13"/>
                <w:szCs w:val="13"/>
                <w:color w:val="auto"/>
              </w:rPr>
              <w:t>greater of:</w:t>
            </w:r>
          </w:p>
        </w:tc>
        <w:tc>
          <w:tcPr>
            <w:tcW w:w="1840" w:type="dxa"/>
            <w:vAlign w:val="bottom"/>
          </w:tcPr>
          <w:p>
            <w:pPr>
              <w:spacing w:after="0"/>
              <w:rPr>
                <w:sz w:val="20"/>
                <w:szCs w:val="20"/>
                <w:color w:val="auto"/>
              </w:rPr>
            </w:pPr>
            <w:r>
              <w:rPr>
                <w:rFonts w:ascii="Arial" w:cs="Arial" w:eastAsia="Arial" w:hAnsi="Arial"/>
                <w:sz w:val="13"/>
                <w:szCs w:val="13"/>
                <w:color w:val="auto"/>
              </w:rPr>
              <w:t>Availability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20"/>
                <w:szCs w:val="20"/>
                <w:color w:val="auto"/>
              </w:rPr>
            </w:pPr>
            <w:r>
              <w:rPr>
                <w:rFonts w:ascii="Arial" w:cs="Arial" w:eastAsia="Arial" w:hAnsi="Arial"/>
                <w:sz w:val="13"/>
                <w:szCs w:val="13"/>
                <w:color w:val="auto"/>
              </w:rPr>
              <w:t>Minimum Excess Availability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No</w:t>
            </w: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5300" w:type="dxa"/>
            <w:vAlign w:val="bottom"/>
            <w:gridSpan w:val="2"/>
          </w:tcPr>
          <w:p>
            <w:pPr>
              <w:ind w:left="2860"/>
              <w:spacing w:after="0"/>
              <w:rPr>
                <w:sz w:val="20"/>
                <w:szCs w:val="20"/>
                <w:color w:val="auto"/>
              </w:rPr>
            </w:pPr>
            <w:r>
              <w:rPr>
                <w:rFonts w:ascii="Arial" w:cs="Arial" w:eastAsia="Arial" w:hAnsi="Arial"/>
                <w:sz w:val="13"/>
                <w:szCs w:val="13"/>
                <w:color w:val="auto"/>
              </w:rPr>
              <w:t>(a)$ 10,000,000</w:t>
            </w:r>
          </w:p>
        </w:tc>
        <w:tc>
          <w:tcPr>
            <w:tcW w:w="1840" w:type="dxa"/>
            <w:vAlign w:val="bottom"/>
          </w:tcPr>
          <w:p>
            <w:pPr>
              <w:spacing w:after="0"/>
              <w:rPr>
                <w:sz w:val="20"/>
                <w:szCs w:val="20"/>
                <w:color w:val="auto"/>
              </w:rPr>
            </w:pPr>
            <w:r>
              <w:rPr>
                <w:rFonts w:ascii="Arial" w:cs="Arial" w:eastAsia="Arial" w:hAnsi="Arial"/>
                <w:sz w:val="13"/>
                <w:szCs w:val="13"/>
                <w:color w:val="auto"/>
              </w:rPr>
              <w:t>Compliance Event in effect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5300" w:type="dxa"/>
            <w:vAlign w:val="bottom"/>
            <w:gridSpan w:val="2"/>
          </w:tcPr>
          <w:p>
            <w:pPr>
              <w:ind w:left="2860"/>
              <w:spacing w:after="0"/>
              <w:rPr>
                <w:sz w:val="20"/>
                <w:szCs w:val="20"/>
                <w:color w:val="auto"/>
              </w:rPr>
            </w:pPr>
            <w:r>
              <w:rPr>
                <w:rFonts w:ascii="Arial" w:cs="Arial" w:eastAsia="Arial" w:hAnsi="Arial"/>
                <w:sz w:val="13"/>
                <w:szCs w:val="13"/>
                <w:color w:val="auto"/>
              </w:rPr>
              <w:t>(b)10.0% of Revolver Loan Cap (without</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5300" w:type="dxa"/>
            <w:vAlign w:val="bottom"/>
            <w:gridSpan w:val="2"/>
          </w:tcPr>
          <w:p>
            <w:pPr>
              <w:ind w:left="3040"/>
              <w:spacing w:after="0" w:line="148" w:lineRule="exact"/>
              <w:rPr>
                <w:sz w:val="20"/>
                <w:szCs w:val="20"/>
                <w:color w:val="auto"/>
              </w:rPr>
            </w:pPr>
            <w:r>
              <w:rPr>
                <w:rFonts w:ascii="Arial" w:cs="Arial" w:eastAsia="Arial" w:hAnsi="Arial"/>
                <w:sz w:val="13"/>
                <w:szCs w:val="13"/>
                <w:color w:val="auto"/>
              </w:rPr>
              <w:t>giving effect to FILO Pushdown</w:t>
            </w: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5300" w:type="dxa"/>
            <w:vAlign w:val="bottom"/>
            <w:gridSpan w:val="2"/>
          </w:tcPr>
          <w:p>
            <w:pPr>
              <w:ind w:left="3040"/>
              <w:spacing w:after="0" w:line="144" w:lineRule="exact"/>
              <w:rPr>
                <w:sz w:val="20"/>
                <w:szCs w:val="20"/>
                <w:color w:val="auto"/>
              </w:rPr>
            </w:pPr>
            <w:r>
              <w:rPr>
                <w:rFonts w:ascii="Arial" w:cs="Arial" w:eastAsia="Arial" w:hAnsi="Arial"/>
                <w:sz w:val="13"/>
                <w:szCs w:val="13"/>
                <w:color w:val="auto"/>
              </w:rPr>
              <w:t>Reserve)</w:t>
            </w:r>
          </w:p>
        </w:tc>
        <w:tc>
          <w:tcPr>
            <w:tcW w:w="18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undersigned, a Responsible Officer (as defined in the Credit Agreement referred to below) of Destination XL Group, Inc. (the “Lead Borrower”), represents and warrants that (a) the information set forth above and the supporting documentation delivered in connection herewith have been prepared in accordance with the requirements of that certain Seventh Amended and Restated Credit Agreement dated as of May 24, 2018 (as amended, restated, supplemented or otherwise modified and in effect from time to time, the "Credit Agreement") by, among others, (i) the Lead Borrower, (ii) the Borrowers party thereto from time to time, (iii) the Guarantors party thereto from time to time, (iv) the Lenders party thereto from time to time, and (v) Bank of America, N.A., as administrative agent and collateral agent (in such capacities, the “Agent”); (b) no Default or Event of Default (as such terms are defined in the Credit Agreement) has occurred and is continuing; and (c) all or a portion of the advance requested hereby will be set aside by the Borrowers to cover 100% of the Borrowers' obligation for sales tax on account of sales since the most recent borrowing under the Credit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Destination XL Group, Inc., as Lead Borrower</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-3175</wp:posOffset>
            </wp:positionV>
            <wp:extent cx="12846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164" w:lineRule="exact"/>
        <w:rPr>
          <w:sz w:val="20"/>
          <w:szCs w:val="20"/>
          <w:color w:val="auto"/>
        </w:rPr>
      </w:pPr>
    </w:p>
    <w:p>
      <w:pPr>
        <w:ind w:left="67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-3175</wp:posOffset>
            </wp:positionV>
            <wp:extent cx="12846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164"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-3175</wp:posOffset>
            </wp:positionV>
            <wp:extent cx="12846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164" w:lineRule="exact"/>
        <w:rPr>
          <w:sz w:val="20"/>
          <w:szCs w:val="20"/>
          <w:color w:val="auto"/>
        </w:rPr>
      </w:pPr>
    </w:p>
    <w:p>
      <w:pPr>
        <w:ind w:left="68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-3175</wp:posOffset>
            </wp:positionV>
            <wp:extent cx="12846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20"/>
          <w:szCs w:val="20"/>
          <w:i w:val="1"/>
          <w:i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596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060"/>
          </w:cols>
          <w:pgMar w:left="320" w:top="348" w:right="5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4140" w:type="dxa"/>
            <w:vAlign w:val="bottom"/>
            <w:gridSpan w:val="3"/>
          </w:tcPr>
          <w:p>
            <w:pPr>
              <w:ind w:left="100"/>
              <w:spacing w:after="0"/>
              <w:rPr>
                <w:sz w:val="20"/>
                <w:szCs w:val="20"/>
                <w:color w:val="auto"/>
              </w:rPr>
            </w:pPr>
            <w:r>
              <w:rPr>
                <w:rFonts w:ascii="Arial" w:cs="Arial" w:eastAsia="Arial" w:hAnsi="Arial"/>
                <w:sz w:val="13"/>
                <w:szCs w:val="13"/>
                <w:b w:val="1"/>
                <w:bCs w:val="1"/>
                <w:color w:val="auto"/>
              </w:rPr>
              <w:t>Destination XL Group, Inc.</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020" w:type="dxa"/>
            <w:vAlign w:val="bottom"/>
          </w:tcPr>
          <w:p>
            <w:pPr>
              <w:spacing w:after="0"/>
              <w:rPr>
                <w:sz w:val="13"/>
                <w:szCs w:val="13"/>
                <w:color w:val="auto"/>
              </w:rPr>
            </w:pPr>
          </w:p>
        </w:tc>
        <w:tc>
          <w:tcPr>
            <w:tcW w:w="4140" w:type="dxa"/>
            <w:vAlign w:val="bottom"/>
            <w:gridSpan w:val="3"/>
          </w:tcPr>
          <w:p>
            <w:pPr>
              <w:ind w:left="100"/>
              <w:spacing w:after="0"/>
              <w:rPr>
                <w:sz w:val="20"/>
                <w:szCs w:val="20"/>
                <w:color w:val="auto"/>
              </w:rPr>
            </w:pPr>
            <w:r>
              <w:rPr>
                <w:rFonts w:ascii="Arial" w:cs="Arial" w:eastAsia="Arial" w:hAnsi="Arial"/>
                <w:sz w:val="13"/>
                <w:szCs w:val="13"/>
                <w:color w:val="auto"/>
              </w:rPr>
              <w:t>FILO Borrowing Base Certificate</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jc w:val="center"/>
              <w:ind w:left="2894"/>
              <w:spacing w:after="0"/>
              <w:rPr>
                <w:sz w:val="20"/>
                <w:szCs w:val="20"/>
                <w:color w:val="auto"/>
              </w:rPr>
            </w:pPr>
            <w:r>
              <w:rPr>
                <w:rFonts w:ascii="Arial" w:cs="Arial" w:eastAsia="Arial" w:hAnsi="Arial"/>
                <w:sz w:val="13"/>
                <w:szCs w:val="13"/>
                <w:color w:val="auto"/>
              </w:rPr>
              <w:t>Certificate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line="144" w:lineRule="exact"/>
              <w:rPr>
                <w:sz w:val="20"/>
                <w:szCs w:val="20"/>
                <w:color w:val="auto"/>
              </w:rPr>
            </w:pPr>
            <w:r>
              <w:rPr>
                <w:rFonts w:ascii="Arial" w:cs="Arial" w:eastAsia="Arial" w:hAnsi="Arial"/>
                <w:sz w:val="13"/>
                <w:szCs w:val="13"/>
                <w:color w:val="auto"/>
              </w:rPr>
              <w:t>Email to: [ ]</w:t>
            </w:r>
          </w:p>
        </w:tc>
        <w:tc>
          <w:tcPr>
            <w:tcW w:w="100" w:type="dxa"/>
            <w:vAlign w:val="bottom"/>
          </w:tcPr>
          <w:p>
            <w:pPr>
              <w:spacing w:after="0"/>
              <w:rPr>
                <w:sz w:val="12"/>
                <w:szCs w:val="12"/>
                <w:color w:val="auto"/>
              </w:rPr>
            </w:pPr>
          </w:p>
        </w:tc>
        <w:tc>
          <w:tcPr>
            <w:tcW w:w="3920" w:type="dxa"/>
            <w:vAlign w:val="bottom"/>
          </w:tcPr>
          <w:p>
            <w:pPr>
              <w:jc w:val="center"/>
              <w:ind w:left="3014"/>
              <w:spacing w:after="0" w:line="144" w:lineRule="exact"/>
              <w:rPr>
                <w:sz w:val="20"/>
                <w:szCs w:val="20"/>
                <w:color w:val="auto"/>
              </w:rPr>
            </w:pPr>
            <w:r>
              <w:rPr>
                <w:rFonts w:ascii="Arial" w:cs="Arial" w:eastAsia="Arial" w:hAnsi="Arial"/>
                <w:sz w:val="13"/>
                <w:szCs w:val="13"/>
                <w:color w:val="auto"/>
                <w:w w:val="98"/>
              </w:rPr>
              <w:t>No.</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gridSpan w:val="2"/>
          </w:tcPr>
          <w:p>
            <w:pPr>
              <w:jc w:val="center"/>
              <w:ind w:left="2894"/>
              <w:spacing w:after="0"/>
              <w:rPr>
                <w:sz w:val="20"/>
                <w:szCs w:val="20"/>
                <w:color w:val="auto"/>
              </w:rPr>
            </w:pPr>
            <w:r>
              <w:rPr>
                <w:rFonts w:ascii="Arial" w:cs="Arial" w:eastAsia="Arial" w:hAnsi="Arial"/>
                <w:sz w:val="13"/>
                <w:szCs w:val="13"/>
                <w:color w:val="auto"/>
              </w:rPr>
              <w:t>Certificate</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ind w:left="220"/>
              <w:spacing w:after="0" w:line="144"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2"/>
                <w:szCs w:val="12"/>
                <w:color w:val="auto"/>
              </w:rPr>
            </w:pPr>
          </w:p>
        </w:tc>
        <w:tc>
          <w:tcPr>
            <w:tcW w:w="3920" w:type="dxa"/>
            <w:vAlign w:val="bottom"/>
          </w:tcPr>
          <w:p>
            <w:pPr>
              <w:jc w:val="center"/>
              <w:ind w:left="3014"/>
              <w:spacing w:after="0" w:line="144" w:lineRule="exact"/>
              <w:rPr>
                <w:sz w:val="20"/>
                <w:szCs w:val="20"/>
                <w:color w:val="auto"/>
              </w:rPr>
            </w:pPr>
            <w:r>
              <w:rPr>
                <w:rFonts w:ascii="Arial" w:cs="Arial" w:eastAsia="Arial" w:hAnsi="Arial"/>
                <w:sz w:val="13"/>
                <w:szCs w:val="13"/>
                <w:color w:val="auto"/>
              </w:rPr>
              <w:t>Date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At Cost</w:t>
            </w:r>
          </w:p>
        </w:tc>
        <w:tc>
          <w:tcPr>
            <w:tcW w:w="0" w:type="dxa"/>
            <w:vAlign w:val="bottom"/>
          </w:tcPr>
          <w:p>
            <w:pPr>
              <w:spacing w:after="0"/>
              <w:rPr>
                <w:sz w:val="1"/>
                <w:szCs w:val="1"/>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3"/>
                <w:szCs w:val="13"/>
                <w:color w:val="auto"/>
              </w:rPr>
              <w:t>Eligible Inventory</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ind w:left="340"/>
              <w:spacing w:after="0"/>
              <w:rPr>
                <w:sz w:val="20"/>
                <w:szCs w:val="20"/>
                <w:color w:val="auto"/>
              </w:rPr>
            </w:pPr>
            <w:r>
              <w:rPr>
                <w:rFonts w:ascii="Arial" w:cs="Arial" w:eastAsia="Arial" w:hAnsi="Arial"/>
                <w:sz w:val="13"/>
                <w:szCs w:val="13"/>
                <w:color w:val="auto"/>
              </w:rPr>
              <w:t>NOLV</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340"/>
              <w:spacing w:after="0"/>
              <w:rPr>
                <w:sz w:val="20"/>
                <w:szCs w:val="20"/>
                <w:color w:val="auto"/>
              </w:rPr>
            </w:pPr>
            <w:r>
              <w:rPr>
                <w:rFonts w:ascii="Arial" w:cs="Arial" w:eastAsia="Arial" w:hAnsi="Arial"/>
                <w:sz w:val="13"/>
                <w:szCs w:val="13"/>
                <w:color w:val="auto"/>
              </w:rPr>
              <w:t>Advance Rate (10% through 12/31/2020, 7.5% through 5/24/2021, 5% thereafter)</w:t>
            </w: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FILO Inventory Availability</w:t>
            </w:r>
          </w:p>
        </w:tc>
        <w:tc>
          <w:tcPr>
            <w:tcW w:w="4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3"/>
                <w:szCs w:val="13"/>
                <w:color w:val="auto"/>
              </w:rPr>
              <w:t>Eligible In-Transit Inventory</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ind w:left="340"/>
              <w:spacing w:after="0"/>
              <w:rPr>
                <w:sz w:val="20"/>
                <w:szCs w:val="20"/>
                <w:color w:val="auto"/>
              </w:rPr>
            </w:pPr>
            <w:r>
              <w:rPr>
                <w:rFonts w:ascii="Arial" w:cs="Arial" w:eastAsia="Arial" w:hAnsi="Arial"/>
                <w:sz w:val="13"/>
                <w:szCs w:val="13"/>
                <w:color w:val="auto"/>
              </w:rPr>
              <w:t>NOLV</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20" w:type="dxa"/>
            <w:vAlign w:val="bottom"/>
          </w:tcPr>
          <w:p>
            <w:pPr>
              <w:ind w:left="340"/>
              <w:spacing w:after="0"/>
              <w:rPr>
                <w:sz w:val="20"/>
                <w:szCs w:val="20"/>
                <w:color w:val="auto"/>
              </w:rPr>
            </w:pPr>
            <w:r>
              <w:rPr>
                <w:rFonts w:ascii="Arial" w:cs="Arial" w:eastAsia="Arial" w:hAnsi="Arial"/>
                <w:sz w:val="13"/>
                <w:szCs w:val="13"/>
                <w:color w:val="auto"/>
              </w:rPr>
              <w:t>Advance Rate (10% through 12/31/2020, 7.5% through 5/24/2021, 5% thereafter)</w:t>
            </w:r>
          </w:p>
        </w:tc>
        <w:tc>
          <w:tcPr>
            <w:tcW w:w="1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FILO In-Transit Inventory Availability</w:t>
            </w:r>
          </w:p>
        </w:tc>
        <w:tc>
          <w:tcPr>
            <w:tcW w:w="4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3"/>
                <w:szCs w:val="13"/>
                <w:color w:val="auto"/>
              </w:rPr>
              <w:t>Eligible Credit Card Receivables</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ind w:left="340"/>
              <w:spacing w:after="0"/>
              <w:rPr>
                <w:sz w:val="20"/>
                <w:szCs w:val="20"/>
                <w:color w:val="auto"/>
              </w:rPr>
            </w:pPr>
            <w:r>
              <w:rPr>
                <w:rFonts w:ascii="Arial" w:cs="Arial" w:eastAsia="Arial" w:hAnsi="Arial"/>
                <w:sz w:val="13"/>
                <w:szCs w:val="13"/>
                <w:color w:val="auto"/>
              </w:rPr>
              <w:t>Advance Rate (10% through 12/31/2020, 7.5% through 5/24/2021, 5% thereafter)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FILO Credit Card Receivables Availability</w:t>
            </w:r>
          </w:p>
        </w:tc>
        <w:tc>
          <w:tcPr>
            <w:tcW w:w="4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3"/>
                <w:szCs w:val="13"/>
                <w:color w:val="auto"/>
              </w:rPr>
              <w:t>Net Orderly Liquidation Value of Eligible Trade Names</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020" w:type="dxa"/>
            <w:vAlign w:val="bottom"/>
          </w:tcPr>
          <w:p>
            <w:pPr>
              <w:ind w:left="340"/>
              <w:spacing w:after="0"/>
              <w:rPr>
                <w:sz w:val="20"/>
                <w:szCs w:val="20"/>
                <w:color w:val="auto"/>
              </w:rPr>
            </w:pPr>
            <w:r>
              <w:rPr>
                <w:rFonts w:ascii="Arial" w:cs="Arial" w:eastAsia="Arial" w:hAnsi="Arial"/>
                <w:sz w:val="13"/>
                <w:szCs w:val="13"/>
                <w:color w:val="auto"/>
              </w:rPr>
              <w:t>Advance Rate (50% through 12/31/2020, 45% through 5/24/2021, 40% through 5/24/2022, 35%</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20" w:type="dxa"/>
            <w:vAlign w:val="bottom"/>
          </w:tcPr>
          <w:p>
            <w:pPr>
              <w:ind w:left="340"/>
              <w:spacing w:after="0" w:line="144" w:lineRule="exact"/>
              <w:rPr>
                <w:sz w:val="20"/>
                <w:szCs w:val="20"/>
                <w:color w:val="auto"/>
              </w:rPr>
            </w:pPr>
            <w:r>
              <w:rPr>
                <w:rFonts w:ascii="Arial" w:cs="Arial" w:eastAsia="Arial" w:hAnsi="Arial"/>
                <w:sz w:val="13"/>
                <w:szCs w:val="13"/>
                <w:color w:val="auto"/>
              </w:rPr>
              <w:t>thereafter)</w:t>
            </w:r>
          </w:p>
        </w:tc>
        <w:tc>
          <w:tcPr>
            <w:tcW w:w="1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FILO Trade Name Availability (capped at $4MM)</w:t>
            </w:r>
          </w:p>
        </w:tc>
        <w:tc>
          <w:tcPr>
            <w:tcW w:w="4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020" w:type="dxa"/>
            <w:vAlign w:val="bottom"/>
          </w:tcPr>
          <w:p>
            <w:pPr>
              <w:ind w:left="340"/>
              <w:spacing w:after="0"/>
              <w:rPr>
                <w:sz w:val="20"/>
                <w:szCs w:val="20"/>
                <w:color w:val="auto"/>
              </w:rPr>
            </w:pPr>
            <w:r>
              <w:rPr>
                <w:rFonts w:ascii="Arial" w:cs="Arial" w:eastAsia="Arial" w:hAnsi="Arial"/>
                <w:sz w:val="13"/>
                <w:szCs w:val="13"/>
                <w:color w:val="auto"/>
              </w:rPr>
              <w:t>LESS: Availability Reserves relating to Eligible Trade Names</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3"/>
                <w:szCs w:val="13"/>
                <w:b w:val="1"/>
                <w:bCs w:val="1"/>
                <w:color w:val="auto"/>
              </w:rPr>
              <w:t>Total FILO Collateral Availability</w:t>
            </w:r>
          </w:p>
        </w:tc>
        <w:tc>
          <w:tcPr>
            <w:tcW w:w="100" w:type="dxa"/>
            <w:vAlign w:val="bottom"/>
            <w:tcBorders>
              <w:bottom w:val="single" w:sz="8" w:color="auto"/>
            </w:tcBorders>
            <w:shd w:val="clear" w:color="auto" w:fill="D9D9D9"/>
          </w:tcPr>
          <w:p>
            <w:pPr>
              <w:spacing w:after="0"/>
              <w:rPr>
                <w:sz w:val="13"/>
                <w:szCs w:val="13"/>
                <w:color w:val="auto"/>
              </w:rPr>
            </w:pPr>
          </w:p>
        </w:tc>
        <w:tc>
          <w:tcPr>
            <w:tcW w:w="4040" w:type="dxa"/>
            <w:vAlign w:val="bottom"/>
            <w:tcBorders>
              <w:bottom w:val="single" w:sz="8" w:color="auto"/>
            </w:tcBorders>
            <w:gridSpan w:val="2"/>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6020" w:type="dxa"/>
            <w:vAlign w:val="bottom"/>
          </w:tcPr>
          <w:p>
            <w:pPr>
              <w:spacing w:after="0"/>
              <w:rPr>
                <w:sz w:val="20"/>
                <w:szCs w:val="20"/>
                <w:color w:val="auto"/>
              </w:rPr>
            </w:pPr>
            <w:r>
              <w:rPr>
                <w:rFonts w:ascii="Arial" w:cs="Arial" w:eastAsia="Arial" w:hAnsi="Arial"/>
                <w:sz w:val="13"/>
                <w:szCs w:val="13"/>
                <w:b w:val="1"/>
                <w:bCs w:val="1"/>
                <w:color w:val="auto"/>
              </w:rPr>
              <w:t>FILO Loan Principal</w:t>
            </w:r>
          </w:p>
        </w:tc>
        <w:tc>
          <w:tcPr>
            <w:tcW w:w="41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15,000,000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20" w:type="dxa"/>
            <w:vAlign w:val="bottom"/>
          </w:tcPr>
          <w:p>
            <w:pPr>
              <w:spacing w:after="0"/>
              <w:rPr>
                <w:sz w:val="20"/>
                <w:szCs w:val="20"/>
                <w:color w:val="auto"/>
              </w:rPr>
            </w:pPr>
            <w:r>
              <w:rPr>
                <w:rFonts w:ascii="Arial" w:cs="Arial" w:eastAsia="Arial" w:hAnsi="Arial"/>
                <w:sz w:val="13"/>
                <w:szCs w:val="13"/>
                <w:i w:val="1"/>
                <w:iCs w:val="1"/>
                <w:color w:val="auto"/>
              </w:rPr>
              <w:t>FILO Pushdown Reserve</w:t>
            </w:r>
          </w:p>
        </w:tc>
        <w:tc>
          <w:tcPr>
            <w:tcW w:w="4140" w:type="dxa"/>
            <w:vAlign w:val="bottom"/>
            <w:gridSpan w:val="3"/>
          </w:tcPr>
          <w:p>
            <w:pPr>
              <w:jc w:val="right"/>
              <w:ind w:right="60"/>
              <w:spacing w:after="0"/>
              <w:rPr>
                <w:sz w:val="20"/>
                <w:szCs w:val="20"/>
                <w:color w:val="auto"/>
              </w:rPr>
            </w:pPr>
            <w:r>
              <w:rPr>
                <w:rFonts w:ascii="Arial" w:cs="Arial" w:eastAsia="Arial" w:hAnsi="Arial"/>
                <w:sz w:val="13"/>
                <w:szCs w:val="13"/>
                <w:i w:val="1"/>
                <w:i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15,000,000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Annex A</w:t>
      </w:r>
    </w:p>
    <w:sectPr>
      <w:pgSz w:w="11900" w:h="16838" w:orient="portrait"/>
      <w:cols w:equalWidth="0" w:num="1">
        <w:col w:w="11020"/>
      </w:cols>
      <w:pgMar w:left="440" w:top="10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
    <w:nsid w:val="41A7C4C9"/>
    <w:multiLevelType w:val="hybridMultilevel"/>
    <w:lvl w:ilvl="0">
      <w:lvlJc w:val="left"/>
      <w:lvlText w:val="%1."/>
      <w:numFmt w:val="lowerRoman"/>
      <w:start w:val="3"/>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3"/>
    </w:lvl>
  </w:abstractNum>
  <w:abstractNum w:abstractNumId="7">
    <w:nsid w:val="25E45D32"/>
    <w:multiLevelType w:val="hybridMultilevel"/>
    <w:lvl w:ilvl="0">
      <w:lvlJc w:val="left"/>
      <w:lvlText w:val="%1."/>
      <w:numFmt w:val="lowerRoman"/>
      <w:start w:val="4"/>
    </w:lvl>
  </w:abstractNum>
  <w:abstractNum w:abstractNumId="8">
    <w:nsid w:val="519B500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9">
    <w:nsid w:val="431BD7B7"/>
    <w:multiLevelType w:val="hybridMultilevel"/>
    <w:lvl w:ilvl="0">
      <w:lvlJc w:val="left"/>
      <w:lvlText w:val="%1"/>
      <w:numFmt w:val="lowerRoman"/>
      <w:start w:val="1"/>
    </w:lvl>
    <w:lvl w:ilvl="1">
      <w:lvlJc w:val="left"/>
      <w:lvlText w:val="(%2)"/>
      <w:numFmt w:val="lowerLetter"/>
      <w:start w:val="2"/>
    </w:lvl>
  </w:abstractNum>
  <w:abstractNum w:abstractNumId="10">
    <w:nsid w:val="3F2DBA31"/>
    <w:multiLevelType w:val="hybridMultilevel"/>
    <w:lvl w:ilvl="0">
      <w:lvlJc w:val="left"/>
      <w:lvlText w:val="%1."/>
      <w:numFmt w:val="lowerRoman"/>
      <w:start w:val="1"/>
    </w:lvl>
    <w:lvl w:ilvl="1">
      <w:lvlJc w:val="left"/>
      <w:lvlText w:val="%2"/>
      <w:numFmt w:val="lowerLetter"/>
      <w:start w:val="1"/>
    </w:lvl>
  </w:abstractNum>
  <w:abstractNum w:abstractNumId="11">
    <w:nsid w:val="7C83E458"/>
    <w:multiLevelType w:val="hybridMultilevel"/>
    <w:lvl w:ilvl="0">
      <w:lvlJc w:val="left"/>
      <w:lvlText w:val="%1."/>
      <w:numFmt w:val="lowerRoman"/>
      <w:start w:val="3"/>
    </w:lvl>
  </w:abstractNum>
  <w:abstractNum w:abstractNumId="12">
    <w:nsid w:val="257130A3"/>
    <w:multiLevelType w:val="hybridMultilevel"/>
    <w:lvl w:ilvl="0">
      <w:lvlJc w:val="left"/>
      <w:lvlText w:val="%1."/>
      <w:numFmt w:val="lowerRoman"/>
      <w:start w:val="5"/>
    </w:lvl>
  </w:abstractNum>
  <w:abstractNum w:abstractNumId="13">
    <w:nsid w:val="62BBD95A"/>
    <w:multiLevelType w:val="hybridMultilevel"/>
    <w:lvl w:ilvl="0">
      <w:lvlJc w:val="left"/>
      <w:lvlText w:val="%1."/>
      <w:numFmt w:val="lowerRoman"/>
      <w:start w:val="6"/>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lowerRoman"/>
      <w:start w:val="2"/>
    </w:lvl>
  </w:abstractNum>
  <w:abstractNum w:abstractNumId="17">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18">
    <w:nsid w:val="2443A858"/>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9">
    <w:nsid w:val="2D1D5AE9"/>
    <w:multiLevelType w:val="hybridMultilevel"/>
    <w:lvl w:ilvl="0">
      <w:lvlJc w:val="left"/>
      <w:lvlText w:val="%1"/>
      <w:numFmt w:val="lowerLetter"/>
      <w:start w:val="1"/>
    </w:lvl>
    <w:lvl w:ilvl="1">
      <w:lvlJc w:val="left"/>
      <w:lvlText w:val="%2."/>
      <w:numFmt w:val="lowerLetter"/>
      <w:start w:val="61"/>
    </w:lvl>
  </w:abstractNum>
  <w:abstractNum w:abstractNumId="20">
    <w:nsid w:val="6763845E"/>
    <w:multiLevelType w:val="hybridMultilevel"/>
    <w:lvl w:ilvl="0">
      <w:lvlJc w:val="left"/>
      <w:lvlText w:val="%1."/>
      <w:numFmt w:val="lowerLetter"/>
      <w:start w:val="7"/>
    </w:lvl>
    <w:lvl w:ilvl="1">
      <w:lvlJc w:val="left"/>
      <w:lvlText w:val="%2."/>
      <w:numFmt w:val="lowerLetter"/>
      <w:start w:val="9"/>
    </w:lvl>
  </w:abstractNum>
  <w:abstractNum w:abstractNumId="21">
    <w:nsid w:val="75A2A8D4"/>
    <w:multiLevelType w:val="hybridMultilevel"/>
    <w:lvl w:ilvl="0">
      <w:lvlJc w:val="left"/>
      <w:lvlText w:val="%1."/>
      <w:numFmt w:val="lowerRoman"/>
      <w:start w:val="2"/>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8"/>
    </w:lvl>
  </w:abstractNum>
  <w:abstractNum w:abstractNumId="24">
    <w:nsid w:val="4353D0CD"/>
    <w:multiLevelType w:val="hybridMultilevel"/>
    <w:lvl w:ilvl="0">
      <w:lvlJc w:val="left"/>
      <w:lvlText w:val="%1."/>
      <w:numFmt w:val="decimal"/>
      <w:start w:val="5"/>
    </w:lvl>
    <w:lvl w:ilvl="1">
      <w:lvlJc w:val="left"/>
      <w:lvlText w:val="%2."/>
      <w:numFmt w:val="lowerLetter"/>
      <w:start w:val="1"/>
    </w:lvl>
  </w:abstractNum>
  <w:abstractNum w:abstractNumId="25">
    <w:nsid w:val="B03E0C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2020-04-16T06:33:14Z</dcterms:created>
  <dcterms:modified xsi:type="dcterms:W3CDTF">2020-04-16T06:33:14Z</dcterms:modified>
</cp:coreProperties>
</file>