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00"/>
          </w:cols>
          <w:pgMar w:left="240" w:top="230" w:right="259" w:bottom="1440" w:gutter="0" w:footer="0" w:header="0"/>
        </w:sectPr>
      </w:pPr>
    </w:p>
    <w:p>
      <w:pPr>
        <w:spacing w:after="0" w:line="47" w:lineRule="exact"/>
        <w:rPr>
          <w:sz w:val="24"/>
          <w:szCs w:val="24"/>
          <w:color w:val="auto"/>
        </w:rPr>
      </w:pPr>
    </w:p>
    <w:p>
      <w:pPr>
        <w:jc w:val="center"/>
        <w:ind w:right="840"/>
        <w:spacing w:after="0"/>
        <w:rPr>
          <w:sz w:val="20"/>
          <w:szCs w:val="20"/>
          <w:color w:val="auto"/>
        </w:rPr>
      </w:pPr>
      <w:r>
        <w:rPr>
          <w:rFonts w:ascii="Arial" w:cs="Arial" w:eastAsia="Arial" w:hAnsi="Arial"/>
          <w:sz w:val="15"/>
          <w:szCs w:val="15"/>
          <w:b w:val="1"/>
          <w:bCs w:val="1"/>
          <w:color w:val="auto"/>
        </w:rPr>
        <w:t>For the fiscal year ended February 1, 2014</w:t>
      </w:r>
    </w:p>
    <w:p>
      <w:pPr>
        <w:spacing w:after="0" w:line="56"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(Fiscal 2013)</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01-34219</w:t>
      </w:r>
    </w:p>
    <w:p>
      <w:pPr>
        <w:spacing w:after="0" w:line="284" w:lineRule="exact"/>
        <w:rPr>
          <w:sz w:val="24"/>
          <w:szCs w:val="24"/>
          <w:color w:val="auto"/>
        </w:rPr>
      </w:pPr>
    </w:p>
    <w:p>
      <w:pPr>
        <w:sectPr>
          <w:pgSz w:w="11900" w:h="16838" w:orient="portrait"/>
          <w:cols w:equalWidth="0" w:num="2">
            <w:col w:w="6620" w:space="720"/>
            <w:col w:w="4060"/>
          </w:cols>
          <w:pgMar w:left="240" w:top="230" w:right="259" w:bottom="1440" w:gutter="0" w:footer="0" w:header="0"/>
          <w:type w:val="continuous"/>
        </w:sectPr>
      </w:pPr>
    </w:p>
    <w:p>
      <w:pPr>
        <w:jc w:val="center"/>
        <w:ind w:right="-3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180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8"/>
              </w:rPr>
              <w:t>Delaware</w:t>
            </w:r>
          </w:p>
        </w:tc>
        <w:tc>
          <w:tcPr>
            <w:tcW w:w="5380" w:type="dxa"/>
            <w:vAlign w:val="bottom"/>
            <w:gridSpan w:val="5"/>
          </w:tcPr>
          <w:p>
            <w:pPr>
              <w:jc w:val="right"/>
              <w:ind w:right="372"/>
              <w:spacing w:after="0"/>
              <w:rPr>
                <w:sz w:val="20"/>
                <w:szCs w:val="20"/>
                <w:color w:val="auto"/>
              </w:rPr>
            </w:pPr>
            <w:r>
              <w:rPr>
                <w:rFonts w:ascii="Arial" w:cs="Arial" w:eastAsia="Arial" w:hAnsi="Arial"/>
                <w:sz w:val="18"/>
                <w:szCs w:val="18"/>
                <w:b w:val="1"/>
                <w:bCs w:val="1"/>
                <w:color w:val="auto"/>
              </w:rPr>
              <w:t>04-2623104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00" w:type="dxa"/>
            <w:vAlign w:val="bottom"/>
            <w:gridSpan w:val="3"/>
          </w:tcPr>
          <w:p>
            <w:pPr>
              <w:jc w:val="center"/>
              <w:ind w:left="108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gridSpan w:val="2"/>
          </w:tcPr>
          <w:p>
            <w:pPr>
              <w:jc w:val="center"/>
              <w:ind w:left="368"/>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00" w:type="dxa"/>
            <w:vAlign w:val="bottom"/>
            <w:gridSpan w:val="3"/>
          </w:tcPr>
          <w:p>
            <w:pPr>
              <w:jc w:val="center"/>
              <w:ind w:left="1101"/>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w w:val="89"/>
              </w:rPr>
              <w:t>Identification No.)</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700" w:type="dxa"/>
            <w:vAlign w:val="bottom"/>
            <w:gridSpan w:val="3"/>
          </w:tcPr>
          <w:p>
            <w:pPr>
              <w:jc w:val="center"/>
              <w:ind w:left="1081"/>
              <w:spacing w:after="0"/>
              <w:rPr>
                <w:sz w:val="20"/>
                <w:szCs w:val="20"/>
                <w:color w:val="auto"/>
              </w:rPr>
            </w:pPr>
            <w:r>
              <w:rPr>
                <w:rFonts w:ascii="Arial" w:cs="Arial" w:eastAsia="Arial" w:hAnsi="Arial"/>
                <w:sz w:val="18"/>
                <w:szCs w:val="18"/>
                <w:b w:val="1"/>
                <w:bCs w:val="1"/>
                <w:color w:val="auto"/>
                <w:w w:val="90"/>
              </w:rPr>
              <w:t>555 Turnpike Street, Canton, MA</w:t>
            </w:r>
          </w:p>
        </w:tc>
        <w:tc>
          <w:tcPr>
            <w:tcW w:w="4720" w:type="dxa"/>
            <w:vAlign w:val="bottom"/>
            <w:gridSpan w:val="4"/>
          </w:tcPr>
          <w:p>
            <w:pPr>
              <w:jc w:val="right"/>
              <w:spacing w:after="0"/>
              <w:rPr>
                <w:sz w:val="20"/>
                <w:szCs w:val="20"/>
                <w:color w:val="auto"/>
              </w:rPr>
            </w:pPr>
            <w:r>
              <w:rPr>
                <w:rFonts w:ascii="Arial" w:cs="Arial" w:eastAsia="Arial" w:hAnsi="Arial"/>
                <w:sz w:val="18"/>
                <w:szCs w:val="18"/>
                <w:b w:val="1"/>
                <w:bCs w:val="1"/>
                <w:color w:val="auto"/>
              </w:rPr>
              <w:t>02021</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00" w:type="dxa"/>
            <w:vAlign w:val="bottom"/>
            <w:gridSpan w:val="3"/>
          </w:tcPr>
          <w:p>
            <w:pPr>
              <w:jc w:val="center"/>
              <w:ind w:left="108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w w:val="89"/>
              </w:rPr>
              <w:t>(Zip Code)</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740" w:type="dxa"/>
            <w:vAlign w:val="bottom"/>
            <w:gridSpan w:val="2"/>
          </w:tcPr>
          <w:p>
            <w:pPr>
              <w:jc w:val="center"/>
              <w:ind w:left="277"/>
              <w:spacing w:after="0"/>
              <w:rPr>
                <w:sz w:val="20"/>
                <w:szCs w:val="20"/>
                <w:color w:val="auto"/>
              </w:rPr>
            </w:pPr>
            <w:r>
              <w:rPr>
                <w:rFonts w:ascii="Arial" w:cs="Arial" w:eastAsia="Arial" w:hAnsi="Arial"/>
                <w:sz w:val="18"/>
                <w:szCs w:val="18"/>
                <w:b w:val="1"/>
                <w:bCs w:val="1"/>
                <w:color w:val="auto"/>
                <w:w w:val="89"/>
              </w:rPr>
              <w:t>(781) 828-9300</w:t>
            </w: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20" w:type="dxa"/>
            <w:vAlign w:val="bottom"/>
            <w:gridSpan w:val="4"/>
          </w:tcPr>
          <w:p>
            <w:pPr>
              <w:jc w:val="center"/>
              <w:ind w:right="1548"/>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40" w:type="dxa"/>
            <w:vAlign w:val="bottom"/>
            <w:gridSpan w:val="5"/>
          </w:tcPr>
          <w:p>
            <w:pPr>
              <w:jc w:val="center"/>
              <w:ind w:right="808"/>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1800" w:type="dxa"/>
            <w:vAlign w:val="bottom"/>
            <w:gridSpan w:val="2"/>
          </w:tcPr>
          <w:p>
            <w:pPr>
              <w:jc w:val="center"/>
              <w:ind w:right="652"/>
              <w:spacing w:after="0"/>
              <w:rPr>
                <w:sz w:val="20"/>
                <w:szCs w:val="20"/>
                <w:color w:val="auto"/>
              </w:rPr>
            </w:pPr>
            <w:r>
              <w:rPr>
                <w:rFonts w:ascii="Arial" w:cs="Arial" w:eastAsia="Arial" w:hAnsi="Arial"/>
                <w:sz w:val="14"/>
                <w:szCs w:val="14"/>
                <w:b w:val="1"/>
                <w:bCs w:val="1"/>
                <w:color w:val="auto"/>
                <w:w w:val="84"/>
              </w:rPr>
              <w:t>Title of each class</w:t>
            </w:r>
          </w:p>
        </w:tc>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1900" w:type="dxa"/>
            <w:vAlign w:val="bottom"/>
          </w:tcPr>
          <w:p>
            <w:pPr>
              <w:ind w:left="1240"/>
              <w:spacing w:after="0"/>
              <w:rPr>
                <w:sz w:val="20"/>
                <w:szCs w:val="20"/>
                <w:color w:val="auto"/>
              </w:rPr>
            </w:pPr>
            <w:r>
              <w:rPr>
                <w:rFonts w:ascii="Arial" w:cs="Arial" w:eastAsia="Arial" w:hAnsi="Arial"/>
                <w:sz w:val="18"/>
                <w:szCs w:val="18"/>
                <w:b w:val="1"/>
                <w:bCs w:val="1"/>
                <w:color w:val="auto"/>
                <w:w w:val="81"/>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Stock, $0.01</w:t>
            </w:r>
          </w:p>
        </w:tc>
        <w:tc>
          <w:tcPr>
            <w:tcW w:w="720" w:type="dxa"/>
            <w:vAlign w:val="bottom"/>
          </w:tcPr>
          <w:p>
            <w:pPr>
              <w:spacing w:after="0"/>
              <w:rPr>
                <w:sz w:val="20"/>
                <w:szCs w:val="20"/>
                <w:color w:val="auto"/>
              </w:rPr>
            </w:pPr>
            <w:r>
              <w:rPr>
                <w:rFonts w:ascii="Arial" w:cs="Arial" w:eastAsia="Arial" w:hAnsi="Arial"/>
                <w:sz w:val="18"/>
                <w:szCs w:val="18"/>
                <w:b w:val="1"/>
                <w:bCs w:val="1"/>
                <w:color w:val="auto"/>
                <w:w w:val="88"/>
              </w:rPr>
              <w:t>par value</w:t>
            </w:r>
          </w:p>
        </w:tc>
        <w:tc>
          <w:tcPr>
            <w:tcW w:w="3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40" w:type="dxa"/>
            <w:vAlign w:val="bottom"/>
            <w:gridSpan w:val="5"/>
          </w:tcPr>
          <w:p>
            <w:pPr>
              <w:jc w:val="center"/>
              <w:ind w:right="808"/>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360" w:type="dxa"/>
            <w:vAlign w:val="bottom"/>
            <w:gridSpan w:val="3"/>
          </w:tcPr>
          <w:p>
            <w:pPr>
              <w:jc w:val="center"/>
              <w:ind w:right="1908"/>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60" w:type="dxa"/>
            <w:vAlign w:val="bottom"/>
            <w:gridSpan w:val="3"/>
          </w:tcPr>
          <w:p>
            <w:pPr>
              <w:jc w:val="center"/>
              <w:ind w:right="1888"/>
              <w:spacing w:after="0"/>
              <w:rPr>
                <w:sz w:val="20"/>
                <w:szCs w:val="20"/>
                <w:color w:val="auto"/>
              </w:rPr>
            </w:pPr>
            <w:r>
              <w:rPr>
                <w:rFonts w:ascii="Arial" w:cs="Arial" w:eastAsia="Arial" w:hAnsi="Arial"/>
                <w:sz w:val="18"/>
                <w:szCs w:val="18"/>
                <w:i w:val="1"/>
                <w:iCs w:val="1"/>
                <w:color w:val="auto"/>
                <w:w w:val="89"/>
              </w:rPr>
              <w:t>(Title of Class)</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060" w:type="dxa"/>
            <w:vAlign w:val="bottom"/>
            <w:gridSpan w:val="4"/>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980" w:type="dxa"/>
            <w:vAlign w:val="bottom"/>
            <w:gridSpan w:val="2"/>
          </w:tcPr>
          <w:p>
            <w:pPr>
              <w:spacing w:after="0"/>
              <w:rPr>
                <w:sz w:val="13"/>
                <w:szCs w:val="13"/>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0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type w:val="continuous"/>
        </w:sectPr>
      </w:pPr>
    </w:p>
    <w:p>
      <w:pPr>
        <w:spacing w:after="0" w:line="34" w:lineRule="exact"/>
        <w:rPr>
          <w:sz w:val="24"/>
          <w:szCs w:val="24"/>
          <w:color w:val="auto"/>
        </w:rPr>
      </w:pPr>
    </w:p>
    <w:p>
      <w:pPr>
        <w:spacing w:after="0" w:line="318"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jc w:val="both"/>
        <w:ind w:firstLine="1"/>
        <w:spacing w:after="0" w:line="227"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80" w:space="80"/>
            <w:col w:w="160" w:space="60"/>
            <w:col w:w="4380" w:space="720"/>
            <w:col w:w="1920" w:space="80"/>
            <w:col w:w="2420"/>
          </w:cols>
          <w:pgMar w:left="240" w:top="230" w:right="25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7700" w:space="160"/>
            <w:col w:w="260" w:space="80"/>
            <w:col w:w="160" w:space="180"/>
            <w:col w:w="220" w:space="80"/>
            <w:col w:w="2560"/>
          </w:cols>
          <w:pgMar w:left="240" w:top="230" w:right="259" w:bottom="1440" w:gutter="0" w:footer="0" w:header="0"/>
          <w:type w:val="continuous"/>
        </w:sectPr>
      </w:pPr>
    </w:p>
    <w:p>
      <w:pPr>
        <w:ind w:firstLine="456"/>
        <w:spacing w:after="0" w:line="256" w:lineRule="auto"/>
        <w:rPr>
          <w:sz w:val="20"/>
          <w:szCs w:val="20"/>
          <w:color w:val="auto"/>
        </w:rPr>
      </w:pPr>
      <w:r>
        <w:rPr>
          <w:rFonts w:ascii="Arial" w:cs="Arial" w:eastAsia="Arial" w:hAnsi="Arial"/>
          <w:sz w:val="18"/>
          <w:szCs w:val="18"/>
          <w:color w:val="auto"/>
        </w:rPr>
        <w:t>As of August 3, 2013, the aggregate market value of the Common Stock held by non-affiliates of the registrant was approximately $235.5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3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registrant had 50,607,809 shares of Common Stock, $0.01 par value, outstanding as of March 7, 2014.</w:t>
      </w:r>
    </w:p>
    <w:p>
      <w:pPr>
        <w:spacing w:after="0" w:line="5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Portions of the Proxy Statement for the 2014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18"/>
          </w:tcPr>
          <w:p>
            <w:pPr>
              <w:jc w:val="center"/>
              <w:ind w:right="3880"/>
              <w:spacing w:after="0"/>
              <w:rPr>
                <w:sz w:val="20"/>
                <w:szCs w:val="20"/>
                <w:color w:val="auto"/>
              </w:rPr>
            </w:pPr>
            <w:r>
              <w:rPr>
                <w:rFonts w:ascii="Arial" w:cs="Arial" w:eastAsia="Arial" w:hAnsi="Arial"/>
                <w:sz w:val="18"/>
                <w:szCs w:val="18"/>
                <w:b w:val="1"/>
                <w:bCs w:val="1"/>
                <w:color w:val="auto"/>
                <w:w w:val="98"/>
              </w:rPr>
              <w:t>DESTINATION XL GROUP, INC.</w:t>
            </w:r>
          </w:p>
        </w:tc>
        <w:tc>
          <w:tcPr>
            <w:tcW w:w="280" w:type="dxa"/>
            <w:vAlign w:val="bottom"/>
          </w:tcPr>
          <w:p>
            <w:pPr>
              <w:spacing w:after="0"/>
              <w:rPr>
                <w:sz w:val="19"/>
                <w:szCs w:val="19"/>
                <w:color w:val="auto"/>
              </w:rPr>
            </w:pPr>
          </w:p>
        </w:tc>
      </w:tr>
      <w:tr>
        <w:trPr>
          <w:trHeight w:val="178"/>
        </w:trPr>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6"/>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18"/>
          </w:tcPr>
          <w:p>
            <w:pPr>
              <w:jc w:val="center"/>
              <w:ind w:right="38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520" w:type="dxa"/>
            <w:vAlign w:val="bottom"/>
            <w:gridSpan w:val="17"/>
          </w:tcPr>
          <w:p>
            <w:pPr>
              <w:jc w:val="center"/>
              <w:ind w:right="4140"/>
              <w:spacing w:after="0"/>
              <w:rPr>
                <w:sz w:val="20"/>
                <w:szCs w:val="20"/>
                <w:color w:val="auto"/>
              </w:rPr>
            </w:pPr>
            <w:r>
              <w:rPr>
                <w:rFonts w:ascii="Arial" w:cs="Arial" w:eastAsia="Arial" w:hAnsi="Arial"/>
                <w:sz w:val="18"/>
                <w:szCs w:val="18"/>
                <w:b w:val="1"/>
                <w:bCs w:val="1"/>
                <w:color w:val="auto"/>
                <w:w w:val="90"/>
              </w:rPr>
              <w:t>Year Ended February 1, 2014</w:t>
            </w:r>
          </w:p>
        </w:tc>
        <w:tc>
          <w:tcPr>
            <w:tcW w:w="280" w:type="dxa"/>
            <w:vAlign w:val="bottom"/>
          </w:tcPr>
          <w:p>
            <w:pPr>
              <w:spacing w:after="0"/>
              <w:rPr>
                <w:sz w:val="19"/>
                <w:szCs w:val="19"/>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gridSpan w:val="12"/>
          </w:tcPr>
          <w:p>
            <w:pPr>
              <w:jc w:val="center"/>
              <w:ind w:right="480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Pr>
          <w:p>
            <w:pPr>
              <w:spacing w:after="0"/>
              <w:rPr>
                <w:sz w:val="22"/>
                <w:szCs w:val="22"/>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000" w:type="dxa"/>
            <w:vAlign w:val="bottom"/>
            <w:gridSpan w:val="18"/>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914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80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48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3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3"/>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gridSpan w:val="3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1"/>
          </w:tcPr>
          <w:p>
            <w:pPr>
              <w:spacing w:after="0"/>
              <w:rPr>
                <w:sz w:val="24"/>
                <w:szCs w:val="24"/>
                <w:color w:val="auto"/>
              </w:rPr>
            </w:pPr>
          </w:p>
        </w:tc>
        <w:tc>
          <w:tcPr>
            <w:tcW w:w="3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Financial Statements and Supplementary Data</w:t>
              </w:r>
            </w:hyperlink>
          </w:p>
        </w:tc>
        <w:tc>
          <w:tcPr>
            <w:tcW w:w="67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gridSpan w:val="3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20"/>
          </w:tcPr>
          <w:p>
            <w:pPr>
              <w:spacing w:after="0"/>
              <w:rPr>
                <w:sz w:val="24"/>
                <w:szCs w:val="24"/>
                <w:color w:val="auto"/>
              </w:rPr>
            </w:pPr>
          </w:p>
        </w:tc>
        <w:tc>
          <w:tcPr>
            <w:tcW w:w="3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gridSpan w:val="3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476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3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60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gridSpan w:val="3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Principal Accounting Fees and Services</w:t>
              </w:r>
            </w:hyperlink>
          </w:p>
        </w:tc>
        <w:tc>
          <w:tcPr>
            <w:tcW w:w="47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3"/>
          </w:tcPr>
          <w:p>
            <w:pPr>
              <w:jc w:val="center"/>
              <w:ind w:right="4780"/>
              <w:spacing w:after="0"/>
              <w:rPr>
                <w:rFonts w:ascii="Arial" w:cs="Arial" w:eastAsia="Arial" w:hAnsi="Arial"/>
                <w:sz w:val="18"/>
                <w:szCs w:val="18"/>
                <w:b w:val="1"/>
                <w:bCs w:val="1"/>
                <w:color w:val="0000EE"/>
                <w:w w:val="95"/>
              </w:rPr>
            </w:pPr>
            <w:hyperlink w:anchor="page79">
              <w:r>
                <w:rPr>
                  <w:rFonts w:ascii="Arial" w:cs="Arial" w:eastAsia="Arial" w:hAnsi="Arial"/>
                  <w:sz w:val="18"/>
                  <w:szCs w:val="18"/>
                  <w:b w:val="1"/>
                  <w:bCs w:val="1"/>
                  <w:color w:val="0000EE"/>
                  <w:w w:val="95"/>
                </w:rPr>
                <w:t>PART IV</w:t>
              </w:r>
            </w:hyperlink>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Exhibits, Financial Statement Schedules</w:t>
              </w:r>
            </w:hyperlink>
          </w:p>
        </w:tc>
        <w:tc>
          <w:tcPr>
            <w:tcW w:w="1740" w:type="dxa"/>
            <w:vAlign w:val="bottom"/>
            <w:gridSpan w:val="6"/>
          </w:tcPr>
          <w:p>
            <w:pPr>
              <w:spacing w:after="0"/>
              <w:rPr>
                <w:sz w:val="24"/>
                <w:szCs w:val="24"/>
                <w:color w:val="auto"/>
              </w:rPr>
            </w:pPr>
          </w:p>
        </w:tc>
        <w:tc>
          <w:tcPr>
            <w:tcW w:w="680" w:type="dxa"/>
            <w:vAlign w:val="bottom"/>
            <w:tcBorders>
              <w:top w:val="single" w:sz="8" w:color="0000EE"/>
            </w:tcBorders>
            <w:gridSpan w:val="5"/>
          </w:tcPr>
          <w:p>
            <w:pPr>
              <w:spacing w:after="0"/>
              <w:rPr>
                <w:sz w:val="24"/>
                <w:szCs w:val="24"/>
                <w:color w:val="auto"/>
              </w:rPr>
            </w:pPr>
          </w:p>
        </w:tc>
        <w:tc>
          <w:tcPr>
            <w:tcW w:w="4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1000" w:type="dxa"/>
            <w:vAlign w:val="bottom"/>
          </w:tcPr>
          <w:p>
            <w:pPr>
              <w:spacing w:after="0"/>
              <w:rPr>
                <w:sz w:val="24"/>
                <w:szCs w:val="24"/>
                <w:color w:val="auto"/>
              </w:rPr>
            </w:pPr>
          </w:p>
        </w:tc>
        <w:tc>
          <w:tcPr>
            <w:tcW w:w="10040" w:type="dxa"/>
            <w:vAlign w:val="bottom"/>
            <w:gridSpan w:val="3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83"/>
        </w:trPr>
        <w:tc>
          <w:tcPr>
            <w:tcW w:w="100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460" w:type="dxa"/>
            <w:vAlign w:val="bottom"/>
            <w:gridSpan w:val="17"/>
          </w:tcPr>
          <w:p>
            <w:pPr>
              <w:jc w:val="center"/>
              <w:ind w:left="34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which begins on page 14 of this report. Readers are encouraged to review these risks and uncertainties carefully.</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Destination XL Group, Inc., together with our subsidiaries (the “Company”), is the largest specialty retailer of big &amp; tall men’s apparel with retail and direct operations in the United States and London, England and direct operations in Canada. We operate under the trade names of Destination XL</w:t>
      </w:r>
      <w:r>
        <w:rPr>
          <w:rFonts w:ascii="Arial" w:cs="Arial" w:eastAsia="Arial" w:hAnsi="Arial"/>
          <w:sz w:val="13"/>
          <w:szCs w:val="13"/>
          <w:color w:val="auto"/>
        </w:rPr>
        <w:t>®</w:t>
      </w:r>
      <w:r>
        <w:rPr>
          <w:rFonts w:ascii="Arial" w:cs="Arial" w:eastAsia="Arial" w:hAnsi="Arial"/>
          <w:sz w:val="16"/>
          <w:szCs w:val="16"/>
          <w:color w:val="auto"/>
        </w:rPr>
        <w:t>, DXL</w:t>
      </w:r>
      <w:r>
        <w:rPr>
          <w:rFonts w:ascii="Arial" w:cs="Arial" w:eastAsia="Arial" w:hAnsi="Arial"/>
          <w:sz w:val="13"/>
          <w:szCs w:val="13"/>
          <w:color w:val="auto"/>
        </w:rPr>
        <w:t>®</w:t>
      </w:r>
      <w:r>
        <w:rPr>
          <w:rFonts w:ascii="Arial" w:cs="Arial" w:eastAsia="Arial" w:hAnsi="Arial"/>
          <w:sz w:val="16"/>
          <w:szCs w:val="16"/>
          <w:color w:val="auto"/>
        </w:rPr>
        <w:t>, Casual Male XL</w:t>
      </w:r>
      <w:r>
        <w:rPr>
          <w:rFonts w:ascii="Arial" w:cs="Arial" w:eastAsia="Arial" w:hAnsi="Arial"/>
          <w:sz w:val="13"/>
          <w:szCs w:val="13"/>
          <w:color w:val="auto"/>
        </w:rPr>
        <w:t>®</w:t>
      </w:r>
      <w:r>
        <w:rPr>
          <w:rFonts w:ascii="Arial" w:cs="Arial" w:eastAsia="Arial" w:hAnsi="Arial"/>
          <w:sz w:val="16"/>
          <w:szCs w:val="16"/>
          <w:color w:val="auto"/>
        </w:rPr>
        <w:t>, Casual Male XL Outlets, Rochester Clothing, B&amp;T Factory Direct™, ShoesXL</w:t>
      </w:r>
      <w:r>
        <w:rPr>
          <w:rFonts w:ascii="Arial" w:cs="Arial" w:eastAsia="Arial" w:hAnsi="Arial"/>
          <w:sz w:val="13"/>
          <w:szCs w:val="13"/>
          <w:color w:val="auto"/>
        </w:rPr>
        <w:t>®</w:t>
      </w:r>
      <w:r>
        <w:rPr>
          <w:rFonts w:ascii="Arial" w:cs="Arial" w:eastAsia="Arial" w:hAnsi="Arial"/>
          <w:sz w:val="16"/>
          <w:szCs w:val="16"/>
          <w:color w:val="auto"/>
        </w:rPr>
        <w:t xml:space="preserve"> and LivingXL</w:t>
      </w:r>
      <w:r>
        <w:rPr>
          <w:rFonts w:ascii="Arial" w:cs="Arial" w:eastAsia="Arial" w:hAnsi="Arial"/>
          <w:sz w:val="13"/>
          <w:szCs w:val="13"/>
          <w:color w:val="auto"/>
        </w:rPr>
        <w:t>®</w:t>
      </w:r>
      <w:r>
        <w:rPr>
          <w:rFonts w:ascii="Arial" w:cs="Arial" w:eastAsia="Arial" w:hAnsi="Arial"/>
          <w:sz w:val="16"/>
          <w:szCs w:val="16"/>
          <w:color w:val="auto"/>
        </w:rPr>
        <w:t>. We operate 99 Destination XL stores, 198 Casual Male XL retail stores, 52 Casual Male XL outlet stores and 10 Rochester Clothing stores. Our direct business includes our DestinationXL.com e-commerce site and several brand mailers which support our brands and product extensions. Unless the context indicates otherwise, all references to “we,” “our,” “ours,” “us” and “the Company” refer to Destination XL Group, Inc. and our consolidated subsidiaries. We refer to our fiscal years ended February 1, 2014, February 2, 2013 and January 28, 2012 as “fiscal 2013”, “fiscal 2012” and “fiscal 2011,”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men’s big &amp; tall apparel market, which includes pants with a waist size of 42” and greater, as well as tops sized 1XL and greater, generates approximately $3.5 billion to $4.0 billion in sales annually and represents approximately 11% of the overall men’s apparel business. Growth in this segment has been driven by rapidly changing market demographics. We estimate that our current market share is approximately 11% and believe that we have the potential to reach 17-20%. We believe that we can ultimately achieve this goal by catering to the broader target market, attracting customers from various incomes, age and lifestyle segments and offering the widest selection of sizes and styles that fit well. A substantial opportunity continues to exist for market share growth from the lower-size range of our market, that is, men in the 42”-46” waist size. These sizes are usually at the high end of the size range for most retailers and, as a result, the selection is usually limited at such retailers.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Levi Strauss &amp; Co. branded apparel mall and outlet stores. In May 2002, we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Through fiscal 2010, we primarily operated Casual Male XL retail stores, Casual Male XL outlet stores, Rochester Clothing stores and associated websites and catalogs. We catered to all customers through these three store formats, from our value-oriented customer (Casual Male XL outlets) to our luxury-oriented customer (Rochester Clothing stores). During that year, we tested a new store concept, Destination XL (“DXL”). The DXL store concept merged all of our existing brands under one roof, offering our customers a superior shopping environment with an extensive assortment of product and an increased presence of name brands, without having to shop multiple stores. In addition to offering our customers a wide assortment, we also wanted to provide them with an outstanding and unique shopping experience. As we discuss below, we are focused on providing outstanding customer service through our DXL concept, with everything from larger fitting rooms to professional, trained associates providing both personal attention and on-site tailoring. With the success of this store format, we then made a similar change to our e-commerce business in fiscal 2011 when we launched our DestinationXL.com website which, like our DXL store, merged all of our previous websites into one consolidated site providing our customers the ability to cross-shop our brands easily.</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DXL store format has proven to be successful for us and our customers and, based on the positive performance and future growth opportunities of this concept, we are in the process of completely transitioning our business by opening DXL stores and exiting the majority of our Casual Male XL retail stores and a number of our Rochester stores. As part of our new direction, in December 2012, we changed our NASDAQ stock ticker symbol to “DXLG” followed by a change in February 2013 of our corporate name to “Destination XL Group, Inc.” Changing our corporate name to Destination XL Group, Inc. better reflects who we are today as we expand the Destination XL concept and rebrand our Company as a whole.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primary business strategy over the near term is to convert the majority of our Casual Male XL and Rochester Clothing stores to our DXL store format. Initially, we had planned to convert to our DXL format over a five-year period. However, during the first half of fiscal 2012, we began to see a shift in our Casual Male XL stores. Those Casual Male XL stores that were in close proximity to a DXL store initially were experiencing negative sales trends compared to the remainder of the chain. At the same time, our DXL stores were outperforming the chain. As a result, in August 2012, we made the decision to accelerate the roll-out of our DXL stores and shut down the majority of our Casual Male XL stores by fiscal 2016. Fiscal 2013 represented the first full year of this three-year accelerated plan. We opened 51 DXL stores and closed 102 Casual Male XL stores and 2 Rochester Clothing stores. In addition, in spring 2013 we launched our first national marketing campaign with the primary focus of building DXL brand awareness. We expected fiscal 2013 to be a break-even year for us because of the increased costs to grow our DXL store base, close our Casual Male XL stores and launch our marketing campaign. However, while comparable sales from our DXL chain were up 19.3% for fiscal 2013, our sales results for fiscal 2013 were below our expectations. The sales shortfall we experienced can be attributed to:</w:t>
      </w:r>
    </w:p>
    <w:p>
      <w:pPr>
        <w:spacing w:after="0" w:line="27" w:lineRule="exact"/>
        <w:rPr>
          <w:sz w:val="20"/>
          <w:szCs w:val="20"/>
          <w:color w:val="auto"/>
        </w:rPr>
      </w:pPr>
    </w:p>
    <w:p>
      <w:pPr>
        <w:ind w:left="780" w:right="36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Erosion of our Casual Male customer base, as we have closed stores but those customers have taken longer to migrate to our DXL stores than first anticipated;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Delays in opening certain DXL stores, due to construction, permitting and leasing issues;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Closures of our Casual Male XL stores before a DXL store was ready to open;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Eliminating our catalogs which displayed a much broader selection of merchandise compared to our more concise direct mail pieces; and,</w:t>
      </w:r>
    </w:p>
    <w:p>
      <w:pPr>
        <w:spacing w:after="0" w:line="113"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overall decrease in customer traffic across the chain, due in part to the general economy and consumers’ lack of confidence that the retail industry as a whole experienced.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323" w:lineRule="auto"/>
        <w:rPr>
          <w:sz w:val="20"/>
          <w:szCs w:val="20"/>
          <w:color w:val="auto"/>
        </w:rPr>
      </w:pPr>
      <w:r>
        <w:rPr>
          <w:rFonts w:ascii="Arial" w:cs="Arial" w:eastAsia="Arial" w:hAnsi="Arial"/>
          <w:sz w:val="15"/>
          <w:szCs w:val="15"/>
          <w:color w:val="auto"/>
        </w:rPr>
        <w:t>While our DXL stores are performing well, our forecasts, especially with respect to immediate sales contribution, proved to be overly aggressive. At the time, our forecasts were based on the results of a limited number of stores and we lacked the benefit of historical data. At the end of fiscal 2013, we engaged a third-party consultant to review the reasonableness of our forecasts and projections. Overall, we believe our expectations for our DXL concept are achievable; however, we do expect that the transition and top-line benefit will take an additional two years to accomplish. For fiscal 2014, our business strategy includes:</w:t>
      </w:r>
    </w:p>
    <w:p>
      <w:pPr>
        <w:spacing w:after="0" w:line="17"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Opening 40 DXL stores while closing an estimated 38 Casual Male XL stores and 2 Rochester Clothing stores;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Planning our store openings earlier in the fiscal year so that we can benefit our top-line and help to offset the transition costs;</w:t>
      </w:r>
    </w:p>
    <w:p>
      <w:pPr>
        <w:spacing w:after="0" w:line="90" w:lineRule="exact"/>
        <w:rPr>
          <w:rFonts w:ascii="Arial" w:cs="Arial" w:eastAsia="Arial" w:hAnsi="Arial"/>
          <w:sz w:val="18"/>
          <w:szCs w:val="18"/>
          <w:color w:val="auto"/>
        </w:rPr>
      </w:pPr>
    </w:p>
    <w:p>
      <w:pPr>
        <w:ind w:left="780" w:right="180" w:hanging="326"/>
        <w:spacing w:after="0" w:line="30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Continuing to operate certain Casual Male XL stores through the transition if the store is generating positive cash flow and if the store is not a direct roll-in to the new DXL store. Our accelerated plan was to exit our Casual Male XL stores as leases expired or sooner if market conditions were favorable. In fiscal 2013, we lost an estimated $1.8 million in operating income by closing stores upon lease expirations;</w:t>
      </w:r>
    </w:p>
    <w:p>
      <w:pPr>
        <w:spacing w:after="0" w:line="25" w:lineRule="exact"/>
        <w:rPr>
          <w:rFonts w:ascii="Arial" w:cs="Arial" w:eastAsia="Arial" w:hAnsi="Arial"/>
          <w:sz w:val="16"/>
          <w:szCs w:val="16"/>
          <w:color w:val="auto"/>
        </w:rPr>
      </w:pPr>
    </w:p>
    <w:p>
      <w:pPr>
        <w:ind w:left="780" w:right="36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Pursuing a smaller DXL store format. During fiscal 2013, we identified certain markets where our customer base is not dense enough to support a 7,000-9,000 square foot DXL store but would be able to support a smaller DXL store. We will be opening several smaller DXL stores in smaller markets in fiscal 2014; and</w:t>
      </w:r>
    </w:p>
    <w:p>
      <w:pPr>
        <w:spacing w:after="0" w:line="59"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Continuing to build our marketing program with a primary focus on increasing customer traffic. We saw positive results in fiscal 2013 from a national marketing campaign as our brand awareness went from 13% before our spring campaign to 25% after our fall campaign. See “Marketing and Advertising” below for a detailed discussion.</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expect that our transition will now take until the end of fiscal 2017. By the end of fiscal 2017, we expect we will have opened approximately 250 DXL stores. In addition, we plan to be operating approximately 75-100 Casual Male XL stores and three of our high-volume Rochester Clothing stores.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From a financial perspective, we expect incremental transition costs, in the aggregate, of approximately $30.0 million from fiscal 2013 through fiscal 2017, primarily associated with lease terminations and additional selling, general and administrative (“SG&amp;A”) expenses. The capital expenditures and incremental SG&amp;A and other charges of approximately $150 million, associated with the rollout, are expected to be funded primarily from operating cash flows, equipment financings of up to $28.0 million and borrowings under our credit facility. Our projections, which are based on current economic conditions, suggest that this investment will significantly enhance revenues and produce double digit operating margins for the longer term.</w:t>
      </w:r>
    </w:p>
    <w:p>
      <w:pPr>
        <w:spacing w:after="0" w:line="116"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During our roll-out, another key component to our business strategy is to continue to improve our sales productivity. We have invested in our sales associates and changed our culture to a more customer-centric environment focused on helping our customer identify and select their wardrobe needs. We are seeing results of these efforts through our store metrics. Even though store traffic continues to be an area of focus for us, our average dollar per transaction is increasing. We are continually making changes to our merchandise to meet our customers’ needs, varying merchandise selection by market, increasing size offerings, maintaining in-stock position on core products and offering a balanced mix of private label merchandise as well as branded apparel.</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operate as a multi-channel retailer with two operating segments: Retail and Direct. Through our multiple brands, which include both branded apparel and private-label, we offer a broad range of merchandise at varying price points, catering to the value-oriented customer to the luxury-oriented customer. Our objective is to appeal to all of our customers by providing a good, better, best array of product assortments in all primary lifestyles with multiple and convenient ways to shop.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DXL stores cater to all income demographics and offer our customers merchandise in all lifestyles from casual to business, young to mature, in all price ranges and in all large sizes from XL and up. Our Casual Male XL stores carry primarily moderately priced branded and private label casual sportswear and dresswear, while our Rochester Clothing stores carry fine quality, designer and branded menswear. We also operate Casual Male XL outlets for our value-oriented consumer.</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Lastly, we operate a direct business both online and through direct mail, which caters to all of our customers across all brands. Our Destination XL e-commerce site which, similar to our DXL store concept, brings all of our existing websites together, making it easier for our customer to shop the full array of product selection that we have to offer from all of our brands with the ease of one shopping cart. Full product assortments from Casual Male XL, Rochester Clothing, ShoesXL and LivingXL can be found at </w:t>
      </w:r>
      <w:r>
        <w:rPr>
          <w:rFonts w:ascii="Arial" w:cs="Arial" w:eastAsia="Arial" w:hAnsi="Arial"/>
          <w:sz w:val="18"/>
          <w:szCs w:val="18"/>
          <w:u w:val="single" w:color="auto"/>
          <w:color w:val="auto"/>
        </w:rPr>
        <w:t>www.destinationxl.com</w:t>
      </w:r>
      <w:r>
        <w:rPr>
          <w:rFonts w:ascii="Arial" w:cs="Arial" w:eastAsia="Arial" w:hAnsi="Arial"/>
          <w:sz w:val="18"/>
          <w:szCs w:val="18"/>
          <w:color w:val="auto"/>
        </w:rPr>
        <w:t>.</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Another critical part of the business operation is managing the number of sizes offered to our customers and optimizing our in-stock position throughout each season. We maintain a consolidated inventory across all channels which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 In addition, at the end of fiscal 2013, we began to test our ability to fulfill orders directly from stores, making our customer’s shopping experience truly omnichannel. To this point, we are pleased with the results of that test and are in the process of rolling it out to all of our DXL stores across all lifestyles. We expect to complete the rollout in fiscal 2014.</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 vital component of our business strategy is to offer our customers a broad assortment of apparel that is appropriate to our diverse customer base. Regardless of our customers’ age, socioeconomic status, or lifestyle preference, we are able to assemble a wardrobe to fit our customers’ apparel needs. In addition, we offer such assortments in private-label product, balanced with an array of brand name labels. With over 5,000 styles available, we carry tops in sizes up to 6XLT and 8XL, bottoms with waist sizes 36” to 66”, and shoes 10W to 18. In addition, we added to our product assortment a smaller fit XL and XLT to appeal to our target “end-of-rack” customer.</w:t>
      </w:r>
    </w:p>
    <w:p>
      <w:pPr>
        <w:spacing w:after="0" w:line="18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Our stores are merchandised to showcase entire outfits by lifestyle, including traditional, active, jeanswear, dress wear and contemporary. This format allows us to merchandise key items and seasonal goods in prominent displays and makes coordinating outfits easier for the customer while encouraging multi-item purchases. This lifestyle layout also allows us to manage store space more effectively in each market to target local demographics. The key item strategy is also fully integrated by lifestyle, allowing us to focus on merchandise presentation and offer our customers a compelling value proposition.</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Merchandise assortments in our DXL store format are organized not only by lifestyle, but within each lifestyle, the assortments are shown in a “good”, “better”, “best” and “luxury” visual presentation, again to benefit our customers’ ease of shopping. With the “best” merchandise assortments featured most prominently in the DXL store, our customers are able to visualize current fashion trends, and easily select their wardrobes within their desired price points in a convenient manner.</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carry several well-known national brands of merchandise as well as a number of our own private-label lines within each of our “good”, “better”, “best” and “luxury” price points: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Higher-End Luxury Fashion Apparel -“Best” and “Luxury” Merchandise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Within this higher-end price range we carry a broad selection of quality apparel from well-known branded manufacturers such as Bogosse</w:t>
      </w:r>
      <w:r>
        <w:rPr>
          <w:rFonts w:ascii="Arial" w:cs="Arial" w:eastAsia="Arial" w:hAnsi="Arial"/>
          <w:sz w:val="15"/>
          <w:szCs w:val="15"/>
          <w:color w:val="auto"/>
        </w:rPr>
        <w:t>®</w:t>
      </w:r>
      <w:r>
        <w:rPr>
          <w:rFonts w:ascii="Arial" w:cs="Arial" w:eastAsia="Arial" w:hAnsi="Arial"/>
          <w:sz w:val="18"/>
          <w:szCs w:val="18"/>
          <w:color w:val="auto"/>
        </w:rPr>
        <w:t>, Gran Sasso, John Laing, Remy, Jack &amp; Jokers, Psycho Bunny, Agave, Derek Rose, Brioni</w:t>
      </w:r>
      <w:r>
        <w:rPr>
          <w:rFonts w:ascii="Arial" w:cs="Arial" w:eastAsia="Arial" w:hAnsi="Arial"/>
          <w:sz w:val="15"/>
          <w:szCs w:val="15"/>
          <w:color w:val="auto"/>
        </w:rPr>
        <w:t>®</w:t>
      </w:r>
      <w:r>
        <w:rPr>
          <w:rFonts w:ascii="Arial" w:cs="Arial" w:eastAsia="Arial" w:hAnsi="Arial"/>
          <w:sz w:val="18"/>
          <w:szCs w:val="18"/>
          <w:color w:val="auto"/>
        </w:rPr>
        <w:t>, Coppley, Eton</w:t>
      </w:r>
      <w:r>
        <w:rPr>
          <w:rFonts w:ascii="Arial" w:cs="Arial" w:eastAsia="Arial" w:hAnsi="Arial"/>
          <w:sz w:val="15"/>
          <w:szCs w:val="15"/>
          <w:color w:val="auto"/>
        </w:rPr>
        <w:t>®</w:t>
      </w:r>
      <w:r>
        <w:rPr>
          <w:rFonts w:ascii="Arial" w:cs="Arial" w:eastAsia="Arial" w:hAnsi="Arial"/>
          <w:sz w:val="18"/>
          <w:szCs w:val="18"/>
          <w:color w:val="auto"/>
        </w:rPr>
        <w:t>, Hickey Freeman</w:t>
      </w:r>
      <w:r>
        <w:rPr>
          <w:rFonts w:ascii="Arial" w:cs="Arial" w:eastAsia="Arial" w:hAnsi="Arial"/>
          <w:sz w:val="15"/>
          <w:szCs w:val="15"/>
          <w:color w:val="auto"/>
        </w:rPr>
        <w:t>®</w:t>
      </w:r>
      <w:r>
        <w:rPr>
          <w:rFonts w:ascii="Arial" w:cs="Arial" w:eastAsia="Arial" w:hAnsi="Arial"/>
          <w:sz w:val="18"/>
          <w:szCs w:val="18"/>
          <w:color w:val="auto"/>
        </w:rPr>
        <w:t>, Ike Behar, Jack Victor</w:t>
      </w:r>
      <w:r>
        <w:rPr>
          <w:rFonts w:ascii="Arial" w:cs="Arial" w:eastAsia="Arial" w:hAnsi="Arial"/>
          <w:sz w:val="15"/>
          <w:szCs w:val="15"/>
          <w:color w:val="auto"/>
        </w:rPr>
        <w:t>®</w:t>
      </w:r>
      <w:r>
        <w:rPr>
          <w:rFonts w:ascii="Arial" w:cs="Arial" w:eastAsia="Arial" w:hAnsi="Arial"/>
          <w:sz w:val="18"/>
          <w:szCs w:val="18"/>
          <w:color w:val="auto"/>
        </w:rPr>
        <w:t>, Michael Kors</w:t>
      </w:r>
      <w:r>
        <w:rPr>
          <w:rFonts w:ascii="Arial" w:cs="Arial" w:eastAsia="Arial" w:hAnsi="Arial"/>
          <w:sz w:val="15"/>
          <w:szCs w:val="15"/>
          <w:color w:val="auto"/>
        </w:rPr>
        <w:t>®</w:t>
      </w:r>
      <w:r>
        <w:rPr>
          <w:rFonts w:ascii="Arial" w:cs="Arial" w:eastAsia="Arial" w:hAnsi="Arial"/>
          <w:sz w:val="18"/>
          <w:szCs w:val="18"/>
          <w:color w:val="auto"/>
        </w:rPr>
        <w:t>, Pantherella</w:t>
      </w:r>
      <w:r>
        <w:rPr>
          <w:rFonts w:ascii="Arial" w:cs="Arial" w:eastAsia="Arial" w:hAnsi="Arial"/>
          <w:sz w:val="15"/>
          <w:szCs w:val="15"/>
          <w:color w:val="auto"/>
        </w:rPr>
        <w:t>®</w:t>
      </w:r>
      <w:r>
        <w:rPr>
          <w:rFonts w:ascii="Arial" w:cs="Arial" w:eastAsia="Arial" w:hAnsi="Arial"/>
          <w:sz w:val="18"/>
          <w:szCs w:val="18"/>
          <w:color w:val="auto"/>
        </w:rPr>
        <w:t>, Paul &amp; Shark, Peter Millar, Robert Graham</w:t>
      </w:r>
      <w:r>
        <w:rPr>
          <w:rFonts w:ascii="Arial" w:cs="Arial" w:eastAsia="Arial" w:hAnsi="Arial"/>
          <w:sz w:val="15"/>
          <w:szCs w:val="15"/>
          <w:color w:val="auto"/>
        </w:rPr>
        <w:t>®</w:t>
      </w:r>
      <w:r>
        <w:rPr>
          <w:rFonts w:ascii="Arial" w:cs="Arial" w:eastAsia="Arial" w:hAnsi="Arial"/>
          <w:sz w:val="18"/>
          <w:szCs w:val="18"/>
          <w:color w:val="auto"/>
        </w:rPr>
        <w:t>, Robert Talbot, St. Hillaire, Tallia</w:t>
      </w:r>
      <w:r>
        <w:rPr>
          <w:rFonts w:ascii="Arial" w:cs="Arial" w:eastAsia="Arial" w:hAnsi="Arial"/>
          <w:sz w:val="15"/>
          <w:szCs w:val="15"/>
          <w:color w:val="auto"/>
        </w:rPr>
        <w:t>®</w:t>
      </w:r>
      <w:r>
        <w:rPr>
          <w:rFonts w:ascii="Arial" w:cs="Arial" w:eastAsia="Arial" w:hAnsi="Arial"/>
          <w:sz w:val="18"/>
          <w:szCs w:val="18"/>
          <w:color w:val="auto"/>
        </w:rPr>
        <w:t>, Ted Baker</w:t>
      </w:r>
      <w:r>
        <w:rPr>
          <w:rFonts w:ascii="Arial" w:cs="Arial" w:eastAsia="Arial" w:hAnsi="Arial"/>
          <w:sz w:val="15"/>
          <w:szCs w:val="15"/>
          <w:color w:val="auto"/>
        </w:rPr>
        <w:t>®</w:t>
      </w:r>
      <w:r>
        <w:rPr>
          <w:rFonts w:ascii="Arial" w:cs="Arial" w:eastAsia="Arial" w:hAnsi="Arial"/>
          <w:sz w:val="18"/>
          <w:szCs w:val="18"/>
          <w:color w:val="auto"/>
        </w:rPr>
        <w:t>, Tulliani, True Religion</w:t>
      </w:r>
      <w:r>
        <w:rPr>
          <w:rFonts w:ascii="Arial" w:cs="Arial" w:eastAsia="Arial" w:hAnsi="Arial"/>
          <w:sz w:val="15"/>
          <w:szCs w:val="15"/>
          <w:color w:val="auto"/>
        </w:rPr>
        <w:t>®</w:t>
      </w:r>
      <w:r>
        <w:rPr>
          <w:rFonts w:ascii="Arial" w:cs="Arial" w:eastAsia="Arial" w:hAnsi="Arial"/>
          <w:sz w:val="18"/>
          <w:szCs w:val="18"/>
          <w:color w:val="auto"/>
        </w:rPr>
        <w:t>, Turnbull &amp; Asser</w:t>
      </w:r>
      <w:r>
        <w:rPr>
          <w:rFonts w:ascii="Arial" w:cs="Arial" w:eastAsia="Arial" w:hAnsi="Arial"/>
          <w:sz w:val="15"/>
          <w:szCs w:val="15"/>
          <w:color w:val="auto"/>
        </w:rPr>
        <w:t>®</w:t>
      </w:r>
      <w:r>
        <w:rPr>
          <w:rFonts w:ascii="Arial" w:cs="Arial" w:eastAsia="Arial" w:hAnsi="Arial"/>
          <w:sz w:val="18"/>
          <w:szCs w:val="18"/>
          <w:color w:val="auto"/>
        </w:rPr>
        <w:t xml:space="preserve"> and David Donahue.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offer our customer an extensive selection of quality sportswear and dress clothing at moderate prices carrying such well-known brands such as: Brooks Brothers</w:t>
      </w:r>
      <w:r>
        <w:rPr>
          <w:rFonts w:ascii="Arial" w:cs="Arial" w:eastAsia="Arial" w:hAnsi="Arial"/>
          <w:sz w:val="15"/>
          <w:szCs w:val="15"/>
          <w:color w:val="auto"/>
        </w:rPr>
        <w:t>®</w:t>
      </w:r>
      <w:r>
        <w:rPr>
          <w:rFonts w:ascii="Arial" w:cs="Arial" w:eastAsia="Arial" w:hAnsi="Arial"/>
          <w:sz w:val="18"/>
          <w:szCs w:val="18"/>
          <w:color w:val="auto"/>
        </w:rPr>
        <w:t>, Nautica, Nautica Jeans, Lucky, Junk Food, Rainforest, Retro Brand, Cubavera, Cutter &amp; Buck, Dockers, Lee, Levis, Perry Ellis, Wrangler, Reebok, Adidas Golf, Columbia, Creekwood, Berne, Carhartt, Callaway</w:t>
      </w:r>
      <w:r>
        <w:rPr>
          <w:rFonts w:ascii="Arial" w:cs="Arial" w:eastAsia="Arial" w:hAnsi="Arial"/>
          <w:sz w:val="15"/>
          <w:szCs w:val="15"/>
          <w:color w:val="auto"/>
        </w:rPr>
        <w:t>®</w:t>
      </w:r>
      <w:r>
        <w:rPr>
          <w:rFonts w:ascii="Arial" w:cs="Arial" w:eastAsia="Arial" w:hAnsi="Arial"/>
          <w:sz w:val="18"/>
          <w:szCs w:val="18"/>
          <w:color w:val="auto"/>
        </w:rPr>
        <w:t>, CK Jeans</w:t>
      </w:r>
      <w:r>
        <w:rPr>
          <w:rFonts w:ascii="Arial" w:cs="Arial" w:eastAsia="Arial" w:hAnsi="Arial"/>
          <w:sz w:val="15"/>
          <w:szCs w:val="15"/>
          <w:color w:val="auto"/>
        </w:rPr>
        <w:t>®</w:t>
      </w:r>
      <w:r>
        <w:rPr>
          <w:rFonts w:ascii="Arial" w:cs="Arial" w:eastAsia="Arial" w:hAnsi="Arial"/>
          <w:sz w:val="18"/>
          <w:szCs w:val="18"/>
          <w:color w:val="auto"/>
        </w:rPr>
        <w:t>, CK Sport</w:t>
      </w:r>
      <w:r>
        <w:rPr>
          <w:rFonts w:ascii="Arial" w:cs="Arial" w:eastAsia="Arial" w:hAnsi="Arial"/>
          <w:sz w:val="15"/>
          <w:szCs w:val="15"/>
          <w:color w:val="auto"/>
        </w:rPr>
        <w:t>®</w:t>
      </w:r>
      <w:r>
        <w:rPr>
          <w:rFonts w:ascii="Arial" w:cs="Arial" w:eastAsia="Arial" w:hAnsi="Arial"/>
          <w:sz w:val="18"/>
          <w:szCs w:val="18"/>
          <w:color w:val="auto"/>
        </w:rPr>
        <w:t>, DKNY</w:t>
      </w:r>
      <w:r>
        <w:rPr>
          <w:rFonts w:ascii="Arial" w:cs="Arial" w:eastAsia="Arial" w:hAnsi="Arial"/>
          <w:sz w:val="15"/>
          <w:szCs w:val="15"/>
          <w:color w:val="auto"/>
        </w:rPr>
        <w:t>®</w:t>
      </w:r>
      <w:r>
        <w:rPr>
          <w:rFonts w:ascii="Arial" w:cs="Arial" w:eastAsia="Arial" w:hAnsi="Arial"/>
          <w:sz w:val="18"/>
          <w:szCs w:val="18"/>
          <w:color w:val="auto"/>
        </w:rPr>
        <w:t>, Haines &amp; Bonner, Jockey</w:t>
      </w:r>
      <w:r>
        <w:rPr>
          <w:rFonts w:ascii="Arial" w:cs="Arial" w:eastAsia="Arial" w:hAnsi="Arial"/>
          <w:sz w:val="15"/>
          <w:szCs w:val="15"/>
          <w:color w:val="auto"/>
        </w:rPr>
        <w:t>®</w:t>
      </w:r>
      <w:r>
        <w:rPr>
          <w:rFonts w:ascii="Arial" w:cs="Arial" w:eastAsia="Arial" w:hAnsi="Arial"/>
          <w:sz w:val="18"/>
          <w:szCs w:val="18"/>
          <w:color w:val="auto"/>
        </w:rPr>
        <w:t>, Lacoste</w:t>
      </w:r>
      <w:r>
        <w:rPr>
          <w:rFonts w:ascii="Arial" w:cs="Arial" w:eastAsia="Arial" w:hAnsi="Arial"/>
          <w:sz w:val="15"/>
          <w:szCs w:val="15"/>
          <w:color w:val="auto"/>
        </w:rPr>
        <w:t>®</w:t>
      </w:r>
      <w:r>
        <w:rPr>
          <w:rFonts w:ascii="Arial" w:cs="Arial" w:eastAsia="Arial" w:hAnsi="Arial"/>
          <w:sz w:val="18"/>
          <w:szCs w:val="18"/>
          <w:color w:val="auto"/>
        </w:rPr>
        <w:t>, Majestic, Polo Ralph Lauren</w:t>
      </w:r>
      <w:r>
        <w:rPr>
          <w:rFonts w:ascii="Arial" w:cs="Arial" w:eastAsia="Arial" w:hAnsi="Arial"/>
          <w:sz w:val="15"/>
          <w:szCs w:val="15"/>
          <w:color w:val="auto"/>
        </w:rPr>
        <w:t>®</w:t>
      </w:r>
      <w:r>
        <w:rPr>
          <w:rFonts w:ascii="Arial" w:cs="Arial" w:eastAsia="Arial" w:hAnsi="Arial"/>
          <w:sz w:val="18"/>
          <w:szCs w:val="18"/>
          <w:color w:val="auto"/>
        </w:rPr>
        <w:t>, Tommy Bahama</w:t>
      </w:r>
      <w:r>
        <w:rPr>
          <w:rFonts w:ascii="Arial" w:cs="Arial" w:eastAsia="Arial" w:hAnsi="Arial"/>
          <w:sz w:val="15"/>
          <w:szCs w:val="15"/>
          <w:color w:val="auto"/>
        </w:rPr>
        <w:t>®</w:t>
      </w:r>
      <w:r>
        <w:rPr>
          <w:rFonts w:ascii="Arial" w:cs="Arial" w:eastAsia="Arial" w:hAnsi="Arial"/>
          <w:sz w:val="18"/>
          <w:szCs w:val="18"/>
          <w:color w:val="auto"/>
        </w:rPr>
        <w:t>, Tommy Hilfiger</w:t>
      </w:r>
      <w:r>
        <w:rPr>
          <w:rFonts w:ascii="Arial" w:cs="Arial" w:eastAsia="Arial" w:hAnsi="Arial"/>
          <w:sz w:val="15"/>
          <w:szCs w:val="15"/>
          <w:color w:val="auto"/>
        </w:rPr>
        <w:t>®</w:t>
      </w:r>
      <w:r>
        <w:rPr>
          <w:rFonts w:ascii="Arial" w:cs="Arial" w:eastAsia="Arial" w:hAnsi="Arial"/>
          <w:sz w:val="18"/>
          <w:szCs w:val="18"/>
          <w:color w:val="auto"/>
        </w:rPr>
        <w:t xml:space="preserve"> and Trafalger.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within this price range we offer our customers several private-label lines:</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Twenty Eight Degrees™ </w:t>
      </w:r>
      <w:r>
        <w:rPr>
          <w:rFonts w:ascii="Arial" w:cs="Arial" w:eastAsia="Arial" w:hAnsi="Arial"/>
          <w:sz w:val="16"/>
          <w:szCs w:val="16"/>
          <w:color w:val="auto"/>
        </w:rPr>
        <w:t>is targeted as a contemporary/modern line offering sportswear, loungewear, related separates, neckwear and dress shirts.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Society of One</w:t>
      </w:r>
      <w:r>
        <w:rPr>
          <w:rFonts w:ascii="Arial" w:cs="Arial" w:eastAsia="Arial" w:hAnsi="Arial"/>
          <w:sz w:val="18"/>
          <w:szCs w:val="18"/>
          <w:color w:val="auto"/>
        </w:rPr>
        <w:t>, a jeanswear brand catering to the needs of the fashion denim customer.</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Rochester, </w:t>
      </w:r>
      <w:r>
        <w:rPr>
          <w:rFonts w:ascii="Arial" w:cs="Arial" w:eastAsia="Arial" w:hAnsi="Arial"/>
          <w:sz w:val="18"/>
          <w:szCs w:val="18"/>
          <w:color w:val="auto"/>
        </w:rPr>
        <w:t>a line that targets traditional luxury styles. We also offer a complete selection of suits, dress shirts and neckwear under our</w:t>
      </w:r>
      <w:r>
        <w:rPr>
          <w:rFonts w:ascii="Arial" w:cs="Arial" w:eastAsia="Arial" w:hAnsi="Arial"/>
          <w:sz w:val="18"/>
          <w:szCs w:val="18"/>
          <w:i w:val="1"/>
          <w:iCs w:val="1"/>
          <w:color w:val="auto"/>
        </w:rPr>
        <w:t xml:space="preserve"> Rochester Black Label </w:t>
      </w:r>
      <w:r>
        <w:rPr>
          <w:rFonts w:ascii="Arial" w:cs="Arial" w:eastAsia="Arial" w:hAnsi="Arial"/>
          <w:sz w:val="18"/>
          <w:szCs w:val="18"/>
          <w:color w:val="auto"/>
        </w:rPr>
        <w:t>private label.</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our value-oriented customers, we carry Geoffrey Beene</w:t>
      </w:r>
      <w:r>
        <w:rPr>
          <w:rFonts w:ascii="Arial" w:cs="Arial" w:eastAsia="Arial" w:hAnsi="Arial"/>
          <w:sz w:val="13"/>
          <w:szCs w:val="13"/>
          <w:color w:val="auto"/>
        </w:rPr>
        <w:t>®</w:t>
      </w:r>
      <w:r>
        <w:rPr>
          <w:rFonts w:ascii="Arial" w:cs="Arial" w:eastAsia="Arial" w:hAnsi="Arial"/>
          <w:sz w:val="16"/>
          <w:szCs w:val="16"/>
          <w:color w:val="auto"/>
        </w:rPr>
        <w:t>, CubaVera, Nautica</w:t>
      </w:r>
      <w:r>
        <w:rPr>
          <w:rFonts w:ascii="Arial" w:cs="Arial" w:eastAsia="Arial" w:hAnsi="Arial"/>
          <w:sz w:val="13"/>
          <w:szCs w:val="13"/>
          <w:color w:val="auto"/>
        </w:rPr>
        <w:t>®</w:t>
      </w:r>
      <w:r>
        <w:rPr>
          <w:rFonts w:ascii="Arial" w:cs="Arial" w:eastAsia="Arial" w:hAnsi="Arial"/>
          <w:sz w:val="16"/>
          <w:szCs w:val="16"/>
          <w:color w:val="auto"/>
        </w:rPr>
        <w:t xml:space="preserve"> and Nautica Jeans</w:t>
      </w:r>
      <w:r>
        <w:rPr>
          <w:rFonts w:ascii="Arial" w:cs="Arial" w:eastAsia="Arial" w:hAnsi="Arial"/>
          <w:sz w:val="13"/>
          <w:szCs w:val="13"/>
          <w:color w:val="auto"/>
        </w:rPr>
        <w:t>®</w:t>
      </w:r>
      <w:r>
        <w:rPr>
          <w:rFonts w:ascii="Arial" w:cs="Arial" w:eastAsia="Arial" w:hAnsi="Arial"/>
          <w:sz w:val="16"/>
          <w:szCs w:val="16"/>
          <w:color w:val="auto"/>
        </w:rPr>
        <w:t>. In addition we carry several private label lines:</w:t>
      </w:r>
    </w:p>
    <w:p>
      <w:pPr>
        <w:spacing w:after="0" w:line="154" w:lineRule="exact"/>
        <w:rPr>
          <w:sz w:val="20"/>
          <w:szCs w:val="20"/>
          <w:color w:val="auto"/>
        </w:rPr>
      </w:pPr>
    </w:p>
    <w:p>
      <w:pPr>
        <w:ind w:left="900" w:right="6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continues to represent a significant portion of our business, specifically our core basic</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Harbor Bay is a traditional line.</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fabrications with basic wardrobe essentials.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but still in a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lifestyle.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Island Passport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island-inspired line of camp shirts, printed woven shirts and relaxed island inspired pants.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RETAIL CHANNEL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Destination XL Stores (“DXL”)</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DXL store concept brings all of our brands together in one format. Our target customer group is a very diverse group, and we have previously catered to them in individual groups through our various channels and brands, such as B&amp;T Factory Direct and Casual Male XL outlets for our value-oriented customers, Casual Male XL for our moderate-price customers and Rochester Clothing for our high-end customers. The size of the DXL stores, which contain almost triple the product assortments of a Casual Male XL store, currently averages 9,200 square feet, but is expected to average closer to 7,000 to 8,000 square feet as the Company opens future DXL stores. In fiscal 2014, we will be opening several smaller 5,000-6,000 square foot stores in locations where the customer base is not dense enough to support our larger DXL format. Because these locations will be smaller, they will carry a smaller product offering than our other DXL stores but it will be representative of the good, better, best merchandise strategy. The locations of our DXL stores are also an essential aspect of our roll-out. We require locations where our stores are highly visible, potentially adjacent to regional malls or other high-traffic shopping areas.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legacy Casual Male XL store format, which averages 3,600 square feet, was small and crowded. With our larger DXL store format, we are able to provide our customers a spacious store with up to three-times the product offering of a Casual Male store. As mentioned above, the merchandise in our DXL stores are organized by lifestyle: Active, Traditional, Modern and Jeanswear with a representation of all of our brands, across all channels, utilizing a good, better, best pricing structure. Depending on the customers in each respective market, we can adjust the appropriate mix of merchandise, with varying selections from each of our price points, to cater to each demographic market. This larger store model also enables us the opportunity to carry a complete offering of dress wear, including tailored and “made-to-measure” custom clothing, as well as a selection of shoes in extended sizes and a broad assortment of accessories such as belts, ties, socks.</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fiscal 2013, we opened 51 DXL stores, bringing our store count at February 1, 2014 to 99 DXL stores. The average sales per square foot for our DXL stores were $150 for fiscal 2013 and $147 in fiscal 2012. Once a DXL store matures, we expect sales per square foot will be approximately $220. For fiscal 2014, we plan to open 40 DXL stores resulting in approximately 139 DXL stores operating at the end of fiscal 2014. By the end of fiscal 2017, we expect to have approximately 250 DXL stores open.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February 1, 2014, we operated 198 Casual Male XL full-price retail stores, located primarily in strip centers, power centers or stand-alone locations. The majority of the merchandise carried in our Casual Male XL stores is moderately priced basic or fashion-neutral items, such as jeans, casual slacks, tee-shirts, polo shirts, dress shirts and suit separates. These stores also carry a full complement of our “better” private label collections. The average Casual Male XL retail store is approximately 3,600 square feet and has approximately $174 in sales per square foot annually.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Casual Male XL outlet stores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February 1, 2014, we operated 52 Casual Male XL outlet stores designed to offer a wide range of casual clothing for the big &amp; tall customer at prices that are generally 20-25% lower than our moderate-priced merchandise. Much of the merchandise in the outlet stores is offered with the purchasing interests of the value-oriented customer in mind. In addition to private-label and branded merchandise at our “good” price tier, our outlets also carry clearance product obtained from Casual Male XL, Rochester Clothing and DXL stores, offering the outlet customer the ability to purchase branded product and fashion product for a specially reduced price. As we open our DXL stores, the mix of branded product flowing into the outlets will increase to approximately 30% as we move inventory out of our DXL stores to keep it current while enhancing the branded presence in our outlets. The average Casual Male XL outlet store is approximately 3,200 square feet and has approximately $197 in sales per square foot annually.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Rochester Clothing stores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February 1, 2014, we operated 10 Rochester Clothing stores, located in major cities throughout the United States and one store in London, England. The Rochester Clothing stores have a wide selection of our “best” merchandise which consists primarily of high-end merchandise from well-recognized brands. In addition, the stores also carry a few private-label lines especially designed for our high-end customer. The average Rochester Clothing store is approximately 8,800 square feet and has approximately $302 in sales per square foot annually. Although some of our Rochester Clothing stores will close over the next few fiscal years as we open DXL stores in the same geographical market, by the end of fiscal 2016 we currently expect that 3 of our high-traffic Rochester Clothing stores will remain open.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DIRECT CHANNEL</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direct business, which consists primarily of our e-commerce business, with seasonal direct mail pieces, is a vital part of our multi-channel business, allowing us to service our customers better whether from their home 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store. Our direct business bridges that gap for us by encouraging and expecting our store associates to use our websites to help fulfill our customers’ clothing needs. If a wider selection of a lifestyle, or a color or size of an item is not available in our store, then our store associates can order the item for our customer through one of our direct channels and have it shipped to the store or directly to the customer. The success of this program represents 3.8% of our retail stores’ sales, which are now derived from in-store orders placed through our direct channels.</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fiscal 2013, we discontinued our catalog business in order to place more emphasis on growing our more profitable e-commerce business. While this decision resulted in a decrease in sales of $5.1 million for fiscal 2013, almost half of that loss was recovered through our internet growth. Throughout the year, we continued to improve our e-commerce promotional strategy and the overall key website functionality to make our online business more competitive and improve the customer experience. By the fourth quarter of fiscal 2013, our total direct business was up 1.2% over the prior year fourth quarter, with our website up 6.1%. As the impact of unprofitable catalog sales diminishes over time, the results will better reflect our e-commerce growth.</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fiscal 2014, we are investing in further enhancements to our website, including enhanced web in-store visibility along with “pick-up in store” purchase option. Another significant enhancement, which is described below under “Management Information Systems” is the roll-out of our pilot program, which will enable any web or store order to be fulfilled by any store in the chain if the merchandise is not available in our warehouse.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Destination XL</w:t>
      </w:r>
      <w:r>
        <w:rPr>
          <w:rFonts w:ascii="Arial" w:cs="Arial" w:eastAsia="Arial" w:hAnsi="Arial"/>
          <w:sz w:val="15"/>
          <w:szCs w:val="15"/>
          <w:b w:val="1"/>
          <w:bCs w:val="1"/>
          <w:i w:val="1"/>
          <w:iCs w:val="1"/>
          <w:u w:val="single" w:color="auto"/>
          <w:color w:val="auto"/>
        </w:rPr>
        <w:t>®</w:t>
      </w:r>
      <w:r>
        <w:rPr>
          <w:rFonts w:ascii="Arial" w:cs="Arial" w:eastAsia="Arial" w:hAnsi="Arial"/>
          <w:sz w:val="18"/>
          <w:szCs w:val="18"/>
          <w:b w:val="1"/>
          <w:bCs w:val="1"/>
          <w:i w:val="1"/>
          <w:iCs w:val="1"/>
          <w:color w:val="auto"/>
        </w:rPr>
        <w:t xml:space="preserve"> E-Commerce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-10160</wp:posOffset>
            </wp:positionV>
            <wp:extent cx="857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9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Similar to our DXL store concept, our www.destinationxl.com website combines all of our existing e-commerce sites into one enhanced website, with state-of-the-art features and best practices. Destination XL allows our customers to shop across all of our brands and product extensions with ease and brings all of our customers under site with one shopping cart. Their classification as a “Rochester” customer or a “Casual Male” customer no longer limits their ability to access our full product assortment.</w:t>
      </w:r>
    </w:p>
    <w:p>
      <w:pPr>
        <w:spacing w:after="0" w:line="187"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During fiscal 2013, we combined all of our existing web addresses: www.casualmalexl.com, www.rochesterclothing.com, www.btdirect.com, www.livingxl.com, www.shoesxl.com and www.bigandtall.com, are now redirected to our new Destination XL website.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From the </w:t>
      </w:r>
      <w:r>
        <w:rPr>
          <w:rFonts w:ascii="Arial" w:cs="Arial" w:eastAsia="Arial" w:hAnsi="Arial"/>
          <w:sz w:val="18"/>
          <w:szCs w:val="18"/>
          <w:b w:val="1"/>
          <w:bCs w:val="1"/>
          <w:i w:val="1"/>
          <w:iCs w:val="1"/>
          <w:color w:val="auto"/>
        </w:rPr>
        <w:t>DestinationXL</w:t>
      </w:r>
      <w:r>
        <w:rPr>
          <w:rFonts w:ascii="Arial" w:cs="Arial" w:eastAsia="Arial" w:hAnsi="Arial"/>
          <w:sz w:val="18"/>
          <w:szCs w:val="18"/>
          <w:color w:val="auto"/>
        </w:rPr>
        <w:t xml:space="preserve"> website our customers have access to:</w:t>
      </w:r>
    </w:p>
    <w:p>
      <w:pPr>
        <w:spacing w:after="0" w:line="13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Destination XL</w:t>
      </w:r>
    </w:p>
    <w:p>
      <w:pPr>
        <w:spacing w:after="0" w:line="117" w:lineRule="exact"/>
        <w:rPr>
          <w:sz w:val="20"/>
          <w:szCs w:val="20"/>
          <w:color w:val="auto"/>
        </w:rPr>
      </w:pPr>
    </w:p>
    <w:p>
      <w:pPr>
        <w:jc w:val="both"/>
        <w:ind w:left="920" w:right="100"/>
        <w:spacing w:after="0" w:line="286" w:lineRule="auto"/>
        <w:rPr>
          <w:sz w:val="20"/>
          <w:szCs w:val="20"/>
          <w:color w:val="auto"/>
        </w:rPr>
      </w:pPr>
      <w:r>
        <w:rPr>
          <w:rFonts w:ascii="Arial" w:cs="Arial" w:eastAsia="Arial" w:hAnsi="Arial"/>
          <w:sz w:val="17"/>
          <w:szCs w:val="17"/>
          <w:color w:val="auto"/>
        </w:rPr>
        <w:t>From the Destination XL homepage customers can also search across all of our brands without having to shop specifically Casual Male versus Rochester. By searching for a shirt in their size, Destination XL will provide them product selection from all three of our concepts, from value-oriented to luxury. Customers can tailor their search to narrow their search enabling them to shop more effectively with ease.</w:t>
      </w:r>
    </w:p>
    <w:p>
      <w:pPr>
        <w:spacing w:after="0" w:line="314"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Casual Male XL</w:t>
      </w:r>
    </w:p>
    <w:p>
      <w:pPr>
        <w:spacing w:after="0" w:line="117"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Our Casual Male XL web store offers an assortment of merchandise similar to what is available in the Casual Male XL stores, but also offers a broader selection of brands, styles and sizes.</w:t>
      </w:r>
    </w:p>
    <w:p>
      <w:pPr>
        <w:spacing w:after="0" w:line="31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Rochester Clothing</w:t>
      </w:r>
    </w:p>
    <w:p>
      <w:pPr>
        <w:spacing w:after="0" w:line="117"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Our Rochester Clothing web store comprises a large portion of our overall higher-end designer merchandise and is important because we currently have only 10 Rochester Clothing retail locations and, until our DXL roll-out is complete, there may not be a store accessible for our customers interested in our higher-end merchandise.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B&amp;T Factory Direct</w:t>
      </w:r>
    </w:p>
    <w:p>
      <w:pPr>
        <w:spacing w:after="0" w:line="117" w:lineRule="exact"/>
        <w:rPr>
          <w:sz w:val="20"/>
          <w:szCs w:val="20"/>
          <w:color w:val="auto"/>
        </w:rPr>
      </w:pPr>
    </w:p>
    <w:p>
      <w:pPr>
        <w:ind w:left="920" w:right="60"/>
        <w:spacing w:after="0" w:line="279" w:lineRule="auto"/>
        <w:rPr>
          <w:sz w:val="20"/>
          <w:szCs w:val="20"/>
          <w:color w:val="auto"/>
        </w:rPr>
      </w:pPr>
      <w:r>
        <w:rPr>
          <w:rFonts w:ascii="Arial" w:cs="Arial" w:eastAsia="Arial" w:hAnsi="Arial"/>
          <w:sz w:val="17"/>
          <w:szCs w:val="17"/>
          <w:color w:val="auto"/>
        </w:rPr>
        <w:t>Our B&amp;T Factory Direct web store enhances our existing Casual Male XL outlet stores. The merchandise offered on our “B&amp;T Factory Direct” website is an expanded selection but similar to the merchandise that can be found in our Casual Male XL outlet stores. In addition, B&amp;T Factory Direct will often feature special clearance opportunities of product obtained from Casual Male XL and Rochester Clothing, offering the B&amp;T Factory Direct customer the ability to purchase branded product and fashion product for a specially reduced price.</w:t>
      </w:r>
    </w:p>
    <w:p>
      <w:pPr>
        <w:spacing w:after="0" w:line="32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LivingXL</w:t>
      </w:r>
    </w:p>
    <w:p>
      <w:pPr>
        <w:spacing w:after="0" w:line="117"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Our LivingXL web store specializes in the selling of select high-quality products which help larger people maintain a more comfortable lifestyle. The types of products sold on our website benefit both men and women and include chairs, outdoor accessories, travel accessories, bed and bath and fitness equipment.</w:t>
      </w:r>
    </w:p>
    <w:p>
      <w:pPr>
        <w:spacing w:after="0" w:line="33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ShoesXL</w:t>
      </w:r>
    </w:p>
    <w:p>
      <w:pPr>
        <w:spacing w:after="0" w:line="117"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Our ShoesXL web store carries a complete line of men’s footwear in extended sizes, offering our customers a full range of footwear in hard-to-find sizes. The assortment on ShoesXL is a reflection of our apparel, with a broad assortment from moderate to luxury and from casual to formal. ShoesXL currently has a selection of more than 500 styles of shoes, ranging in sizes from 10W to 18M and widths up to 5E. We carry a number of designer brands including Cole Haan</w:t>
      </w:r>
      <w:r>
        <w:rPr>
          <w:rFonts w:ascii="Arial" w:cs="Arial" w:eastAsia="Arial" w:hAnsi="Arial"/>
          <w:sz w:val="13"/>
          <w:szCs w:val="13"/>
          <w:color w:val="auto"/>
        </w:rPr>
        <w:t>®</w:t>
      </w:r>
      <w:r>
        <w:rPr>
          <w:rFonts w:ascii="Arial" w:cs="Arial" w:eastAsia="Arial" w:hAnsi="Arial"/>
          <w:sz w:val="16"/>
          <w:szCs w:val="16"/>
          <w:color w:val="auto"/>
        </w:rPr>
        <w:t>, Allen Edmonds</w:t>
      </w:r>
      <w:r>
        <w:rPr>
          <w:rFonts w:ascii="Arial" w:cs="Arial" w:eastAsia="Arial" w:hAnsi="Arial"/>
          <w:sz w:val="13"/>
          <w:szCs w:val="13"/>
          <w:color w:val="auto"/>
        </w:rPr>
        <w:t>®</w:t>
      </w:r>
      <w:r>
        <w:rPr>
          <w:rFonts w:ascii="Arial" w:cs="Arial" w:eastAsia="Arial" w:hAnsi="Arial"/>
          <w:sz w:val="16"/>
          <w:szCs w:val="16"/>
          <w:color w:val="auto"/>
        </w:rPr>
        <w:t>, Timberland</w:t>
      </w:r>
      <w:r>
        <w:rPr>
          <w:rFonts w:ascii="Arial" w:cs="Arial" w:eastAsia="Arial" w:hAnsi="Arial"/>
          <w:sz w:val="13"/>
          <w:szCs w:val="13"/>
          <w:color w:val="auto"/>
        </w:rPr>
        <w:t>®</w:t>
      </w:r>
      <w:r>
        <w:rPr>
          <w:rFonts w:ascii="Arial" w:cs="Arial" w:eastAsia="Arial" w:hAnsi="Arial"/>
          <w:sz w:val="16"/>
          <w:szCs w:val="16"/>
          <w:color w:val="auto"/>
        </w:rPr>
        <w:t>, Calvin Klein</w:t>
      </w:r>
      <w:r>
        <w:rPr>
          <w:rFonts w:ascii="Arial" w:cs="Arial" w:eastAsia="Arial" w:hAnsi="Arial"/>
          <w:sz w:val="13"/>
          <w:szCs w:val="13"/>
          <w:color w:val="auto"/>
        </w:rPr>
        <w:t>®</w:t>
      </w:r>
      <w:r>
        <w:rPr>
          <w:rFonts w:ascii="Arial" w:cs="Arial" w:eastAsia="Arial" w:hAnsi="Arial"/>
          <w:sz w:val="16"/>
          <w:szCs w:val="16"/>
          <w:color w:val="auto"/>
        </w:rPr>
        <w:t>, Lacoste</w:t>
      </w:r>
      <w:r>
        <w:rPr>
          <w:rFonts w:ascii="Arial" w:cs="Arial" w:eastAsia="Arial" w:hAnsi="Arial"/>
          <w:sz w:val="13"/>
          <w:szCs w:val="13"/>
          <w:color w:val="auto"/>
        </w:rPr>
        <w:t>®</w:t>
      </w:r>
      <w:r>
        <w:rPr>
          <w:rFonts w:ascii="Arial" w:cs="Arial" w:eastAsia="Arial" w:hAnsi="Arial"/>
          <w:sz w:val="16"/>
          <w:szCs w:val="16"/>
          <w:color w:val="auto"/>
        </w:rPr>
        <w:t xml:space="preserve"> and Bruno Magli</w:t>
      </w:r>
      <w:r>
        <w:rPr>
          <w:rFonts w:ascii="Arial" w:cs="Arial" w:eastAsia="Arial" w:hAnsi="Arial"/>
          <w:sz w:val="13"/>
          <w:szCs w:val="13"/>
          <w:color w:val="auto"/>
        </w:rPr>
        <w:t>®</w:t>
      </w:r>
      <w:r>
        <w:rPr>
          <w:rFonts w:ascii="Arial" w:cs="Arial" w:eastAsia="Arial" w:hAnsi="Arial"/>
          <w:sz w:val="16"/>
          <w:szCs w:val="16"/>
          <w:color w:val="auto"/>
        </w:rPr>
        <w:t>.</w:t>
      </w:r>
    </w:p>
    <w:p>
      <w:pPr>
        <w:spacing w:after="0" w:line="154"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Destination XL e-commerce site is an increasingly important channel of our direct business. If a customer goes directly to our destinationxl.com site, with the exception of LivingXL, the other business tabs are no longer visible to the customer. However, when a customer goes to one of our legacy websites above, they will be brought over to the destinationxl.com site, but will still see the tabs of our legacy businesses, such as Casual Male or Rochester.</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Over the past couple of years, we have seen a significant increase in the number of visitors from a mobile device. As such, in the summer of fiscal 2013, we launched a mobile optimized website, m.destinationxl.com, creating an improved experience around product browsing, checkout, access to loyalty program information, researching inventory in a local store, and finding a local store location.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An improved experience was also created for international visitors. Upon entering our full site, these visitors are identified based on where they reside globally and are now able to shop in their local currency. In addition, checkout is customized based on their location, with local payment methods and a guaranteed cost including shipping and taxes.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Sears</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 xml:space="preserve">Through our business relationship with Sears U.S. and Sears Canada, we offer selected Casual Male merchandise on their websites at </w:t>
      </w:r>
      <w:r>
        <w:rPr>
          <w:rFonts w:ascii="Arial" w:cs="Arial" w:eastAsia="Arial" w:hAnsi="Arial"/>
          <w:sz w:val="16"/>
          <w:szCs w:val="16"/>
          <w:u w:val="single" w:color="auto"/>
          <w:color w:val="auto"/>
        </w:rPr>
        <w:t>www.Sears.com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www.Sears.ca</w:t>
      </w:r>
      <w:r>
        <w:rPr>
          <w:rFonts w:ascii="Arial" w:cs="Arial" w:eastAsia="Arial" w:hAnsi="Arial"/>
          <w:sz w:val="16"/>
          <w:szCs w:val="16"/>
          <w:color w:val="auto"/>
        </w:rPr>
        <w:t>. We also have a co-branded section in the Sears Canada catalog, in which we appeared in 3 editions during fiscal 2013.</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Franchised DXL Store</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Spring 2012, pursuant to a franchise agreement between one of our subsidiaries and The Standard Arabian Business &amp; Enterprises Company (SABECO), we opened our first franchised Destination XL</w:t>
      </w:r>
      <w:r>
        <w:rPr>
          <w:rFonts w:ascii="Arial" w:cs="Arial" w:eastAsia="Arial" w:hAnsi="Arial"/>
          <w:sz w:val="15"/>
          <w:szCs w:val="15"/>
          <w:color w:val="auto"/>
        </w:rPr>
        <w:t>®</w:t>
      </w:r>
      <w:r>
        <w:rPr>
          <w:rFonts w:ascii="Arial" w:cs="Arial" w:eastAsia="Arial" w:hAnsi="Arial"/>
          <w:sz w:val="18"/>
          <w:szCs w:val="18"/>
          <w:color w:val="auto"/>
        </w:rPr>
        <w:t xml:space="preserve"> store in the Middle East in Symphony Mall, Kuwait City, Kuwait in April 2012. The franchise agreement governs the operation of the store and provides that within two years of the store’s opening to the public, we will have an option to purchase an equity interest in the store. We currently do not have an intention to exercise that purchase option.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direct levels, and pre-season planning for product assortments for each store and the direct channels. Additionally, in-season reporting identifies opportunities and challenges in inventory performance. Over the past several years, we have made important investments in implementing best practice tools and processes.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core merchandise makes up over 40% of our Casual Male assortment and over 20% of our Rochester assortment. Our planning and allocation team estimates quantity and demand several months in advance to optimize gross margin and minimize end-of-season merchandise for all seasonal merchandise. We have implemented an all-channel assortment planning methodology that customizes each store’s assortment to accentuate lifestyle preferences for each store.</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category, overall assortments and specific styles by store to focus on the opportunities and challenges for the next season’s planning cycle.</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During the season, we utilize a markdown optimization tool developed internally to monitor the selling performance of our fashion assortments and compare against the planned selling curves. When actual selling performance significantly drops below planned selling curves, we make in-season pricing adjustments so that we maintain planned levels of residual fashion product at season’s end.</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believe that our store associates are the key to creating the highest quality experience for our customer. Over the past five years, we have worked to change the culture of our stores from essentially an operationally-driven organization to a sales-driven, customer-centric organization. Our overall goal is to help our associates become less task oriented and more focused on serving the customer. We want our associates to help our customer meet their apparel needs by building their wardrobes, not just selling our customer an item. In order to do this, we have invested in educating our associates. Our associates have been trained to be tailored clothing experts, capable of accommodating our customer’s style and fit needs with ready-to-wear and made-to-measure custom clothing. Our training approach not only provides product knowledge but also behavioral training; we are teaching our associates how to interact and strengthen the relationship with each customer. A key component to the success of this program is having the right caliber of store associates. In order to accomplish this, we use two national workforce solution companies to assist us. Once hired, our new DXL store management team is enrolled in a six-week, world-class training program with time spent in one of our three regional training centers. Our Regional Sales Managers, store managers, and assistant managers are brought on board by a Regional Training Director with significant experience in providing an excellent customer experience.</w:t>
      </w:r>
    </w:p>
    <w:p>
      <w:pPr>
        <w:spacing w:after="0" w:line="16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Each new store management team will spend time in a DXL store practicing hands-on learning. In turn, this will allow each new store management team to be able to apply the skills learned during training to manage their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respective stores successfully. Each new manager will then be put through a Certification Process. They will be certified in their specific store location by their Regional Sales Manager as well as the Vice President of Sales of their region. Certification ensures that each new management team is fully prepared to manage a DXL store successfully. In an effort to continue developing and enhancing our business, we are working to optimize one of our greatest opportunities, which is our Tailored Clothing category. We have added a Director of Field Training along with an Advanced Training program, centered on Tailored Clothing to directly impact this opportunity going forward.</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are able to gauge the effectiveness of our training by measuring sales productivity at each level of the field organization, including individual sales associates. We believe that these educational programs, together with monitoring sales metrics to help identify opportunities for further training, will improve sales productivity and strengthen our customer’s brand loyalty.</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DXL, Casual Male XL and Rochester Clothing store is staffed with a store manager, assistants and associates. The store manager is responsible for achieving certain sales and operational targets. Our DXL, Casual Male XL and Rochester Clothing stores have an incentive-based commission plan for managers and selling staff to encourage our staff to focus on our customer’s wardrobing needs and sales productivity.</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field organization is overseen by our Senior Vice President of Store Sales and Operations and is comprised of approximately 21 Regional Sales Managers who provide management development and guidance to individual store managers. Our organization is divided among three geographical zones, each zone consisting of 7 Regional Sales Managers and 1 Regional Operations Manager. Each Regional Sales Manager is responsible for hiring and developing store managers at the stores assigned to that Regional Sales Manager’s area and for the overall operations and profitability of those stores. Regional Sales Managers report to one of our three Vice Presidents of Sales, each of whom reports directly to our Senior Vice President of Store Sales and Operations. The Senior Vice President of Store Sales and Operations and the three Vice Presidents of Sales coordinate all sales and operations initiatives and activities, along with the support of the Vice President of Store Operations and Training, the Director of Field Training, the Director of Staffing &amp; Training, and the Director of Store Support and Communications.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fiscal 2013, we made significant advancements in Destination XL’s brand awareness and increased sales during the campaign time-periods. We were able to grow the aided awareness from 13% in the spring of 2013 to 25% by the end of fall. In one year, we have built an awareness level that is rapidly approaching Casual Male’s awareness level even with its decades-long history. As we built the awareness, we were also able to grow DXL comparable sales during the campaign. For the spring campaign, the DXL comparable store sales increased 16.7% and, for the fall campaign, the DXL comparable store sales increased 23.3%. While store traffic remained high through July, the month following the spring campaign which ended just before Father’s Day, our store traffic did not remain at this heightened level when the fall campaign ended, just prior to Thanksgiving.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2014, our marketing strategy will be focused on the conversion of our Casual Male customers to DXL, increasing customer acquisition, as well as sales growth in our direct business. We will continue to communicate Destination XL and its value to consumers through a broad media approach that is similar to the one deployed in fiscal 2013. We will use a similar media strategy with a creative concept that has tested among focus groups to be superior to the ad which aired in fiscal 2013. Our strategy in fiscal 2013 was focused on building brand awareness. In fiscal 2014, our strategy will be more focused on introducing our customers to the DXL concept, educating them as to what DXL has to offer and where they can find us. Providing our customers a compelling reason to shop with us and driving increased transactions in our DXL stores will be our primary objective in fiscal 2014.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fiscal 2014, we will be testing an improved loyalty program to heighten awareness, increase engagement, and ultimately create a greater connection to our brand. We are changing the way we recognize and value customers who shop with us and we will test offering our more loyal customers escalating bonus points based on their patronage and exhibited loyalty. We will be segmenting and targeting our customers with differentiated offers based on behavior and shopping pattern. In summary, we will be engaging our customers in new ways to further earn their loyalty and commitment.</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we close more of our Casual Male XL stores, we will continue our efforts to increase awareness of DXL and convert Casual Male XL customers to our DXL stores. Our focus will continue to be on transitioning our best Casual Male customers first, followed by the other very active, high sales contributing tiers of customers. We have amplified the communication of DXL in Casual Male stores through more explicit and explanatory signage, greater storefront communication, and improved associate advocacy. Before the closure of every Casual Male store, we have begun an aggressive direct mail campaign to provide an incentive for Casual Male consumers to shop the new DXL store.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marketing spend for fiscal 2014 is expected to be relatively flat to the expense of $27.8 million in fiscal 2013.</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SOURCING</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We have strong experience in sourcing internationally, particularly in Asia, where we manufacture a significant percentage of our private-label merchandise. We have established relationships with some of the leading and specialized agents and factories. Our sourcing network consists of over 50 factories in 6 countries. Currently, approximately 40% of all our product needs are sourced directly.</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global sourcing strategy is a balanced approach considering quality, cost and lead time, depending on the requirements of the program. We believe our current sourcing structure is sufficient to meet our operating requirements and provide capacity for growth. The growth and effectiveness of our global direct sourcing program is a key component to our continued merchandise margin improvement.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distribution operations are centralized at our headquarters located in Canton, Massachusetts.</w:t>
      </w:r>
    </w:p>
    <w:p>
      <w:pPr>
        <w:spacing w:after="0" w:line="225"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Since 2003, we have utilized United Parcel Services (“UPS”) for all our store shipments as well as all domestic customer deliveries. This association with UPS has improved our distribution capabilities while also reducing our shipping costs by utilizing zone skipping. By utilizing UPS, we are able to track all deliveries from the warehouse to our individual stores, including the status of in-transit shipments. In addition, we are able to provide our Direct-to-Consumer customers with Authorized Return Service and Web labels, making returns more convenient for them. Our current contract with UPS is through January 2015.</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utilize the Manhattan Associates’ PKMS warehousing application for our distribution center systems, which has streamlined our distribution processes significantly, enhanced our in-transit times, and reduced our distribution costs substantially. Automated packing for single piece orders and barcode scanning technologies were added for Direct-to-Consumer, improving productivity and lowering packing costs. Various software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material handling improvements were made with our store replenishment systems on our retail sorter that enable us to pick size-specific product, by store, efficiently, allowing for quicker and more accurate replenishment to our retail stores. Scanning technologies were added to our sortation systems that improved the accuracy for product selection that is being sent to the various retail stores and Direct-to-Consumer. Supply chain technology was added to provide better visibility for imports, providing more accurate shipping information for buyers and allowing the distribution center to plan accurate staffing models for arriving freight, resulting in reduced costs and improved receipt efficiency. In addition, we have improved our active shelving and reserve racking to enhance our space utilization in our distribution center, while continuing to improve efficiencies through the implementation of engineered productivity standards.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In-bound calls and order fulfillment for our direct businesses are also currently handled at our Canton facility.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The infrastructure of our management information systems has consistently been a priority to us. The investments that we have made in this regard have substantially improved our overall efficiency and most importantly have enabled us to better manage our inventory.</w:t>
      </w:r>
    </w:p>
    <w:p>
      <w:pPr>
        <w:spacing w:after="0" w:line="14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e-commerce/catalog business on the Oracle and Intel/Microsoft environments. We believe that our current infrastructure provides us the ability and capacity to process transactions more efficiently and provides our management team with comprehensive tools with which to manage our business.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and the Arthur Merchandise Planning and Advanced Allocation systems. In addition, we also utilize JDA’s E3 Advanced Replenishment system to optimize fill back from vendors and adjustments from seasonal profiles which we believe has improved sales opportunities and control over our basic merchandise inventory. For our distribution operations, we use Manhattan Associates’ PKMS distribution system. These systems have enabled us to improve sales, better manage inventory levels and streamline operations.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business is supported by a POS business application provided by Epicor, formerly NSB Group.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provides us with the ability to target customers with specific offers and promotions. During fiscal 2013, we upgraded our DXL stores to a state-of-the-art POS hardware platform supplied by Hewlett-Packard. In fiscal 2014, we are planning to begin implementing the latest store system solution from Epicor Software in our DXL locations to further support our business.</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websites have all been standardized on Oracle’s state-of-the-art hosted platform.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Using QuantiSense, a business intelligence and data warehousing application, we are able to provide our management team with the ability to integrate data from several sources into reports that are useful and easily obtained. With its customized reporting capabilities, we have visibility down to the lowest level: style, SKU and store. Over the past few years, we have developed customized reporting that has been extremely beneficial to our business. With the use of this software, we now have store grading applications and size scaling to the store level. In an effort to further improve our inventory management, we have created a standardized set of “best practices” for both our merchandise allocation and planning groups.</w:t>
      </w:r>
    </w:p>
    <w:p>
      <w:pPr>
        <w:spacing w:after="0" w:line="173"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Our direct business and retail business maintain a shared inventory system and we operate a single system platform for DXL, Casual Male and Rochester Clothing which delivers excellent efficiencies and makes our full product assortment available to all of our business formats.</w:t>
      </w:r>
    </w:p>
    <w:p>
      <w:pPr>
        <w:spacing w:after="0" w:line="12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During fiscal 2013, we implemented significant improvements to our web environment. A mobile optimized site was introduced to capitalize on the growing use of mobile devices to look up store information, review product offerings, and complete purchases. In addition, the current web site was fully integrated with global ecommerce company, Borderfree, to accommodate international customers by providing multi-currency pricing, payment processing, and international shipping. Functionality was also implemented to support a web custom shirt program and an in-store application to support both a custom suit and custom shirt program.</w:t>
      </w:r>
    </w:p>
    <w:p>
      <w:pPr>
        <w:spacing w:after="0" w:line="18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In fiscal 2013, we began a pilot of eBay/VendorNet’s solution to make inventory at the store level available for web and store customer orders. The solution is fully integrated with UPS to facilitate the store shipments to customers. Also in fiscal 2013, we implemented the BrainShark communication and training platform for our stores. This provides new efficiencies in delivering information, training, and task management to all our locations.</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2014, we plan to roll out the eBay/VendorNet solution enabling us to access our entire DXL store inventory for customer fulfillment, making us truly omnichannel. In addition, we plan to implement enhanced web in-store inventory visibility along with a pick-up in-store purchase option. We also plan to deploy improvements to optimize our assortment planning and assortment execution capabilities.</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Other significant technology upgrades planned for fiscal 2014 include more accurate store customer traffic counters and the Oracle Endeca Guided Search module to improve search engine optimization and the customer experience on the web.</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faces competition from a variety of sources, including department stores, mass merchandisers, other specialty stores and discount and off-price retailers, as well as other retailers that sell big &amp; tall merchandise. While we have successfully competed on the basis of merchandise selection, comfort &amp; fit, customer service and desirable store locations, there can be no assurances that other retailers will not adopt purchasing and marketing concepts similar to ours. Discount retailers with significant buying power, such as Wal-Mart and J.C. Penney, represent a source of competition for us. In addition, certain discount retailers and other specialty stores have recently announced their intentions to expand their big &amp; tall offerings, including in some cases, the openings of specialty big &amp; tall stores; however, we do not have a direct competitor that offers a similar one-stop shopping environment similar to our DXL stores.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direct business has several competitors, including the King Size catalog and website and The Foundry Big and Tall Supply Co., (which is operated by J.C. Penney Company, Inc).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own several service marks and trademarks relating to our businesses, including, among others, “Destination XL</w:t>
      </w:r>
      <w:r>
        <w:rPr>
          <w:rFonts w:ascii="Arial" w:cs="Arial" w:eastAsia="Arial" w:hAnsi="Arial"/>
          <w:sz w:val="10"/>
          <w:szCs w:val="10"/>
          <w:color w:val="auto"/>
        </w:rPr>
        <w:t>®</w:t>
      </w:r>
      <w:r>
        <w:rPr>
          <w:rFonts w:ascii="Arial" w:cs="Arial" w:eastAsia="Arial" w:hAnsi="Arial"/>
          <w:sz w:val="16"/>
          <w:szCs w:val="16"/>
          <w:color w:val="auto"/>
        </w:rPr>
        <w:t>”, “DXL</w:t>
      </w:r>
      <w:r>
        <w:rPr>
          <w:rFonts w:ascii="Arial" w:cs="Arial" w:eastAsia="Arial" w:hAnsi="Arial"/>
          <w:sz w:val="10"/>
          <w:szCs w:val="10"/>
          <w:color w:val="auto"/>
        </w:rPr>
        <w:t>®</w:t>
      </w:r>
      <w:r>
        <w:rPr>
          <w:rFonts w:ascii="Arial" w:cs="Arial" w:eastAsia="Arial" w:hAnsi="Arial"/>
          <w:sz w:val="16"/>
          <w:szCs w:val="16"/>
          <w:color w:val="auto"/>
        </w:rPr>
        <w:t>”, “Big on Being Better™”, “Casual Male</w:t>
      </w:r>
      <w:r>
        <w:rPr>
          <w:rFonts w:ascii="Arial" w:cs="Arial" w:eastAsia="Arial" w:hAnsi="Arial"/>
          <w:sz w:val="10"/>
          <w:szCs w:val="10"/>
          <w:color w:val="auto"/>
        </w:rPr>
        <w:t>®</w:t>
      </w:r>
      <w:r>
        <w:rPr>
          <w:rFonts w:ascii="Arial" w:cs="Arial" w:eastAsia="Arial" w:hAnsi="Arial"/>
          <w:sz w:val="16"/>
          <w:szCs w:val="16"/>
          <w:color w:val="auto"/>
        </w:rPr>
        <w:t>”, “Casual Male XL</w:t>
      </w:r>
      <w:r>
        <w:rPr>
          <w:rFonts w:ascii="Arial" w:cs="Arial" w:eastAsia="Arial" w:hAnsi="Arial"/>
          <w:sz w:val="10"/>
          <w:szCs w:val="10"/>
          <w:color w:val="auto"/>
        </w:rPr>
        <w:t>®</w:t>
      </w:r>
      <w:r>
        <w:rPr>
          <w:rFonts w:ascii="Arial" w:cs="Arial" w:eastAsia="Arial" w:hAnsi="Arial"/>
          <w:sz w:val="16"/>
          <w:szCs w:val="16"/>
          <w:color w:val="auto"/>
        </w:rPr>
        <w:t>”, “B&amp;T Factory Direct™”, “Rochester Big &amp; Tall</w:t>
      </w:r>
      <w:r>
        <w:rPr>
          <w:rFonts w:ascii="Arial" w:cs="Arial" w:eastAsia="Arial" w:hAnsi="Arial"/>
          <w:sz w:val="10"/>
          <w:szCs w:val="10"/>
          <w:color w:val="auto"/>
        </w:rPr>
        <w:t>®</w:t>
      </w:r>
      <w:r>
        <w:rPr>
          <w:rFonts w:ascii="Arial" w:cs="Arial" w:eastAsia="Arial" w:hAnsi="Arial"/>
          <w:sz w:val="16"/>
          <w:szCs w:val="16"/>
          <w:color w:val="auto"/>
        </w:rPr>
        <w:t>”, “Harbor Bay</w:t>
      </w:r>
      <w:r>
        <w:rPr>
          <w:rFonts w:ascii="Arial" w:cs="Arial" w:eastAsia="Arial" w:hAnsi="Arial"/>
          <w:sz w:val="10"/>
          <w:szCs w:val="10"/>
          <w:color w:val="auto"/>
        </w:rPr>
        <w:t>®</w:t>
      </w:r>
      <w:r>
        <w:rPr>
          <w:rFonts w:ascii="Arial" w:cs="Arial" w:eastAsia="Arial" w:hAnsi="Arial"/>
          <w:sz w:val="16"/>
          <w:szCs w:val="16"/>
          <w:color w:val="auto"/>
        </w:rPr>
        <w:t>”, “Oak Hill Established 1972</w:t>
      </w:r>
      <w:r>
        <w:rPr>
          <w:rFonts w:ascii="Arial" w:cs="Arial" w:eastAsia="Arial" w:hAnsi="Arial"/>
          <w:sz w:val="10"/>
          <w:szCs w:val="10"/>
          <w:color w:val="auto"/>
        </w:rPr>
        <w:t>®</w:t>
      </w:r>
      <w:r>
        <w:rPr>
          <w:rFonts w:ascii="Arial" w:cs="Arial" w:eastAsia="Arial" w:hAnsi="Arial"/>
          <w:sz w:val="16"/>
          <w:szCs w:val="16"/>
          <w:color w:val="auto"/>
        </w:rPr>
        <w:t>”, “Oak Hill</w:t>
      </w:r>
      <w:r>
        <w:rPr>
          <w:rFonts w:ascii="Arial" w:cs="Arial" w:eastAsia="Arial" w:hAnsi="Arial"/>
          <w:sz w:val="10"/>
          <w:szCs w:val="10"/>
          <w:color w:val="auto"/>
        </w:rPr>
        <w:t>®</w:t>
      </w:r>
      <w:r>
        <w:rPr>
          <w:rFonts w:ascii="Arial" w:cs="Arial" w:eastAsia="Arial" w:hAnsi="Arial"/>
          <w:sz w:val="16"/>
          <w:szCs w:val="16"/>
          <w:color w:val="auto"/>
        </w:rPr>
        <w:t>”, “Gold Series”™, “Flex-Zone</w:t>
      </w:r>
      <w:r>
        <w:rPr>
          <w:rFonts w:ascii="Arial" w:cs="Arial" w:eastAsia="Arial" w:hAnsi="Arial"/>
          <w:sz w:val="10"/>
          <w:szCs w:val="10"/>
          <w:color w:val="auto"/>
        </w:rPr>
        <w:t>®</w:t>
      </w:r>
      <w:r>
        <w:rPr>
          <w:rFonts w:ascii="Arial" w:cs="Arial" w:eastAsia="Arial" w:hAnsi="Arial"/>
          <w:sz w:val="16"/>
          <w:szCs w:val="16"/>
          <w:color w:val="auto"/>
        </w:rPr>
        <w:t>”, “Comfort Zone</w:t>
      </w:r>
      <w:r>
        <w:rPr>
          <w:rFonts w:ascii="Arial" w:cs="Arial" w:eastAsia="Arial" w:hAnsi="Arial"/>
          <w:sz w:val="10"/>
          <w:szCs w:val="10"/>
          <w:color w:val="auto"/>
        </w:rPr>
        <w:t>®</w:t>
      </w:r>
      <w:r>
        <w:rPr>
          <w:rFonts w:ascii="Arial" w:cs="Arial" w:eastAsia="Arial" w:hAnsi="Arial"/>
          <w:sz w:val="16"/>
          <w:szCs w:val="16"/>
          <w:color w:val="auto"/>
        </w:rPr>
        <w:t>”, “Synrgy™”, “Twenty-Eight Degrees™”, “Society of One</w:t>
      </w:r>
      <w:r>
        <w:rPr>
          <w:rFonts w:ascii="Arial" w:cs="Arial" w:eastAsia="Arial" w:hAnsi="Arial"/>
          <w:sz w:val="10"/>
          <w:szCs w:val="10"/>
          <w:color w:val="auto"/>
        </w:rPr>
        <w:t>®</w:t>
      </w:r>
      <w:r>
        <w:rPr>
          <w:rFonts w:ascii="Arial" w:cs="Arial" w:eastAsia="Arial" w:hAnsi="Arial"/>
          <w:sz w:val="16"/>
          <w:szCs w:val="16"/>
          <w:color w:val="auto"/>
        </w:rPr>
        <w:t>” and “True Nation</w:t>
      </w:r>
      <w:r>
        <w:rPr>
          <w:rFonts w:ascii="Arial" w:cs="Arial" w:eastAsia="Arial" w:hAnsi="Arial"/>
          <w:sz w:val="10"/>
          <w:szCs w:val="10"/>
          <w:color w:val="auto"/>
        </w:rPr>
        <w:t>®</w:t>
      </w:r>
      <w:r>
        <w:rPr>
          <w:rFonts w:ascii="Arial" w:cs="Arial" w:eastAsia="Arial" w:hAnsi="Arial"/>
          <w:sz w:val="16"/>
          <w:szCs w:val="16"/>
          <w:color w:val="auto"/>
        </w:rPr>
        <w:t>”. We also hold a U.S. patent for an extendable collar system, which is marketed as “Neck-Relaxer</w:t>
      </w:r>
      <w:r>
        <w:rPr>
          <w:rFonts w:ascii="Arial" w:cs="Arial" w:eastAsia="Arial" w:hAnsi="Arial"/>
          <w:sz w:val="10"/>
          <w:szCs w:val="10"/>
          <w:color w:val="auto"/>
        </w:rPr>
        <w:t>®</w:t>
      </w:r>
      <w:r>
        <w:rPr>
          <w:rFonts w:ascii="Arial" w:cs="Arial" w:eastAsia="Arial" w:hAnsi="Arial"/>
          <w:sz w:val="16"/>
          <w:szCs w:val="16"/>
          <w:color w:val="auto"/>
        </w:rPr>
        <w:t>” and a U.S. copyright for a no-iron hang tag.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February 1, 2014, we employed approximately 2,374 associates, of whom 1,539 were full-time personnel. We hire additional temporary employees during the peak fall and Holiday seasons. None of our employees is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u w:val="single" w:color="auto"/>
          <w:color w:val="auto"/>
        </w:rPr>
        <w:t>http://investor.destinationxl.com</w:t>
      </w:r>
      <w:r>
        <w:rPr>
          <w:rFonts w:ascii="Arial" w:cs="Arial" w:eastAsia="Arial" w:hAnsi="Arial"/>
          <w:sz w:val="18"/>
          <w:szCs w:val="18"/>
          <w:color w:val="auto"/>
        </w:rPr>
        <w:t xml:space="preserve">. Our investor relations site is also accessible from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xml:space="preserve">, by clicking on the investor relations link.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may not be successful in executing our DXL strategy and growing our market share.</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currently implementing our strategic plan to open 250 DXL stores by the end of fiscal 2017 while simultaneously closing a significant number of our Casual Male XL retail stores and Rochester Clothing stores. However, for us to be successful in the future and maintain growth, we must be able to continue increasing our market share within the big &amp; tall industry. Our growth and market share are dependent on our ability to successfully execute the roll-out of our DXL store concept, converting our existing Casual Male and Rochester customers and attracting new customers. Our inability to execute the following factors, among others, successfully could prevent us from growing our market share and DXL brand, which could have a material adverse effect on our results of operations, cash flows and financial position:</w:t>
      </w:r>
    </w:p>
    <w:p>
      <w:pPr>
        <w:spacing w:after="0" w:line="8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negotiate favorable lease arrangements for new DXL stores;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exit existing lease agreements on favorable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open and close stores within established cost parameters;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coordinate the timing of DXL store openings and Casual Male XL store closings;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qualified store management and store associates;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 effective marketing program to build brand and store concept awareness as well as increase store traffic;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predict and respond to fashion trends, while offering our customers a broad selection of merchandise in an extended selection of sizes;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our DXL e-commerce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our existing customer base as we transition them to the DXL store format;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new target customers to our DXL concept;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grow and then sustain dollars-per-transaction and share of wallet;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the DXL store concept at appropriate operating margins.</w:t>
      </w:r>
    </w:p>
    <w:p>
      <w:pPr>
        <w:spacing w:after="0" w:line="225"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b w:val="1"/>
          <w:bCs w:val="1"/>
          <w:i w:val="1"/>
          <w:iCs w:val="1"/>
          <w:u w:val="single" w:color="auto"/>
          <w:color w:val="auto"/>
        </w:rPr>
        <w:t>Our marketing programs and success in maintaining and building our brand awareness, driving traffic and converting that traffic into an increased loyal customer base are critical to achieving successful market share growth within the big &amp; tall industry.</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building and maintaining favorable brand recognition for our DXL concept and effectively marketing our merchandise to all of our target customers in several diverse market segments so that they will become loyal shoppers who spend a greater portion of their wallet on our product offerings. In order to grow our brand recognition and our market share, we depend on the successful development of our brand through several means including television and radio advertising, advertising events, direct mail marketing, e-commerce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6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u w:val="single" w:color="auto"/>
          <w:color w:val="auto"/>
        </w:rPr>
        <w:t>The re-occurrence of any disruption to the capital and credit markets could adversely affect our results of operations, cash flows and financial condition, or those of our customers and vendors.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re-occurrence of any disruption to the capital and credit markets could adversely impact our results of operations, cash flows and financial condition, or those of our customers and vendors. Disruptions in the capital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225"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Like most other retail businesses, our business is seasonal. Historically, a significant portion of our operating income has been generated during our fourth quarter (November-January). In addition, similar to other retail businesses, our operations may be negatively affected by local, regional or national economic conditions, such as levels of disposable consumer income, consumer debt, interest rates and consumer confidence.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economic and foreign issues abroad.</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Economic and civil unrest in areas of the world where we source merchandise for our global sourcing program, as well as shipping and docking issues, could adversely impact the availability and cost of such merchandise. Disruptions in the global transportation network, such as political instability, the financial instability of our suppliers, merchandise quality issues, trade restrictions, labor and port strikes,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 significant portion of our merchandise is imported directly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have a material adverse effect on our results of operations and cash flow.</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225"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who is an integral part of our daily operations and is the primary decision maker in all our important operating matters, could significantly impact our business until an adequate replacement or replacements can be identified and put in place.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w:t>
      </w:r>
    </w:p>
    <w:p>
      <w:pPr>
        <w:spacing w:after="0" w:line="193" w:lineRule="exact"/>
        <w:rPr>
          <w:sz w:val="20"/>
          <w:szCs w:val="20"/>
          <w:color w:val="auto"/>
        </w:rPr>
      </w:pPr>
    </w:p>
    <w:p>
      <w:pPr>
        <w:ind w:right="600" w:firstLine="456"/>
        <w:spacing w:after="0" w:line="312"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resignation in January 2014 of Dennis R. Hernreich, who served as our Chief Operating Officer, Chief Financial Officer and Treasurer for the past 13 years, could result in potential delays or execution of our strategic initiatives. However, with the appointment of John Kyees, a director of the Company who previously served as Chief Financial Officer at Urban Outfitters until his retirement in 2010, as our interim Chief Financial Officer, we believe we will be able to ensure a level of consistency until we can find a permanent replacement.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merchandise for our stores and e-commerce operations is received into our centralized distribution center in Canton, Massachusetts, where the inventory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storage and disaster recovery plans, but we would still incur business interruption which could impact our business for several weeks.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be harmed by security risks we face in connection with our electronic processing and transmission of confidential customer information. During fiscal 2013, approximately 85% of our sales were settled through credit and debit card transactions. Any security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A number of retailers have experienced actual security breaches where credit and debit card information may have been stolen, including a number of highly publicized incidents with well-known retailers in late 2013.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w:t>
      </w:r>
    </w:p>
    <w:p>
      <w:pPr>
        <w:spacing w:after="0" w:line="12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Further, if a third party were to use this proprietary customer information in order to compete with us, it could have a material adverse impact on our business and could result in litigation.</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been Payment Card Industry (“PCI”) compliant since 2007, which we believe is important in ensuring that our security systems are protected, but there is always a risk that protected systems can be compromised.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face greater challenges in managing several brands in multiple channels of distribution.</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Several retailers have had problems executing a corporate strategy aimed at operating multiple brands in multiple channels. We conduct operations through our specialty stores, outlet stores, and internet channels of distribution. We are responsible for all aspects of brand management with respect to our private-label merchandise and our Destination XL, Casual Male and Rochester brands, including advertising and promotion, and the servicing and merchandising of private label merchandise. With respect to our branded merchandise, this function is mostly the responsibility of the specific manufacturer of the brand.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website, could have serious longer-term consequences, such as an adverse impact on our brand value and the loss of market share to our competitors.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Acts of terrorism or a catastrophic event could negatively impact our operating results and financial condition.</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Failure to comply with laws, rules and regulations could negatively affect our business operations and financial performance.</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is subject to federal, state, local and international laws, rules and regulations, such as state and local wage and hour laws, the U.S. Foreign Corrupt Practices Act, the False Claims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the Company’s earnings. In addition, the complexity of the regulatory environment in which we operate and the related cost of compliance are both increasing due to legal and regulatory requirements and increased enforcement. In addition, as a result of operating in the U.K. and Canada, we must comply with those countries’ laws and regulations,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Our stock price has been and may continue to be extremely volatile due to many factors.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Since January 1, 2003, the closing price of our common stock has ranged from a low of $0.26 per share (March 3, 2009) to a high of $14.95 per share (October 26, 2006). The following factors, among others, may cause significant fluctuations in our stock price:</w:t>
      </w:r>
    </w:p>
    <w:p>
      <w:pPr>
        <w:spacing w:after="0" w:line="2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u w:val="single" w:color="auto"/>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could have the effect of making it more difficult for a third party to acquire, or of discouraging a third party from acquiring, a majority of the outstanding voting stock of our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u w:val="single" w:color="auto"/>
          <w:color w:val="auto"/>
        </w:rPr>
        <w:t>State laws and our certificate of incorporation, as amended, may inhibit potential acquisition bids that could be beneficial to our stockholders.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initial annual rent payment of $4.6 million, with periodic increases every fifth anniversary. In fiscal 2006, we realized a gain of approximately $29.3 million on the sale of this property, which was deferred and is being amortized over the initial 20 years of the related lease agreement. Accordingly, our annual current rent expense of $5.1 million is offset by $1.5 million related to the amortization of this deferred gain.</w:t>
      </w:r>
    </w:p>
    <w:p>
      <w:pPr>
        <w:spacing w:after="0" w:line="165"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As of February 1, 2014, we operated 99 Destination XL stores, 198 Casual Male XL retail stores, 52 Casual Male XL outlet stores and 10 Rochester Clothing stores. All of these stores are leased by us directly from owners of several different types of centers, including life-style centers, shopping centers, free standing buildings, outlet centers and downtown locations. The store leases are generally five to ten years in length and contain renewal options extending their terms by between 5 and 10 years. Following this discussion is a listing by state of all store locations open at February 1, 2014.</w:t>
      </w:r>
    </w:p>
    <w:p>
      <w:pPr>
        <w:spacing w:after="0" w:line="15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5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Store count by State at February 1, 2014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gridSpan w:val="4"/>
          </w:tcPr>
          <w:p>
            <w:pPr>
              <w:spacing w:after="0"/>
              <w:rPr>
                <w:sz w:val="20"/>
                <w:szCs w:val="20"/>
                <w:color w:val="auto"/>
              </w:rPr>
            </w:pPr>
            <w:r>
              <w:rPr>
                <w:rFonts w:ascii="Arial" w:cs="Arial" w:eastAsia="Arial" w:hAnsi="Arial"/>
                <w:sz w:val="16"/>
                <w:szCs w:val="16"/>
                <w:b w:val="1"/>
                <w:bCs w:val="1"/>
                <w:color w:val="auto"/>
              </w:rPr>
              <w:t>United States</w:t>
            </w:r>
          </w:p>
        </w:tc>
        <w:tc>
          <w:tcPr>
            <w:tcW w:w="7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Alabama</w:t>
            </w:r>
          </w:p>
        </w:tc>
        <w:tc>
          <w:tcPr>
            <w:tcW w:w="2800" w:type="dxa"/>
            <w:vAlign w:val="bottom"/>
            <w:tcBorders>
              <w:top w:val="single" w:sz="8" w:color="CCEEFF"/>
            </w:tcBorders>
            <w:shd w:val="clear" w:color="auto" w:fill="CCEEFF"/>
          </w:tcPr>
          <w:p>
            <w:pPr>
              <w:spacing w:after="0"/>
              <w:rPr>
                <w:sz w:val="16"/>
                <w:szCs w:val="16"/>
                <w:color w:val="auto"/>
              </w:rPr>
            </w:pPr>
          </w:p>
        </w:tc>
        <w:tc>
          <w:tcPr>
            <w:tcW w:w="74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Arizona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Arkansas</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California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Colorado</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Connecticut</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Delaware</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District of Columbia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Florida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Georgia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6"/>
                <w:szCs w:val="16"/>
                <w:color w:val="auto"/>
                <w:w w:val="99"/>
              </w:rPr>
              <w:t>Idaho</w:t>
            </w:r>
          </w:p>
        </w:tc>
        <w:tc>
          <w:tcPr>
            <w:tcW w:w="4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Illinois</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Indiana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Iowa</w:t>
            </w:r>
          </w:p>
        </w:tc>
        <w:tc>
          <w:tcPr>
            <w:tcW w:w="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Kansas</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Kentucky</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Louisiana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auto"/>
                <w:w w:val="91"/>
              </w:rPr>
              <w:t>Maine</w:t>
            </w:r>
          </w:p>
        </w:tc>
        <w:tc>
          <w:tcPr>
            <w:tcW w:w="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Maryland</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Massachusetts</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Michigan</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Minnesota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Mississippi</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Missouri</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Montana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Nebraska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Nevada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New Hampshire</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New Jersey</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New Mexico</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New York</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North Carolina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North Dakota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Ohio</w:t>
            </w:r>
          </w:p>
        </w:tc>
        <w:tc>
          <w:tcPr>
            <w:tcW w:w="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Oklahoma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Oregon</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Pennsylvania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Rhode Island</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South Carolina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South Dakota</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Tennessee</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auto"/>
                <w:w w:val="91"/>
              </w:rPr>
              <w:t>Texas</w:t>
            </w:r>
          </w:p>
        </w:tc>
        <w:tc>
          <w:tcPr>
            <w:tcW w:w="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6"/>
                <w:szCs w:val="16"/>
                <w:color w:val="auto"/>
              </w:rPr>
              <w:t>Utah</w:t>
            </w:r>
          </w:p>
        </w:tc>
        <w:tc>
          <w:tcPr>
            <w:tcW w:w="4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Vermont</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Virginia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Washington</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West Virginia</w:t>
            </w:r>
          </w:p>
        </w:tc>
        <w:tc>
          <w:tcPr>
            <w:tcW w:w="7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Wisconsin</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00" w:type="dxa"/>
            <w:vAlign w:val="bottom"/>
            <w:gridSpan w:val="2"/>
          </w:tcPr>
          <w:p>
            <w:pPr>
              <w:spacing w:after="0"/>
              <w:rPr>
                <w:sz w:val="9"/>
                <w:szCs w:val="9"/>
                <w:color w:val="auto"/>
              </w:rPr>
            </w:pPr>
          </w:p>
        </w:tc>
        <w:tc>
          <w:tcPr>
            <w:tcW w:w="280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0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International</w:t>
            </w:r>
          </w:p>
        </w:tc>
        <w:tc>
          <w:tcPr>
            <w:tcW w:w="7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London, England</w:t>
            </w:r>
          </w:p>
        </w:tc>
        <w:tc>
          <w:tcPr>
            <w:tcW w:w="7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DXL store(s) open</w:t>
            </w:r>
          </w:p>
        </w:tc>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20" w:type="dxa"/>
            <w:vAlign w:val="bottom"/>
          </w:tcPr>
          <w:p>
            <w:pPr>
              <w:jc w:val="right"/>
              <w:ind w:right="5259"/>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for trading on the NASDAQ Global Select Market under the symbol “DXLG”.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the high and low per share sales prices for the common stock, as reported on Nasdaq.</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Year Ended February 1, 2014</w:t>
            </w:r>
          </w:p>
        </w:tc>
        <w:tc>
          <w:tcPr>
            <w:tcW w:w="5900" w:type="dxa"/>
            <w:vAlign w:val="bottom"/>
          </w:tcPr>
          <w:p>
            <w:pPr>
              <w:spacing w:after="0"/>
              <w:rPr>
                <w:sz w:val="15"/>
                <w:szCs w:val="15"/>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$5.37</w:t>
            </w: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$4.10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7.06</w:t>
            </w:r>
          </w:p>
        </w:tc>
        <w:tc>
          <w:tcPr>
            <w:tcW w:w="40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7.30</w:t>
            </w:r>
          </w:p>
        </w:tc>
        <w:tc>
          <w:tcPr>
            <w:tcW w:w="4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r>
      <w:tr>
        <w:trPr>
          <w:trHeight w:val="37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Year Ended February 2, 2013</w:t>
            </w:r>
          </w:p>
        </w:tc>
        <w:tc>
          <w:tcPr>
            <w:tcW w:w="5900" w:type="dxa"/>
            <w:vAlign w:val="bottom"/>
          </w:tcPr>
          <w:p>
            <w:pPr>
              <w:spacing w:after="0"/>
              <w:rPr>
                <w:sz w:val="24"/>
                <w:szCs w:val="2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$3.69</w:t>
            </w: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4.08</w:t>
            </w:r>
          </w:p>
        </w:tc>
        <w:tc>
          <w:tcPr>
            <w:tcW w:w="4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4.75</w:t>
            </w:r>
          </w:p>
        </w:tc>
        <w:tc>
          <w:tcPr>
            <w:tcW w:w="4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March 7, 2014, based upon data provided by independent shareholder communication services and the transfer agent for our common stock, there were approximately 153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Performance Graph compares our cumulative stockholder return with that of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2009.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2967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685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Company/Index</w:t>
            </w:r>
          </w:p>
        </w:tc>
        <w:tc>
          <w:tcPr>
            <w:tcW w:w="7100" w:type="dxa"/>
            <w:vAlign w:val="bottom"/>
            <w:vMerge w:val="restart"/>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1"/>
              </w:rPr>
              <w:t>Years Ended</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 10</w:t>
            </w:r>
          </w:p>
        </w:tc>
        <w:tc>
          <w:tcPr>
            <w:tcW w:w="46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2"/>
              </w:rPr>
              <w:t>Jan 11</w:t>
            </w:r>
          </w:p>
        </w:tc>
        <w:tc>
          <w:tcPr>
            <w:tcW w:w="200" w:type="dxa"/>
            <w:vAlign w:val="bottom"/>
          </w:tcPr>
          <w:p>
            <w:pPr>
              <w:spacing w:after="0"/>
              <w:rPr>
                <w:sz w:val="12"/>
                <w:szCs w:val="12"/>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7"/>
              </w:rPr>
              <w:t>Jan 12</w:t>
            </w: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Jan 13</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Jan 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1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DXLG</w:t>
            </w: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636.84</w:t>
            </w:r>
          </w:p>
        </w:tc>
        <w:tc>
          <w:tcPr>
            <w:tcW w:w="3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47.86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(19.08)</w:t>
            </w:r>
          </w:p>
        </w:tc>
        <w:tc>
          <w:tcPr>
            <w:tcW w:w="3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37.31</w:t>
            </w:r>
          </w:p>
        </w:tc>
        <w:tc>
          <w:tcPr>
            <w:tcW w:w="2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16.96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30.03</w:t>
            </w:r>
          </w:p>
        </w:tc>
        <w:tc>
          <w:tcPr>
            <w:tcW w:w="3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18.85</w:t>
            </w:r>
          </w:p>
        </w:tc>
        <w:tc>
          <w:tcPr>
            <w:tcW w:w="9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3.13</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13.81</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DOW JONES U.S. APPAREL RETAILERS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22.34</w:t>
            </w:r>
          </w:p>
        </w:tc>
        <w:tc>
          <w:tcPr>
            <w:tcW w:w="9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17.51</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23.42</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376"/>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Indexed Returns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Company/Index</w:t>
            </w:r>
          </w:p>
        </w:tc>
        <w:tc>
          <w:tcPr>
            <w:tcW w:w="6400" w:type="dxa"/>
            <w:vAlign w:val="bottom"/>
            <w:vMerge w:val="restart"/>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Base Period</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vMerge w:val="continue"/>
          </w:tcPr>
          <w:p>
            <w:pPr>
              <w:spacing w:after="0"/>
              <w:rPr>
                <w:sz w:val="12"/>
                <w:szCs w:val="12"/>
                <w:color w:val="auto"/>
              </w:rPr>
            </w:pPr>
          </w:p>
        </w:tc>
        <w:tc>
          <w:tcPr>
            <w:tcW w:w="6400" w:type="dxa"/>
            <w:vAlign w:val="bottom"/>
            <w:vMerge w:val="continue"/>
          </w:tcPr>
          <w:p>
            <w:pPr>
              <w:spacing w:after="0"/>
              <w:rPr>
                <w:sz w:val="12"/>
                <w:szCs w:val="12"/>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Jan 09</w:t>
            </w:r>
          </w:p>
        </w:tc>
        <w:tc>
          <w:tcPr>
            <w:tcW w:w="6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Jan 10</w:t>
            </w:r>
          </w:p>
        </w:tc>
        <w:tc>
          <w:tcPr>
            <w:tcW w:w="7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Jan 11</w:t>
            </w:r>
          </w:p>
        </w:tc>
        <w:tc>
          <w:tcPr>
            <w:tcW w:w="6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Jan 12</w:t>
            </w: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Jan 13</w:t>
            </w:r>
          </w:p>
        </w:tc>
        <w:tc>
          <w:tcPr>
            <w:tcW w:w="58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Jan 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4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DXLG</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736.84</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1089.47</w:t>
            </w: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881.58</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1210.53</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1415.79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130.03</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154.54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159.39</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181.40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DOW JONES U.S. APPAREL RETAILERS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186.83</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228.58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268.60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331.50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February 1, 2014 and should be read in conjunction with “Management’s Discussion and Analysis of Financial Condition and Results of Operations” and our accompanying Consolidated Financial Statements and Notes thereto.</w:t>
      </w:r>
    </w:p>
    <w:p>
      <w:pPr>
        <w:spacing w:after="0" w:line="140"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We derived the selected financial data presented below for the periods or dates indicated from our consolidated financial statements. Our consolidated financial statements as of and for the year ended February 1, 2014 were audited by KPMG LLP, an independent registered public accounting firm. Our consolidated financial statements as of and for the years ended February 2, 2013, January 28, 2012, January 29, 2011 and January 30, 2010 were audited by Ernst &amp; Young LLP, an independent registered public accounting firm. Our consolidated financial statements as of and for the years ended February 1, 2014, February 2, 2013 and January 28, 2012 are included herein.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 xml:space="preserve">Fiscal Years Ended </w:t>
            </w:r>
            <w:r>
              <w:rPr>
                <w:rFonts w:ascii="Arial" w:cs="Arial" w:eastAsia="Arial" w:hAnsi="Arial"/>
                <w:sz w:val="22"/>
                <w:szCs w:val="22"/>
                <w:b w:val="1"/>
                <w:bCs w:val="1"/>
                <w:color w:val="auto"/>
                <w:w w:val="91"/>
                <w:vertAlign w:val="superscript"/>
              </w:rPr>
              <w:t>(1)(2)</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6"/>
              </w:rPr>
              <w:t>February</w:t>
            </w:r>
          </w:p>
        </w:tc>
        <w:tc>
          <w:tcPr>
            <w:tcW w:w="26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w:t>
            </w:r>
          </w:p>
        </w:tc>
        <w:tc>
          <w:tcPr>
            <w:tcW w:w="50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w:t>
            </w:r>
          </w:p>
        </w:tc>
        <w:tc>
          <w:tcPr>
            <w:tcW w:w="1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w:t>
            </w:r>
          </w:p>
        </w:tc>
        <w:tc>
          <w:tcPr>
            <w:tcW w:w="26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3"/>
              </w:rPr>
              <w:t>January</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5"/>
              </w:rPr>
              <w:t>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2,</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1"/>
              </w:rPr>
              <w:t>28,</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1"/>
              </w:rPr>
              <w:t>29,</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1"/>
              </w:rPr>
              <w:t>30,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3"/>
              </w:rPr>
              <w:t>2014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and operating data)</w:t>
            </w:r>
          </w:p>
        </w:tc>
        <w:tc>
          <w:tcPr>
            <w:tcW w:w="760" w:type="dxa"/>
            <w:vAlign w:val="bottom"/>
          </w:tcPr>
          <w:p>
            <w:pPr>
              <w:spacing w:after="0"/>
              <w:rPr>
                <w:sz w:val="12"/>
                <w:szCs w:val="12"/>
                <w:color w:val="auto"/>
              </w:rPr>
            </w:pPr>
          </w:p>
        </w:tc>
        <w:tc>
          <w:tcPr>
            <w:tcW w:w="10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(Fiscal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(Fiscal</w:t>
            </w:r>
          </w:p>
        </w:tc>
        <w:tc>
          <w:tcPr>
            <w:tcW w:w="500" w:type="dxa"/>
            <w:vAlign w:val="bottom"/>
          </w:tcPr>
          <w:p>
            <w:pPr>
              <w:spacing w:after="0"/>
              <w:rPr>
                <w:sz w:val="12"/>
                <w:szCs w:val="12"/>
                <w:color w:val="auto"/>
              </w:rPr>
            </w:pPr>
          </w:p>
        </w:tc>
        <w:tc>
          <w:tcPr>
            <w:tcW w:w="106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(Fiscal</w:t>
            </w:r>
          </w:p>
        </w:tc>
        <w:tc>
          <w:tcPr>
            <w:tcW w:w="160" w:type="dxa"/>
            <w:vAlign w:val="bottom"/>
          </w:tcPr>
          <w:p>
            <w:pPr>
              <w:spacing w:after="0"/>
              <w:rPr>
                <w:sz w:val="12"/>
                <w:szCs w:val="12"/>
                <w:color w:val="auto"/>
              </w:rPr>
            </w:pPr>
          </w:p>
        </w:tc>
        <w:tc>
          <w:tcPr>
            <w:tcW w:w="9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(Fiscal</w:t>
            </w:r>
          </w:p>
        </w:tc>
        <w:tc>
          <w:tcPr>
            <w:tcW w:w="260" w:type="dxa"/>
            <w:vAlign w:val="bottom"/>
          </w:tcPr>
          <w:p>
            <w:pPr>
              <w:spacing w:after="0"/>
              <w:rPr>
                <w:sz w:val="12"/>
                <w:szCs w:val="12"/>
                <w:color w:val="auto"/>
              </w:rPr>
            </w:pPr>
          </w:p>
        </w:tc>
        <w:tc>
          <w:tcPr>
            <w:tcW w:w="7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(Fiscal</w:t>
            </w:r>
          </w:p>
        </w:tc>
        <w:tc>
          <w:tcPr>
            <w:tcW w:w="0" w:type="dxa"/>
            <w:vAlign w:val="bottom"/>
          </w:tcPr>
          <w:p>
            <w:pPr>
              <w:spacing w:after="0"/>
              <w:rPr>
                <w:sz w:val="1"/>
                <w:szCs w:val="1"/>
                <w:color w:val="auto"/>
              </w:rPr>
            </w:pPr>
          </w:p>
        </w:tc>
      </w:tr>
      <w:tr>
        <w:trPr>
          <w:trHeight w:val="168"/>
        </w:trPr>
        <w:tc>
          <w:tcPr>
            <w:tcW w:w="4940" w:type="dxa"/>
            <w:vAlign w:val="bottom"/>
            <w:gridSpan w:val="3"/>
            <w:vMerge w:val="continue"/>
          </w:tcPr>
          <w:p>
            <w:pPr>
              <w:spacing w:after="0"/>
              <w:rPr>
                <w:sz w:val="14"/>
                <w:szCs w:val="14"/>
                <w:color w:val="auto"/>
              </w:rPr>
            </w:pPr>
          </w:p>
        </w:tc>
        <w:tc>
          <w:tcPr>
            <w:tcW w:w="1340" w:type="dxa"/>
            <w:vAlign w:val="bottom"/>
            <w:gridSpan w:val="3"/>
          </w:tcPr>
          <w:p>
            <w:pPr>
              <w:jc w:val="center"/>
              <w:ind w:left="674"/>
              <w:spacing w:after="0" w:line="148" w:lineRule="exact"/>
              <w:rPr>
                <w:sz w:val="20"/>
                <w:szCs w:val="20"/>
                <w:color w:val="auto"/>
              </w:rPr>
            </w:pPr>
            <w:r>
              <w:rPr>
                <w:rFonts w:ascii="Arial" w:cs="Arial" w:eastAsia="Arial" w:hAnsi="Arial"/>
                <w:sz w:val="14"/>
                <w:szCs w:val="14"/>
                <w:b w:val="1"/>
                <w:bCs w:val="1"/>
                <w:color w:val="auto"/>
                <w:w w:val="83"/>
              </w:rPr>
              <w:t>2013)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34"/>
              <w:spacing w:after="0" w:line="148"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INCOME STATEMENT DATA:</w:t>
            </w:r>
          </w:p>
        </w:tc>
        <w:tc>
          <w:tcPr>
            <w:tcW w:w="1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Sales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388.0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399.6</w:t>
            </w:r>
          </w:p>
        </w:tc>
        <w:tc>
          <w:tcPr>
            <w:tcW w:w="1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395.9</w:t>
            </w:r>
          </w:p>
        </w:tc>
        <w:tc>
          <w:tcPr>
            <w:tcW w:w="5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392.0</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178.4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170.7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w:t>
            </w:r>
            <w:r>
              <w:rPr>
                <w:rFonts w:ascii="Arial" w:cs="Arial" w:eastAsia="Arial" w:hAnsi="Arial"/>
                <w:sz w:val="11"/>
                <w:szCs w:val="11"/>
                <w:color w:val="auto"/>
              </w:rPr>
              <w:t>(3)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 before impairment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trademark impairment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r>
              <w:rPr>
                <w:rFonts w:ascii="Arial" w:cs="Arial" w:eastAsia="Arial" w:hAnsi="Arial"/>
                <w:sz w:val="11"/>
                <w:szCs w:val="11"/>
                <w:color w:val="auto"/>
              </w:rPr>
              <w:t>(4)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(50.1)</w:t>
            </w:r>
            <w:r>
              <w:rPr>
                <w:rFonts w:ascii="Arial" w:cs="Arial" w:eastAsia="Arial" w:hAnsi="Arial"/>
                <w:sz w:val="11"/>
                <w:szCs w:val="11"/>
                <w:color w:val="auto"/>
                <w:w w:val="95"/>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line="216" w:lineRule="exact"/>
              <w:rPr>
                <w:sz w:val="20"/>
                <w:szCs w:val="20"/>
                <w:color w:val="auto"/>
              </w:rPr>
            </w:pPr>
            <w:r>
              <w:rPr>
                <w:rFonts w:ascii="Arial" w:cs="Arial" w:eastAsia="Arial" w:hAnsi="Arial"/>
                <w:sz w:val="25"/>
                <w:szCs w:val="25"/>
                <w:color w:val="auto"/>
                <w:vertAlign w:val="subscript"/>
              </w:rPr>
              <w:t>0.7</w:t>
            </w:r>
            <w:r>
              <w:rPr>
                <w:rFonts w:ascii="Arial" w:cs="Arial" w:eastAsia="Arial" w:hAnsi="Arial"/>
                <w:sz w:val="10"/>
                <w:szCs w:val="10"/>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(59.8)</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44.8</w:t>
            </w:r>
          </w:p>
        </w:tc>
        <w:tc>
          <w:tcPr>
            <w:tcW w:w="5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90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(59.8)</w:t>
            </w:r>
          </w:p>
        </w:tc>
        <w:tc>
          <w:tcPr>
            <w:tcW w:w="340" w:type="dxa"/>
            <w:vAlign w:val="bottom"/>
            <w:gridSpan w:val="2"/>
          </w:tcPr>
          <w:p>
            <w:pPr>
              <w:ind w:left="260"/>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5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per share—diluted</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4"/>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900" w:type="dxa"/>
            <w:vAlign w:val="bottom"/>
            <w:gridSpan w:val="2"/>
          </w:tcPr>
          <w:p>
            <w:pPr>
              <w:ind w:left="760"/>
              <w:spacing w:after="0"/>
              <w:rPr>
                <w:sz w:val="20"/>
                <w:szCs w:val="20"/>
                <w:color w:val="auto"/>
              </w:rPr>
            </w:pPr>
            <w:r>
              <w:rPr>
                <w:rFonts w:ascii="Arial" w:cs="Arial" w:eastAsia="Arial" w:hAnsi="Arial"/>
                <w:sz w:val="18"/>
                <w:szCs w:val="18"/>
                <w:b w:val="1"/>
                <w:bCs w:val="1"/>
                <w:color w:val="auto"/>
                <w:w w:val="74"/>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1.23)</w:t>
            </w:r>
          </w:p>
        </w:tc>
        <w:tc>
          <w:tcPr>
            <w:tcW w:w="340" w:type="dxa"/>
            <w:vAlign w:val="bottom"/>
            <w:gridSpan w:val="2"/>
          </w:tcPr>
          <w:p>
            <w:pPr>
              <w:ind w:left="260"/>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60" w:type="dxa"/>
            <w:vAlign w:val="bottom"/>
          </w:tcPr>
          <w:p>
            <w:pPr>
              <w:spacing w:after="0"/>
              <w:rPr>
                <w:sz w:val="19"/>
                <w:szCs w:val="19"/>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54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4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87.2</w:t>
            </w:r>
          </w:p>
        </w:tc>
        <w:tc>
          <w:tcPr>
            <w:tcW w:w="5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71.6</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102.9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237.4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Long term debt, net of current portion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322"/>
        </w:trPr>
        <w:tc>
          <w:tcPr>
            <w:tcW w:w="4940" w:type="dxa"/>
            <w:vAlign w:val="bottom"/>
            <w:gridSpan w:val="3"/>
          </w:tcPr>
          <w:p>
            <w:pPr>
              <w:spacing w:after="0"/>
              <w:rPr>
                <w:sz w:val="20"/>
                <w:szCs w:val="20"/>
                <w:color w:val="auto"/>
              </w:rPr>
            </w:pPr>
            <w:r>
              <w:rPr>
                <w:rFonts w:ascii="Arial" w:cs="Arial" w:eastAsia="Arial" w:hAnsi="Arial"/>
                <w:sz w:val="18"/>
                <w:szCs w:val="18"/>
                <w:color w:val="auto"/>
              </w:rPr>
              <w:t>Cash flow provided by operating activities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24.9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24"/>
                <w:szCs w:val="24"/>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54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1"/>
                <w:szCs w:val="11"/>
                <w:color w:val="auto"/>
              </w:rPr>
              <w:t>(7)</w:t>
            </w: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40" w:type="dxa"/>
            <w:vAlign w:val="bottom"/>
            <w:gridSpan w:val="3"/>
            <w:vMerge w:val="continue"/>
          </w:tcPr>
          <w:p>
            <w:pPr>
              <w:spacing w:after="0"/>
              <w:rPr>
                <w:sz w:val="19"/>
                <w:szCs w:val="19"/>
                <w:color w:val="auto"/>
              </w:rPr>
            </w:pP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(29.2)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Comparable sales percentage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margins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 before impairment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Net sales per square foot</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174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5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fiscal year end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9"/>
              </w:rPr>
              <w:t>28</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fiscal year is a 52- or 53-week period ending on the Saturday closest to January 31. Except for fiscal 2012 which was a 53-week period, all fiscal years were 52 weeks.</w:t>
      </w:r>
    </w:p>
    <w:p>
      <w:pPr>
        <w:ind w:left="460" w:right="2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second quarter of fiscal 2012, we discontinued our European web business. Accordingly, certain prior year amounts in the Income Statement Data have been reclassified to discontinued operations to conform to the current year presentation.</w:t>
      </w:r>
    </w:p>
    <w:p>
      <w:pPr>
        <w:ind w:left="460" w:right="44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fourth quarter of fiscal 2013, we recorded an impairment charge of $1.5 million for the write-down of property and equipment. The impairment charge related to stores where the carrying value exceeded fair value. See Note A to the Notes to the Consolidated Financial Statements.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fiscal 2013, we recorded a non-cash charge of $51.3 million to establish a full valuation allowance against our deferred tax assets. In the fourth quarter of fiscal 2011, we recognized an income tax benefit of $42.5 million related to the reversal of substantially all of our deferred tax valuation allowance; see Note D to the Notes to the Consolidated Financial Statements.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fourth quarter of fiscal 2011, we recorded a partial non-cash impairment charge of our “Casual Male” trademark of $23.1 million. This impairment was due to our strategic decision to expand our DXL store concept. As we open new DXL stores, we continue to close our existing Casual Male XL stores or potentially convert them to a DXL store, resulting in a reduced projected revenue stream to support the “Casual Male” tradename. At the end of fiscal 2011, the carrying value of the “Casual Male” trademark was $6.1 million. The remaining balance at February 1, 2014 is $2.5 million. The “Rochester” trademark, with a carrying value of $1.5 million, was not impaired and remains an indefinite-lived asset.</w:t>
      </w:r>
    </w:p>
    <w:p>
      <w:pPr>
        <w:spacing w:after="0" w:line="3"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third quarter of fiscal 2010, we recognized a tax benefit of $0.8 million, or $0.02 per diluted share, as a result of the reduction in our liability for uncertain tax positions, due to the expiration of certain statutes of limitation.</w:t>
      </w:r>
    </w:p>
    <w:p>
      <w:pPr>
        <w:ind w:left="460" w:right="40" w:hanging="452"/>
        <w:spacing w:after="0" w:line="290"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Free cash flow is considered a non-GAAP financial measure under SEC regulations. We present this measure as supplemental information to help investors better understand trends in our business results over time. We use free cash flow to evaluate the performance of our business. Free cash flow is not equivalent to any measure of performance required to be reported under GAAP, nor should this data be considered an indicator of our overall financial performance or liquidity. Moreover, the free cash flow definition we use may not be comparable to similarly titled measurer used by other companies. We calculate free cash flows as cash flow from operating activities, less capital expenditures and discretionary store asset acquisitions. There were no discretionary store asset acquisitions for any fiscal year include in the above table.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w:t>
      </w:r>
    </w:p>
    <w:p>
      <w:pPr>
        <w:spacing w:after="0" w:line="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Financial Summary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fiscal 2013, we reported a net loss of $59.8 million, or $(1.23) per diluted share, as compared to net income of $6.1 million, or $0.13 per diluted share, in fiscal 2012. The comparability of our operating results for fiscal 2013 has been affected by an incremental non-cash charge of $51.3 million to establish a valuation allowance against our deferred tax assets, an asset impairment charge of $1.5 million and approximately $2.3 million in executive severance costs, which were accrued at the end of fiscal 2013. On a non-GAAP basis, our adjusted net loss was $6.2 million, or $(0.13) per diluted share. See “Presentation of Non-GAAP Measures” below for a reconciliation of GAAP net loss to non-GAAP adjusted net loss. The following table shows GAAP net loss per diluted share for fiscal 2013 and Non-GAAP adjusted net loss per diluted share for fiscal 2013, with a comparison to GAAP net income for fiscal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Fiscal 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Fiscal 2013</w:t>
            </w:r>
          </w:p>
        </w:tc>
        <w:tc>
          <w:tcPr>
            <w:tcW w:w="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(GAAP)</w:t>
            </w:r>
          </w:p>
        </w:tc>
        <w:tc>
          <w:tcPr>
            <w:tcW w:w="320" w:type="dxa"/>
            <w:vAlign w:val="bottom"/>
          </w:tcPr>
          <w:p>
            <w:pPr>
              <w:spacing w:after="0"/>
              <w:rPr>
                <w:sz w:val="15"/>
                <w:szCs w:val="15"/>
                <w:color w:val="auto"/>
              </w:rPr>
            </w:pPr>
          </w:p>
        </w:tc>
        <w:tc>
          <w:tcPr>
            <w:tcW w:w="13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(Non-GAAP) </w:t>
            </w:r>
            <w:r>
              <w:rPr>
                <w:rFonts w:ascii="Arial" w:cs="Arial" w:eastAsia="Arial" w:hAnsi="Arial"/>
                <w:sz w:val="20"/>
                <w:szCs w:val="20"/>
                <w:b w:val="1"/>
                <w:bCs w:val="1"/>
                <w:color w:val="auto"/>
                <w:vertAlign w:val="superscript"/>
              </w:rPr>
              <w:t>(1)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3"/>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(1.23)</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2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EPS has been adjusted to exclude $2.3 million of executive severance costs, an asset impairment charge of $1.5 million and an incremental non-cash charge of $51.3 million for the establishment of the valuation allowance. For comparative purposes, an assumed normal tax rate of 40.2% was used. See “Presentation of Non-GAAP Measures.”</w:t>
      </w:r>
    </w:p>
    <w:p>
      <w:pPr>
        <w:spacing w:after="0" w:line="140"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This decrease in earnings, before consideration of the valuation allowance, asset impairments and executive severance costs, is primarily attributable to lower than expected sales. While our results for fiscal 2013 include approximately $23.2 million, or $0.29 per diluted share, in transition costs and incremental marketing to support our DXL roll-out, we expected that an increase in sales volume, driven by our store growth, would offset the majority of these costs.</w:t>
      </w:r>
    </w:p>
    <w:p>
      <w:pPr>
        <w:spacing w:after="0" w:line="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While we had a comparable sales increase of 3.0% for fiscal 2013, which was principally driven by an increase of 19.3% from our DXL stores and an increase in our e-commerce business of 4.2%, total sales were below expectations. During fiscal 2013, we opened 51 DXL stores bringing our total DXL store portfolio to 99 stores. We believe fiscal 2013 was critical in developing a better understanding of our DXL performance as we now have 48 DXL stores operating in most major metropolitan markets that have been open for at least one year. When we began our three year conversion of Casual Male XL stores to DXL stores at the end of fiscal 2012, we had only 16 DXL stores open for at least one year upon which we developed our performance expectations. In fiscal 2013, we identified some emerging trends that were different from the trends we had experienced with the opening of the initial 16 DXL stores. In summary:</w:t>
      </w:r>
    </w:p>
    <w:p>
      <w:pPr>
        <w:spacing w:after="0" w:line="39" w:lineRule="exact"/>
        <w:rPr>
          <w:sz w:val="20"/>
          <w:szCs w:val="20"/>
          <w:color w:val="auto"/>
        </w:rPr>
      </w:pPr>
    </w:p>
    <w:p>
      <w:pPr>
        <w:ind w:left="780" w:right="22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existing customer base has been slow to convert to our DXL stores. We believe this is partly due to the lack of name recognition with the DXL store. Our marketing program is helping to improve our brand recognition, but our original forecasts assumed a faster conversion pace than what we have experienced so far.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60" w:hanging="326"/>
        <w:spacing w:after="0" w:line="25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launched our first brand awareness campaign in fiscal 2013 through television, radio, and digital mediums. Although our brand awareness increased from 13% pre-campaign to 25% post-campaign, the awareness has not had the immediate impact on traffic that we expected. However, we have implemented several marketing initiatives, specific to our existing customer base, which we believe will reverse this trend and, not only protect, but grow our customer base.</w:t>
      </w:r>
    </w:p>
    <w:p>
      <w:pPr>
        <w:spacing w:after="0" w:line="62"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initially believed that the optimal size for DXL store was 10,000 – 12,000 square feet. In many markets, we now believe the optimal size to be 7,000 – 9,000 square feet. In certain smaller markets, we believe a DXL store can succeed with only 5,000 square feet and we will be opening a limited number of the smaller format DXL store in fiscal 2014.</w:t>
      </w:r>
    </w:p>
    <w:p>
      <w:pPr>
        <w:spacing w:after="0" w:line="59" w:lineRule="exact"/>
        <w:rPr>
          <w:rFonts w:ascii="Arial" w:cs="Arial" w:eastAsia="Arial" w:hAnsi="Arial"/>
          <w:sz w:val="18"/>
          <w:szCs w:val="18"/>
          <w:color w:val="auto"/>
        </w:rPr>
      </w:pPr>
    </w:p>
    <w:p>
      <w:pPr>
        <w:ind w:left="780" w:right="100" w:hanging="326"/>
        <w:spacing w:after="0" w:line="306"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Early in our conversion to DXL, we identified erosion from our Casual Male XL stores that were in close proximity to our DXL stores. In response to that erosion, our strategy was to close the Casual Male XL stores as soon as possible. With a larger sample of DXL stores to observe, we now realize that many Casual Male XL stores are maintaining acceptable sales and profitability levels despite a near proximity to a DXL store.</w:t>
      </w:r>
    </w:p>
    <w:p>
      <w:pPr>
        <w:spacing w:after="0" w:line="25" w:lineRule="exact"/>
        <w:rPr>
          <w:rFonts w:ascii="Arial" w:cs="Arial" w:eastAsia="Arial" w:hAnsi="Arial"/>
          <w:sz w:val="16"/>
          <w:szCs w:val="16"/>
          <w:color w:val="auto"/>
        </w:rPr>
      </w:pPr>
    </w:p>
    <w:p>
      <w:pPr>
        <w:ind w:left="780" w:right="160" w:hanging="326"/>
        <w:spacing w:after="0" w:line="25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incurred delays in opening our DXL stores. We had initially planned on opening 57-64 locations during fiscal 2013 but opened only 51 locations. We also closed 102 Casual Male XL and 2 Rochester Clothing stores primarily based on store lease terminations and which were not timed to coordinate precisely with a DXL store opening. Accordingly, because the associated DXL store may not have opened on schedule we had periods of lost sales in certain markets.</w:t>
      </w:r>
    </w:p>
    <w:p>
      <w:pPr>
        <w:spacing w:after="0" w:line="62"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51 DXL stores opened in fiscal 2013, 25 DXL stores were opened in the fourth quarter. Therefore, there was limited sales volume to offset the startup costs of a new store.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discontinued our catalog business, which resulted in a decrease in sales of approximately $5.1 million in fiscal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While we did not meet our sales objectives for fiscal 2013, there were many positive results:</w:t>
      </w:r>
    </w:p>
    <w:p>
      <w:pPr>
        <w:spacing w:after="0" w:line="90" w:lineRule="exact"/>
        <w:rPr>
          <w:sz w:val="20"/>
          <w:szCs w:val="20"/>
          <w:color w:val="auto"/>
        </w:rPr>
      </w:pPr>
    </w:p>
    <w:p>
      <w:pPr>
        <w:ind w:left="780" w:right="36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99 DXL stores opened at February 1, 2014, 48 of them have been open for more than one year and had a comparable store sales increase of 12.3%.</w:t>
      </w:r>
    </w:p>
    <w:p>
      <w:pPr>
        <w:spacing w:after="0" w:line="5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internet business, which was negatively impacted during the first half of the year by the discontinuation of the catalog business, increased 6.1% in the fourth quarter of fiscal 2013. We have intensified our digital marketing efforts which include emails, web searches, internet banners, and affiliate sites.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dollars per transactions in our DXL stores increased 19.0%, showing that our customers like the DXL format, with the broad selection and name brands that we offer.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result of our marketing campaign, we increased our DXL brand awareness from 13% at the beginning of the fiscal year to 25% by fall 2013.</w:t>
      </w:r>
    </w:p>
    <w:p>
      <w:pPr>
        <w:spacing w:after="0" w:line="113" w:lineRule="exact"/>
        <w:rPr>
          <w:rFonts w:ascii="Arial" w:cs="Arial" w:eastAsia="Arial" w:hAnsi="Arial"/>
          <w:sz w:val="16"/>
          <w:szCs w:val="16"/>
          <w:color w:val="auto"/>
        </w:rPr>
      </w:pPr>
    </w:p>
    <w:p>
      <w:pPr>
        <w:ind w:left="780" w:right="4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Despite the highly promotional retail environment, we continued to improve upon our merchandise margins, which increased 60 basis points over fiscal 2012.</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Based on the results through fiscal 2013, we remain very confident in our DXL strategy. Fiscal 2013 was a significant transitional year for us. The process of opening a significant number of new stores, while at the same time liquidating twice as many legacy stores, can be challenging. Despite some of our misses in fiscal 2013, we are confident that we can improve upon our roll-out strategy as we move into fiscal 2014. Our plan was to complete the transition by the end of fiscal 2015, with 215 to 230 DXL stores opened and substantially all of our Casual Male XL stores closed. We are taking a more measured approach going forward and for fiscal 2014 we plan to open only 40 DXL stores and close 38 Casual Male XL and 2 Rochester clothing stores and we currently do not plan on our transition being complete until fiscal 2017. At which time, we expect our transition will be complete with approximately 250 DXL stores by the end of fiscal 2017. See “</w:t>
      </w:r>
      <w:r>
        <w:rPr>
          <w:rFonts w:ascii="Arial" w:cs="Arial" w:eastAsia="Arial" w:hAnsi="Arial"/>
          <w:sz w:val="16"/>
          <w:szCs w:val="16"/>
          <w:i w:val="1"/>
          <w:iCs w:val="1"/>
          <w:color w:val="auto"/>
        </w:rPr>
        <w:t>Fiscal 2014 Outlook</w:t>
      </w:r>
      <w:r>
        <w:rPr>
          <w:rFonts w:ascii="Arial" w:cs="Arial" w:eastAsia="Arial" w:hAnsi="Arial"/>
          <w:sz w:val="16"/>
          <w:szCs w:val="16"/>
          <w:color w:val="auto"/>
        </w:rPr>
        <w:t>”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From a liquidity perspective, during the second half of fiscal 2013, we financed approximately $17.5 million of capital expenditures through equipment financing loans. At February 1, 2014, we had outstanding long-term debt, from these equipment financings, of $16.7 million and borrowing under our credit facility of $9.0 million. Our availability under our credit facility at February 1, 2014 was $75.5 million. Our inventory levels, on a dollar basis, have increased slightly, but on a unit basis, our inventory has decreased 6.9% on increased square footage.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2014 Outlook</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Fiscal 2014 will be another important year in our plan to transform our store base to DXL. A complete discussion of this business strategy and our long-term projections is discussed directly above as well as under “Item 1. Business – Business Strategy.”</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fiscal 2014, we are planning on a sales range of $405.0 to $410.0 million. We expect our gross margin rate to increase 20-90 basis points from fiscal 2013, which is based on merchandise margins improving by approximately 0 to 40 basis points and a favorable decrease in occupancy costs as a percentage of sales of 20-50 basis points. SG&amp;A costs are planned to increase by approximately $4.3 to $6.0 million, primarily related to an increase in operating costs associated with a greater number of DXL stores versus Casual Male XL stores, including pre-opening costs and payroll (both store and support). As a percentage of sales, however, SG&amp;A expenses are expected to decrease by approximately 75 to 90 basis points.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mentioned above, we plan to open approximately 40 DXL stores and close 38 Casual Male XL retail stores and 2 Rochester Clothing stores. Even with the additional SG&amp;A costs highlighted above, we expect our operating margin as a percent of sales for fiscal 2014 will improve slightly to (2.0)-(2.8)%. As a result, however, our earnings for fiscal 2014 will be a loss of approximately $(0.21)-$(0.27) per diluted share. We expect to continue providing a full valuation allowance against our deferred tax assets, therefore, we will not recognize any income tax benefit in fiscal 2014. For comparative purposes, assuming a normal tax benefit of approximately 40%, our loss for fiscal 2014, on a non-GAAP basis, would be approximately $(0.12)-$(0.16) per diluted share. This non-GAAP net loss was calculated by taking the 2014 forecasted net loss of $(0.21)-$(0.27) and multiplying each by 40% to calculate an estimated income tax benefit of $0.09-$0.11 per diluted share, resulting in an adjusted non-GAAP net loss of $(0.12)-$(0.16) per diluted share.</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expect to spend approximately $45.7 million in capital expenditures in fiscal 2014, which will be partially offset by approximately $9.3 million in tenant allowances, primarily related to opening our DXL stores. We expect to fund the remainder of our capital expenditures primarily from our operating cash flow and through equipment financing notes as well as our credit facility. At the end of fiscal 2014, we expect to have total debt of approximately $50.0-$55.0 million, consisting of $20.0 million from equipment financing notes with the balance from our credit facility. From a liquidity perspective, we expect cash flow from operating activities of $22.5 million (including the $9.3 million of tenant allowances), resulting in free cash flow (as defined below under “Presentation of Non-GAAP Measures”) of approximately $(23.2)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Economic Conditions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performance is subject to macroeconomic conditions and their impact on levels of consumer spending. The challenging state of the economy continues to influence the level of consumer spending for discretionary items. This directly impacts our business, as it is highly dependent on consumer demand. Some of the factors negatively impacting discretionary consumer spending include general economic conditions, wages and high unemployment, increased taxation, high consumer debt, reductions in net worth based on severe market declines (such as in certain residential real estate markets which have not recovered), higher fuel, energy and other prices, increasing interest rates, severe weather conditions and low consumer confidence. In addition, any significant volatility in our financial markets, as has been experienced in the past, could also negatively impact the levels of future discretionary consumer spending. Generally, we experienced lower and inconsistent customer traffic and spending patterns during the better part of fiscal 2013. See “Item 1A, Risk Factors” for a complete discussion.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Presentation of Non-GAAP Measures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Net Loss Per Diluted Share -Non-GAAP</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presentation of non-GAAP “adjusted net loss” and “adjusted net loss per diluted share” are not measures determined by generally accepted accounting principles (“GAAP”) and should not be considered superior to or as a substitute for income from continuing operations or earnings per diluted share in accordance with GAAP. We believe that the inclusion of these non-GAAP measures is important to assist investors in comparing fiscal 2013 results to our previous guidance as well as to fiscal 2012 on a comparable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net loss on a GAAP-basis to adjusted net loss (non-GAAP) for fiscal 2013:</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GAAP TO NON-GAAP RECONCILIATION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540" w:type="dxa"/>
            <w:vAlign w:val="bottom"/>
          </w:tcPr>
          <w:p>
            <w:pPr>
              <w:spacing w:after="0"/>
              <w:rPr>
                <w:sz w:val="12"/>
                <w:szCs w:val="12"/>
                <w:color w:val="auto"/>
              </w:rPr>
            </w:pPr>
          </w:p>
        </w:tc>
        <w:tc>
          <w:tcPr>
            <w:tcW w:w="4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Per diluted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5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GAAP basis</w:t>
            </w:r>
          </w:p>
        </w:tc>
        <w:tc>
          <w:tcPr>
            <w:tcW w:w="568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$(59.8)</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Add back:</w:t>
            </w: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severance accrual of $2.3 million, less income tax at 40.2% of $0.9 million</w:t>
            </w:r>
          </w:p>
        </w:tc>
        <w:tc>
          <w:tcPr>
            <w:tcW w:w="2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Asset impairments of $1.5 million, less tax at 40.2% of $0.6 million</w:t>
            </w:r>
          </w:p>
        </w:tc>
        <w:tc>
          <w:tcPr>
            <w:tcW w:w="2200" w:type="dxa"/>
            <w:vAlign w:val="bottom"/>
            <w:gridSpan w:val="3"/>
          </w:tcPr>
          <w:p>
            <w:pPr>
              <w:jc w:val="right"/>
              <w:ind w:right="180"/>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to establish full valuation allowance</w:t>
            </w:r>
          </w:p>
        </w:tc>
        <w:tc>
          <w:tcPr>
            <w:tcW w:w="2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51.3</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Adjusted net loss, non-GAAP basis</w:t>
            </w:r>
          </w:p>
        </w:tc>
        <w:tc>
          <w:tcPr>
            <w:tcW w:w="15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(6.2)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1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Free Cash Flow—Non-GAAP</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believe that inclusion of this non-GAAP measure helps investors gain a better understanding of our performance, especially when comparing such results to previous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calculate free cash flows as cash flow provided by operating activities less capital expenditures and discretionary store asset acquisitions, if applicable: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4"/>
              </w:rPr>
              <w:t>Projected Cash Flow</w:t>
            </w:r>
          </w:p>
        </w:tc>
        <w:tc>
          <w:tcPr>
            <w:tcW w:w="0" w:type="dxa"/>
            <w:vAlign w:val="bottom"/>
          </w:tcPr>
          <w:p>
            <w:pPr>
              <w:spacing w:after="0"/>
              <w:rPr>
                <w:sz w:val="1"/>
                <w:szCs w:val="1"/>
                <w:color w:val="auto"/>
              </w:rPr>
            </w:pPr>
          </w:p>
        </w:tc>
      </w:tr>
      <w:tr>
        <w:trPr>
          <w:trHeight w:val="159"/>
        </w:trPr>
        <w:tc>
          <w:tcPr>
            <w:tcW w:w="716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1100" w:type="dxa"/>
            <w:vAlign w:val="bottom"/>
            <w:gridSpan w:val="3"/>
          </w:tcPr>
          <w:p>
            <w:pPr>
              <w:spacing w:after="0" w:line="159" w:lineRule="exact"/>
              <w:rPr>
                <w:sz w:val="20"/>
                <w:szCs w:val="20"/>
                <w:color w:val="auto"/>
              </w:rPr>
            </w:pPr>
            <w:r>
              <w:rPr>
                <w:rFonts w:ascii="Arial" w:cs="Arial" w:eastAsia="Arial" w:hAnsi="Arial"/>
                <w:sz w:val="14"/>
                <w:szCs w:val="14"/>
                <w:color w:val="auto"/>
              </w:rPr>
              <w:t>Fiscal 2013</w:t>
            </w:r>
          </w:p>
        </w:tc>
        <w:tc>
          <w:tcPr>
            <w:tcW w:w="400" w:type="dxa"/>
            <w:vAlign w:val="bottom"/>
          </w:tcPr>
          <w:p>
            <w:pPr>
              <w:spacing w:after="0"/>
              <w:rPr>
                <w:sz w:val="13"/>
                <w:szCs w:val="13"/>
                <w:color w:val="auto"/>
              </w:rPr>
            </w:pPr>
          </w:p>
        </w:tc>
        <w:tc>
          <w:tcPr>
            <w:tcW w:w="1100" w:type="dxa"/>
            <w:vAlign w:val="bottom"/>
            <w:gridSpan w:val="3"/>
          </w:tcPr>
          <w:p>
            <w:pPr>
              <w:spacing w:after="0" w:line="159" w:lineRule="exact"/>
              <w:rPr>
                <w:sz w:val="20"/>
                <w:szCs w:val="20"/>
                <w:color w:val="auto"/>
              </w:rPr>
            </w:pPr>
            <w:r>
              <w:rPr>
                <w:rFonts w:ascii="Arial" w:cs="Arial" w:eastAsia="Arial" w:hAnsi="Arial"/>
                <w:sz w:val="14"/>
                <w:szCs w:val="14"/>
                <w:color w:val="auto"/>
              </w:rPr>
              <w:t>Fiscal 2012</w:t>
            </w:r>
          </w:p>
        </w:tc>
        <w:tc>
          <w:tcPr>
            <w:tcW w:w="420" w:type="dxa"/>
            <w:vAlign w:val="bottom"/>
          </w:tcPr>
          <w:p>
            <w:pPr>
              <w:spacing w:after="0"/>
              <w:rPr>
                <w:sz w:val="13"/>
                <w:szCs w:val="13"/>
                <w:color w:val="auto"/>
              </w:rPr>
            </w:pPr>
          </w:p>
        </w:tc>
        <w:tc>
          <w:tcPr>
            <w:tcW w:w="600" w:type="dxa"/>
            <w:vAlign w:val="bottom"/>
          </w:tcPr>
          <w:p>
            <w:pPr>
              <w:ind w:left="240"/>
              <w:spacing w:after="0" w:line="159" w:lineRule="exact"/>
              <w:rPr>
                <w:sz w:val="20"/>
                <w:szCs w:val="20"/>
                <w:color w:val="auto"/>
              </w:rPr>
            </w:pPr>
            <w:r>
              <w:rPr>
                <w:rFonts w:ascii="Arial" w:cs="Arial" w:eastAsia="Arial" w:hAnsi="Arial"/>
                <w:sz w:val="14"/>
                <w:szCs w:val="14"/>
                <w:color w:val="auto"/>
                <w:w w:val="92"/>
              </w:rPr>
              <w:t>Fiscal</w:t>
            </w:r>
          </w:p>
        </w:tc>
        <w:tc>
          <w:tcPr>
            <w:tcW w:w="540" w:type="dxa"/>
            <w:vAlign w:val="bottom"/>
          </w:tcPr>
          <w:p>
            <w:pPr>
              <w:jc w:val="right"/>
              <w:ind w:right="156"/>
              <w:spacing w:after="0" w:line="159"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provided by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Cash flow provided by operating activities other than tenant allowances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Tenant allowances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 provided by operating activities</w:t>
            </w: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capital expenditures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(54.1)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(32.4)</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(45.7)</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9"/>
              </w:rPr>
              <w:t>(29.2)</w:t>
            </w:r>
          </w:p>
        </w:tc>
        <w:tc>
          <w:tcPr>
            <w:tcW w:w="4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46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fiscal year is a 52- or 53-week period ending on the Saturday closest to January 31. Fiscal 2013 and fiscal 2011 were 52-week periods while fiscal 2012 was a 53-week period.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Total comparable sales for all periods include our retail stores that have been open for at least one full fiscal year together with our e-commerce and catalog sales. Our direct businesses are included as part of our calculation of total comparable sales because we are a multi-channel retailer offering our customers convenient alternatives for their shopping needs. Retail comparable sales reflect same-store sales and exclude our direct business. Stores that have been remodeled, expanded or re-located during the period are also included in our determination of comparable sales.</w:t>
      </w:r>
    </w:p>
    <w:p>
      <w:pPr>
        <w:spacing w:after="0" w:line="11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Through the end of fiscal 2013, most of our DXL stores were considered relocations and comparable to all the closed stores in each respective market area for the first twelve months. For fiscal 2013, 99 DXL stores were included in our comparable store base. The sales from 51 of those 99 DXL stores are comparable to prior year sales that included the sales from 73 closed Casual Male XL stores and 2 closed Rochester Clothing stores. On a comparable sales basis, our selling square footage increased 54.6% for fiscal 2013 as compared to fiscal 2012. For fiscal 2012, 46 DXL stores were included in our comparable store base. The sales from 40 of those 46 DXL stores were comparable to the prior year sales from 54 Casual Male XL stores and 2 Rochester Clothing stores. On a comparable sales basis, our selling square footage increased 57.5% for fiscal 2012 as compared to fiscal 2011. The method of calculating comparable sales varies across the retail industry and, as a result, our calculation of comparable sales is not necessarily comparable to similarly titled measures reported by other companies.</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Originally these stores were included in the comparable sales base in order to provide insight as to how a DXL store was performing in the market when compared to the sales of the predecessor stores. However, at the end of fiscal 2013, we now have 48 DXL stores at that have been open for more than one year and we believe that this DXL comparable will have more meaning going forward. Therefore, beginning with the first quarter of fiscal 2014, we will return to our traditional calculation of comparable sales. A DXL store will only become a comparable store once the store has been open for at least one full fiscal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Sales for the 52 weeks in fiscal 2013 decreased 2.9% to $388.0 million as compared to $399.6 million for the 53 weeks in fiscal 2012. The decrease of $11.6 million in total sales was due primarily to a decrease in sales for closed stores of $16.2 million related to lease terminations or sales unassociated with a DXL store. In addition for comparison purposes to fiscal 2013, fiscal 2012 had an additional 53</w:t>
      </w:r>
      <w:r>
        <w:rPr>
          <w:rFonts w:ascii="Arial" w:cs="Arial" w:eastAsia="Arial" w:hAnsi="Arial"/>
          <w:sz w:val="10"/>
          <w:szCs w:val="10"/>
          <w:color w:val="auto"/>
        </w:rPr>
        <w:t>rd</w:t>
      </w:r>
      <w:r>
        <w:rPr>
          <w:rFonts w:ascii="Arial" w:cs="Arial" w:eastAsia="Arial" w:hAnsi="Arial"/>
          <w:sz w:val="16"/>
          <w:szCs w:val="16"/>
          <w:color w:val="auto"/>
        </w:rPr>
        <w:t xml:space="preserve"> week of sales, which was approximately $5.5 million. This decrease in sales was partially offset by an increase in comparable sales of 3.0%, or $11.1 million, as compared to fiscal 2012. The following is a table that reconciles total sales for fiscal 2012 to total sales for fiscal 2013:</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Sales</w:t>
            </w: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i w:val="1"/>
                <w:iCs w:val="1"/>
                <w:color w:val="auto"/>
                <w:w w:val="89"/>
              </w:rPr>
              <w:t>(in</w:t>
            </w:r>
          </w:p>
        </w:tc>
      </w:tr>
      <w:tr>
        <w:trPr>
          <w:trHeight w:val="159"/>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20" w:type="dxa"/>
            <w:vAlign w:val="bottom"/>
            <w:gridSpan w:val="2"/>
          </w:tcPr>
          <w:p>
            <w:pPr>
              <w:jc w:val="center"/>
              <w:ind w:right="100"/>
              <w:spacing w:after="0" w:line="159" w:lineRule="exact"/>
              <w:rPr>
                <w:sz w:val="20"/>
                <w:szCs w:val="20"/>
                <w:color w:val="auto"/>
              </w:rPr>
            </w:pPr>
            <w:r>
              <w:rPr>
                <w:rFonts w:ascii="Arial" w:cs="Arial" w:eastAsia="Arial" w:hAnsi="Arial"/>
                <w:sz w:val="14"/>
                <w:szCs w:val="14"/>
                <w:i w:val="1"/>
                <w:iCs w:val="1"/>
                <w:color w:val="auto"/>
                <w:w w:val="93"/>
              </w:rPr>
              <w:t>millions)</w:t>
            </w: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Sales –Fiscal 2012</w:t>
            </w:r>
          </w:p>
        </w:tc>
        <w:tc>
          <w:tcPr>
            <w:tcW w:w="1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Less:</w:t>
            </w: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for extra week of fiscal 2012 (53 weeks)</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 xml:space="preserve">Sales from fiscal 2012 for closed stores </w:t>
            </w:r>
            <w:r>
              <w:rPr>
                <w:rFonts w:ascii="Arial" w:cs="Arial" w:eastAsia="Arial" w:hAnsi="Arial"/>
                <w:sz w:val="11"/>
                <w:szCs w:val="11"/>
                <w:color w:val="auto"/>
              </w:rPr>
              <w:t>(1)</w:t>
            </w:r>
          </w:p>
        </w:tc>
        <w:tc>
          <w:tcPr>
            <w:tcW w:w="18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Increase in DXL comparable sales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internet sales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Decrease in Casual Male XL and Rochester comparable sales</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Decrease in catalog sales</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net</w:t>
            </w:r>
          </w:p>
        </w:tc>
        <w:tc>
          <w:tcPr>
            <w:tcW w:w="18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Sales – Fiscal 2013</w:t>
            </w:r>
          </w:p>
        </w:tc>
        <w:tc>
          <w:tcPr>
            <w:tcW w:w="18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388.0</w:t>
            </w:r>
          </w:p>
        </w:tc>
        <w:tc>
          <w:tcPr>
            <w:tcW w:w="120" w:type="dxa"/>
            <w:vAlign w:val="bottom"/>
            <w:shd w:val="clear" w:color="auto" w:fill="CCEEFF"/>
          </w:tcPr>
          <w:p>
            <w:pPr>
              <w:spacing w:after="0"/>
              <w:rPr>
                <w:sz w:val="18"/>
                <w:szCs w:val="18"/>
                <w:color w:val="auto"/>
              </w:rPr>
            </w:pPr>
          </w:p>
        </w:tc>
      </w:tr>
      <w:tr>
        <w:trPr>
          <w:trHeight w:val="370"/>
        </w:trPr>
        <w:tc>
          <w:tcPr>
            <w:tcW w:w="6240" w:type="dxa"/>
            <w:vAlign w:val="bottom"/>
            <w:gridSpan w:val="2"/>
          </w:tcPr>
          <w:p>
            <w:pPr>
              <w:jc w:val="right"/>
              <w:ind w:right="1732"/>
              <w:spacing w:after="0"/>
              <w:rPr>
                <w:sz w:val="20"/>
                <w:szCs w:val="20"/>
                <w:color w:val="auto"/>
              </w:rPr>
            </w:pPr>
            <w:r>
              <w:rPr>
                <w:rFonts w:ascii="Arial" w:cs="Arial" w:eastAsia="Arial" w:hAnsi="Arial"/>
                <w:sz w:val="18"/>
                <w:szCs w:val="18"/>
                <w:color w:val="auto"/>
              </w:rPr>
              <w:t>34</w:t>
            </w: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Casual Male XL and Rochester Clothing stores that closed during fiscal 2012 or fiscal 2013 and are not associated with a DXL store for comparable sales purposes. The majority of these stores were primarily smaller volume stores located in smaller markets and were outside of our DXL market areas.</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is a summary of the breakdown of our comparable sales for fiscal 2013, showing the percentage increase or decrease from to fiscal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7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Stores</w:t>
            </w:r>
          </w:p>
        </w:tc>
        <w:tc>
          <w:tcPr>
            <w:tcW w:w="9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8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comparable sales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Retail Business</w:t>
            </w: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359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DXL stores </w:t>
            </w:r>
            <w:r>
              <w:rPr>
                <w:rFonts w:ascii="Arial" w:cs="Arial" w:eastAsia="Arial" w:hAnsi="Arial"/>
                <w:sz w:val="11"/>
                <w:szCs w:val="11"/>
                <w:color w:val="auto"/>
              </w:rPr>
              <w:t>(1)</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Casual Male XL and Rochester Clothing stores</w:t>
            </w: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260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w:t>
            </w: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E-commerce</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Catalog</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w:t>
            </w:r>
          </w:p>
        </w:tc>
      </w:tr>
    </w:tbl>
    <w:p>
      <w:pPr>
        <w:spacing w:after="0" w:line="19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the 99 comparable DXL stores, 48 stores have been open more than one year and had a comparable sales increase of 12.3% for fiscal 2013.</w:t>
      </w:r>
    </w:p>
    <w:p>
      <w:pPr>
        <w:spacing w:after="0" w:line="19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summarized in the table above, the comparable sales increase of 3.0% consisted of an increase in our retail business of 4.7%, or $14.3 million, offset by a decrease in our direct business of 4.4%, or $3.2 million. The increase in our retail business of $14.3 million was driven by our 99 DXL stores which had a comparable store sales increase of 19.3%, or $15.3 million, as compared to fiscal 2012. Our remaining retail stores had a comparable sales decrease of $1.0 million, or (0.4%). At February 1, 2014, 48 of our DXL stores have been open for more than one year and those stores had a comparable sales increase of 12.3%.</w:t>
      </w:r>
    </w:p>
    <w:p>
      <w:pPr>
        <w:spacing w:after="0" w:line="9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decrease in the direct business was primarily driven by a decrease in our catalog sales of $5.1 million for fiscal 2013 as compared to last year. In fiscal 2012, we began decreasing our catalog circulations and impressions on existing catalogs, as part of our shift toward our more profitable e-commerce business. During the second quarter of fiscal 2013, we eliminated our catalogs completely replacing them with more cost-effective direct mail pieces. Catalog sales accounted for approximately 4.8% of our direct business in fiscal 2013 as compared to 11.6% in fiscal 2012. While catalog sales have decreased, the profit margin from our direct business continues to improve. The operating margin for fiscal 2013 increased 10.4%, from 26.0% to 28.7%. During the second half of fiscal 2013, sales from our e-commerce business improved 6.8% compared to the second half of fiscal 2012. In the long-term, we expect our e-commerce business to replace the current shortfall in sales from our legacy brand catalogs and one of our priorities for fiscal 2014 is to continue to develop marketing initiatives to drive our e-commerce business.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Sales for 53 weeks of fiscal 2012 increased 1.0% to $399.6 million as compared to $395.9 million for the 52 weeks of fiscal 2011. Sales for the 53</w:t>
      </w:r>
      <w:r>
        <w:rPr>
          <w:rFonts w:ascii="Arial" w:cs="Arial" w:eastAsia="Arial" w:hAnsi="Arial"/>
          <w:sz w:val="10"/>
          <w:szCs w:val="10"/>
          <w:color w:val="auto"/>
        </w:rPr>
        <w:t>rd</w:t>
      </w:r>
      <w:r>
        <w:rPr>
          <w:rFonts w:ascii="Arial" w:cs="Arial" w:eastAsia="Arial" w:hAnsi="Arial"/>
          <w:sz w:val="16"/>
          <w:szCs w:val="16"/>
          <w:color w:val="auto"/>
        </w:rPr>
        <w:t xml:space="preserve"> week of fiscal 2012 were $5.1 million. On a comparable 53-week basis, total comparable sales increased 1.5%, or $5.7 million, as compared to fiscal 2011. This increase consisted of an increase in our retail business of 2.0%, or $6.4 million, partially offset by a decrease in our direct business of 1.0%, or $0.7 million. The 2.0% increase in our retail business was predominantly driven by our 46 DXL stores which had a comparable store sales increase of 15.6%, or $5.6 million, over the prior year while our remaining stores had a comparable store sales increase of 0.3%, or $0.8 million. During fiscal 2012, sales from approximately 78 Casual Male XL stores, which were in close proximity to a DXL store location, were lower by an average of 3.2% as compared to the remaining stores. With respect to our direct business, we saw significant improvement in fiscal 2012 from our e-commerce business as sales increased 11.2%. This growth was offset by a decrease from our catalog business of 31.1%. During fiscal 2012, we continued to decrease our catalog circulation and impressions on existing catalogs, both of which are down approximately 50% over fiscal 2011, to shift emphasis towards our digital marketing efforts and our more profitable e-commerce business. Our e-commerce business accounted for approximately 67% of our direct business in fiscal 2012.</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fiscal 2014, we are forecasting sales to be $405.0 million to $410.0 million, with a comparable sales increase of approximately 5.6%. As we discussed above, beginning in fiscal 2014 our calculation of comparable sales will only include the DXL stores that have been open for more than one year.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Gross margin rate for fiscal 2013 was 46.0% as compared to 46.5% for fiscal 2012 and 46.3% for fiscal 2011. The decrease of 50 basis points for fiscal 2013 as compared to fiscal 2012 was comprised of an increase in occupancy costs of 110 basis points offset by a 60 basis point improvement in merchandise margin. The improvement in merchandise margins of 60 basis points was due to an increase in initial markup and a reduced markdown rate over the prior year. On a dollar basis, occupancy costs for fiscal 2013 increased 4.2% as compared to the prior year, due to the timing of DXL store openings and Casual Male XL store closings. This increase included $4.3 million in DXL transition costs, specifically related to pre-opening rent and lease terminations.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increase of 20 basis points for fiscal 2012 was comprised of a 60 basis point increase in merchandise margin offset by an increase in occupancy costs of 40 basis points. Occupancy costs for fiscal 2012 increased 3.6%, or approximately $2.1 million, over the prior year due to the timing of our DXL store openings and the associated pre-opening occupancy costs incurred.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fiscal 2014, we are expecting that our occupancy costs, on a dollar-basis, will increase approximately $1.8 million as a result of adding approximately 40 DXL stores in fiscal 2014 and certain lease termination costs associated with closing 38 Casual Male XL and two Rochester Clothing stores. However, we expect occupancy costs as a percentage of sales will be between 20 to 50 basis points lower than fiscal 2013. We are expecting that our merchandise margins, which have improved over 170 basis points over the past 4 years, will remain relatively flat to a slight increase of 40 basis points. Accordingly, for fiscal 2014, we are expecting gross margin will increase 20 to 90 basis points over fiscal 2013.</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as a percentage of sales for fiscal 2013, 2012 and 2011 were 44.0%, 39.1% and 38.4%, respectively.</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 dollar basis, SG&amp;A expenses for fiscal 2013 increased $14.3 million, or 9.1%, to $170.7 million as compared to SG&amp;A expenses of $156.4 million in fiscal 2012. The increase in SG&amp;A expenses of $14.3 million is principally due to $9.3 million of incremental marketing costs associated with our national marketing program, an accrual for executive severance–related costs of approximately $2.3 million and increased stock compensation of $1.1 million primarily related to our long-term incentive plan. These costs were partially offset by one less week of expenses of approximately $2.7 million in fiscal 2013 as compared to fiscal 2012, which was a 53-week year. SG&amp;A expenses for fiscal 2013 include approximately $5.3 million of DXL transition costs for increased payroll-related costs, such as pre-opening payroll, training and store operations as compared to $6.2 million in fiscal 2012.</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SG&amp;A expenses for fiscal 2012 increased $4.4 million, or 2.9%, to $156.4 million as compared to SG&amp;A expenses of $152.0 million in fiscal 2011. The increase in SG&amp;A expenses of $4.4 million includes the impact of the 53</w:t>
      </w:r>
      <w:r>
        <w:rPr>
          <w:rFonts w:ascii="Arial" w:cs="Arial" w:eastAsia="Arial" w:hAnsi="Arial"/>
          <w:sz w:val="10"/>
          <w:szCs w:val="10"/>
          <w:color w:val="auto"/>
        </w:rPr>
        <w:t>rd</w:t>
      </w:r>
      <w:r>
        <w:rPr>
          <w:rFonts w:ascii="Arial" w:cs="Arial" w:eastAsia="Arial" w:hAnsi="Arial"/>
          <w:sz w:val="16"/>
          <w:szCs w:val="16"/>
          <w:color w:val="auto"/>
        </w:rPr>
        <w:t xml:space="preserve"> week which approximated $2.7 million. Included in the increase of $4.4 million were incremental costs of approximately $6.2 million related to pre-opening payroll, training, store operations, infrastructure and increased marketing to support the DXL roll-out as well as $1.4 million related to a corporate bonus. These increases were partially offset by reduced litigation costs of approximately $1.9 million and a net savings in marketing of approximately $1.0 million which was attributable to the delay of certain DXL store openings.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fiscal 2014, we are expecting that our SG&amp;A expenses will increase to $175.0-$176.7 million as we continue to grow the DXL format. The $4.3-$6.0 million increase is primarily related to incremental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costs associated with our growing DXL concept, as well as costs to close approximately 38 Casual Male XL and two Rochester Clothing stores. Overall, we expect to limit our SG&amp;A growth rates, except where necessary to support our growth activities or where there are unanticipated costs that are necessary to support our overall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TRADEMARK IMPAIRMENT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fourth quarter of fiscal 2011, we recorded a non-cash impairment charge of $23.1 million against our “Casual Male” trademark. With the roll-out of our DXL store concept, we plan to close most of our Casual Male XL retail stores. As a result, we could not support the existing carrying value of the “Casual Male” trademark with this declining Casual Male XL store base. As a result, the carrying value of the “Casual Male” trademark was greater than the fair value of the trademark as valued using a discounted future cash flow approach. At January 28, 2012, the “Casual Male” trademark became a definite-lived asset. At February 1, 2014, the “Casual Male” trademark has a carrying value of $2.5 million, which will be amortized on an accelerated basis through fiscal 2018. For more information regarding this impairment, see “Critical Accounting Policies –Intangibles” and Note A to the Consolidated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significant impairments in fiscal 2013 and fiscal 2012.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Depreciation and amortization expense was $20.8 million for fiscal 2013, $15.5 million for fiscal 2012 and $12.5 million for fiscal 2011. The increase of $5.3 million in depreciation and amortization expense for fiscal 2013 is primarily related to our DXL store openings during fiscal 2013 and an impairment charge of $1.5 million for the write-down of property and equipment. The impairment charge related to stores where the carrying value exceeded fair value. The increase in fiscal 2012 as compared to fiscal 2011 was primarily due to the increase in amortization expense of approximately $2.0 million related to the “Casual Male” trademark with the remainder attributed to DXL store openings.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interest expense for fiscal 2013 was $1.0 million as compared to $0.6 million for fiscal 2012 and fiscal 2011. Interest expense for the past few years has remained relatively low due to minimal borrowings on our credit facility. However, with our store growth in fiscal 2013, our interest costs increased slightly due to funding a portion of that store growth with borrowings from our credit facility and equipment financings.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second quarter of fiscal 2013, we amended and extended our credit facility. As part of the amendment, our interest rate costs decreased approximately 50 basis points and our availability under the credit facility increased by approximately $25 million. During fiscal 2013, we funded approximately $17.5 million of our capital expenditures through equipment financing. See “Liquidity and Capital Resources” for more discussion regarding our current credit facility, equipment financings and future liquidity needs. Our average borrowings under our credit facility during fiscal 2013 were $14.9 million as compared to less than $2.0 million in fiscal 2012 and $1.0 million in fiscal 2011.</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fiscal 2014, we expect our net interest costs to increase to approximately $2.0 million as a result of expected borrowings under our credit facility and equipment financing notes.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expiring from 2022 through 2033, is dependent on generating sufficient taxable income in the near term.</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fourth quarter of fiscal 2011, we determined that it was more likely than not that we would be able to realize the benefits of substantially all of the deferred tax assets in the United States. In reaching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determination, we considered the positive evidence of three years of improved profitability, our expectations of future taxable income and expected growth. As a result, we reversed $48.3 million in valuation allowance.</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As of February 1, 2014, we are in a three-year cumulative loss. Based on our forecasts, which were revised in the fourth quarter of fiscal 2013, we also expect that we will generate losses in fiscal 2014 and the cumulative three-year loss will increase as of the end of fiscal 2014. After consideration of these factors, we have determined that it is more likely than not that we will not be able to realize the benefits of our deferred tax assets in the United States. Accordingly, at February 1, 2014, we recorded an incremental non-cash charge of $51.3 million to establish a full valuation allowance against our deferred tax assets.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the second quarter of fiscal 2012, we closed our European direct business. The operating results for the European direct business have been reclassified to discontinued operations for fiscal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loss for fiscal 2013 was $(59.8) million, or $(1.23) per diluted share, as compared to net income for fiscal 2012 of $6.1 million, or $0.13 per diluted share, and net income of $42.7 million, or $0.89 per diluted share, in fiscal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Fiscal 2013</w:t>
            </w:r>
          </w:p>
        </w:tc>
        <w:tc>
          <w:tcPr>
            <w:tcW w:w="3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Fiscal 2012</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Fiscal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6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Operating income (loss) from continuing operations before provision for asset and trademark</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xml:space="preserve">impairment and severance </w:t>
            </w:r>
            <w:r>
              <w:rPr>
                <w:rFonts w:ascii="Arial" w:cs="Arial" w:eastAsia="Arial" w:hAnsi="Arial"/>
                <w:sz w:val="11"/>
                <w:szCs w:val="11"/>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Severance</w:t>
            </w:r>
          </w:p>
        </w:tc>
        <w:tc>
          <w:tcPr>
            <w:tcW w:w="1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asset impairment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Provision for trademark impairment</w:t>
            </w:r>
          </w:p>
        </w:tc>
        <w:tc>
          <w:tcPr>
            <w:tcW w:w="1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 on a GAAP basis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620" w:type="dxa"/>
            <w:vAlign w:val="bottom"/>
            <w:gridSpan w:val="4"/>
            <w:vMerge w:val="restart"/>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Provision (benefit) for income taxes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w:t>
            </w:r>
            <w:r>
              <w:rPr>
                <w:rFonts w:ascii="Arial" w:cs="Arial" w:eastAsia="Arial" w:hAnsi="Arial"/>
                <w:sz w:val="11"/>
                <w:szCs w:val="11"/>
                <w:color w:val="auto"/>
              </w:rPr>
              <w:t>(3)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7620" w:type="dxa"/>
            <w:vAlign w:val="bottom"/>
            <w:gridSpan w:val="4"/>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(59.8)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20" w:type="dxa"/>
            <w:vAlign w:val="bottom"/>
            <w:gridSpan w:val="4"/>
            <w:vMerge w:val="restart"/>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4"/>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(59.8)</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2"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(loss) before provision for asset and trademark impairment and severance of $(9.3) million and $18.6 million for fiscal 2013 and fiscal 2011, respectively, are non-GAAP measures and are not meant to be considered superior to or as a substitute for operating income (loss), on a GAAP basis, of $(13.1) million and $(4.5) million, respectively. We believe that the above table is a meaningful presentation to measure our operating performance and reconcile our actual results with previously issued guidance.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During the fourth quarter of fiscal 2013, the Company recorded an impairment charge related to certain stores with carrying values that exceeded fair value.</w:t>
      </w:r>
    </w:p>
    <w:p>
      <w:pPr>
        <w:spacing w:after="0" w:line="43"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fourth quarter of fiscal 2011, we reversed $42.5 million of our valuation allowance against our deferred tax assets, resulting in an income tax benefit for fiscal 2011. However, due to the net loss incurred in fiscal 2013, which resulted in a three-year cumulative loss position, we recorded a charge of $51.3 million to establish a full valuation allowance against our deferred tax assets. See Note D “Income Taxes” to the Consolidated Financial Statements for complete disclosure.</w:t>
      </w:r>
    </w:p>
    <w:p>
      <w:pPr>
        <w:spacing w:after="0" w:line="1" w:lineRule="exact"/>
        <w:rPr>
          <w:rFonts w:ascii="Arial" w:cs="Arial" w:eastAsia="Arial" w:hAnsi="Arial"/>
          <w:sz w:val="18"/>
          <w:szCs w:val="18"/>
          <w:color w:val="auto"/>
        </w:rPr>
      </w:pPr>
    </w:p>
    <w:p>
      <w:pPr>
        <w:ind w:left="460" w:right="20" w:hanging="452"/>
        <w:spacing w:after="0" w:line="331"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Results for fiscal 2011 include a non-cash impairment charge of $23.1 million related to the write-down of our “Casual Male” trademark. As a result of our growth initiative to expand our DXL store concept, we are closing existing Casual Male XL retail stores in the same market. The carrying value of the “Casual Male” trademark could not be supported by this decrease in projected future cash flows and resulted in a partial write-down of the trademark value.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Generally, the majority of our operating income is generated in the fourth quarter as a result of the impact of the Christmas selling season. A comparison of quarterly sales, gross profit, and net income per share for the past two fiscal years is presented in Note K of the Notes to the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 except percentages)</w:t>
            </w: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FISCAL 2013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FISCAL 2012</w:t>
            </w:r>
          </w:p>
        </w:tc>
        <w:tc>
          <w:tcPr>
            <w:tcW w:w="100" w:type="dxa"/>
            <w:vAlign w:val="bottom"/>
          </w:tcPr>
          <w:p>
            <w:pPr>
              <w:spacing w:after="0"/>
              <w:rPr>
                <w:sz w:val="14"/>
                <w:szCs w:val="14"/>
                <w:color w:val="auto"/>
              </w:rPr>
            </w:pPr>
          </w:p>
        </w:tc>
        <w:tc>
          <w:tcPr>
            <w:tcW w:w="13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FISCAL 2011</w:t>
            </w:r>
          </w:p>
        </w:tc>
        <w:tc>
          <w:tcPr>
            <w:tcW w:w="0" w:type="dxa"/>
            <w:vAlign w:val="bottom"/>
          </w:tcPr>
          <w:p>
            <w:pPr>
              <w:spacing w:after="0"/>
              <w:rPr>
                <w:sz w:val="1"/>
                <w:szCs w:val="1"/>
                <w:color w:val="auto"/>
              </w:rPr>
            </w:pPr>
          </w:p>
        </w:tc>
      </w:tr>
      <w:tr>
        <w:trPr>
          <w:trHeight w:val="20"/>
        </w:trPr>
        <w:tc>
          <w:tcPr>
            <w:tcW w:w="1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vMerge w:val="continue"/>
            <w:shd w:val="clear" w:color="auto" w:fill="CCEEFF"/>
          </w:tcPr>
          <w:p>
            <w:pPr>
              <w:spacing w:after="0"/>
              <w:rPr>
                <w:sz w:val="17"/>
                <w:szCs w:val="17"/>
                <w:color w:val="auto"/>
              </w:rPr>
            </w:pPr>
          </w:p>
        </w:tc>
        <w:tc>
          <w:tcPr>
            <w:tcW w:w="4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93.6</w:t>
            </w:r>
          </w:p>
        </w:tc>
        <w:tc>
          <w:tcPr>
            <w:tcW w:w="104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24.1%</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95.5</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95.4</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Second quarter</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97.6</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100.5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100.4</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Fourth quarter</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108.5</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114.9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387.9</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399.6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395.9</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which was most recently amended in June 2013, with Bank of America, N.A (“Credit Facility”). Our current cash needs are primarily for working capital (essentially inventory requirements), capital expenditures and growth initiatives. As discussed below, our capital expenditures for fiscal 2014 are expected to be $45.7 million, primarily related to the planned opening of approximately 40 new DXL stores and information technology projects. However, we expect to receive approximately $9.3 million in tenant allowances to offset these capital expenditures. We expect to fund our store growth in fiscal 2014 primarily through earnings and borrowings from our Credit Facility as well as equipment financing loans. For fiscal 2014, while our total debt is projected to reach approximately $60.0 to $65.0 million during our key seasonal buying periods, we expect that our total debt at the end of fiscal 2014 will be approximately $50.0-$55.0 million.</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During the second half of fiscal 2013, we financed approximately $17.5 million of capital expenditures through equipment financing loans pursuant to a Master Loan and Security Agreement described below. We currently expect to finance up to an additional $10.5 million of equipment acquisitions over the next twelve months pursuant to this agreement, resulting in aggregate equipment financing loans of up to $28.0 million.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believe that our existing cash generated by operations together with our equipment financings and availability under our credit facility will be sufficient within current forecasts for us to meet our foreseeable liquidity requirements. For fiscal 2013, free cash flow, which we define as cash flow from operating activities, less capital expenditures and discretionary store asset acquisitions, if any, decreased by $26.7 million to $(29.2) million from $(2.5) million for fiscal 2012. This decrease in free cash flow was due to the increase in capital expenditures of $21.7 million related to the new store openings and a decrease of $5.0 million in cash flow from operations. See “Presentation of Non-GAAP Measure” above regarding non-GAAP free cash flow.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millions, except ratios)</w:t>
            </w:r>
          </w:p>
        </w:tc>
        <w:tc>
          <w:tcPr>
            <w:tcW w:w="2240" w:type="dxa"/>
            <w:vAlign w:val="bottom"/>
            <w:vMerge w:val="restart"/>
          </w:tcPr>
          <w:p>
            <w:pPr>
              <w:spacing w:after="0"/>
              <w:rPr>
                <w:sz w:val="14"/>
                <w:szCs w:val="14"/>
                <w:color w:val="auto"/>
              </w:rPr>
            </w:pPr>
          </w:p>
        </w:tc>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5080" w:type="dxa"/>
            <w:vAlign w:val="bottom"/>
          </w:tcPr>
          <w:p>
            <w:pPr>
              <w:spacing w:after="0"/>
              <w:rPr>
                <w:sz w:val="12"/>
                <w:szCs w:val="12"/>
                <w:color w:val="auto"/>
              </w:rPr>
            </w:pPr>
          </w:p>
        </w:tc>
        <w:tc>
          <w:tcPr>
            <w:tcW w:w="46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86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58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operations</w:t>
            </w:r>
          </w:p>
        </w:tc>
        <w:tc>
          <w:tcPr>
            <w:tcW w:w="50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$ 24.9</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$ 29.9</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$ 50.2</w:t>
            </w:r>
          </w:p>
        </w:tc>
        <w:tc>
          <w:tcPr>
            <w:tcW w:w="1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$ 82.5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p>
        </w:tc>
        <w:tc>
          <w:tcPr>
            <w:tcW w:w="5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80" w:type="dxa"/>
            <w:vAlign w:val="bottom"/>
          </w:tcPr>
          <w:p>
            <w:pPr>
              <w:jc w:val="right"/>
              <w:ind w:right="3012"/>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second quarter of fiscal 2013, we amended our Credit Facility with Bank of America, N.A. In addition to extending the term of Credit Facility from November 10, 2014 to June 26, 2018, the amendment also increased our total maximum committed borrowing to $100 million (from $75 million) and continues to include an accordion feature which could increase the committed borrowings by an additional $50 million upon our request and the agreement of the lender(s) participating in the increase. Further, the Company’s borrowing rates were decreased by 50 basis points for both prime-based and LIBOR-based borrowings. The Credit Facility includes a sublimit of $20 million for commercial and standby letters of credit and a sublimit of up to $15 million for Swingline Loans. Our Credit Facility is described in more detail in Note C to the Notes to the Consolidated Financial Statements.</w:t>
      </w:r>
    </w:p>
    <w:p>
      <w:pPr>
        <w:spacing w:after="0" w:line="12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Borrowings made pursuant to the Credit Facility bear interest at a rate equal to the base rate (determined as the highest of (a) Bank of America N.A.’s prime rate, (b) the Federal Funds rate plus 0.50% and (c) the annual LIBOR rate for the respective interest period) plus a varying percentage, based on our borrowing base, of 0.50%-0.75% for prime-based borrowings and 1.50%-1.75% for LIBOR-based borrowings.</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had outstanding borrowings of $9.0 million under the Credit Facility at February 1, 2014. Outstanding standby letters of credit were $2.2 million and outstanding documentary letters of credit were $1.5 million. The average monthly borrowings outstanding under this facility during fiscal 2013 were approximately $14.9 million, resulting in an average unused excess availability of approximately $71.2 million. Unused excess availability at February 1, 2014 was $75.5 million. Our obligations under the Credit Facility are secured by a lien on all of our assets.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Master Loan and Security Agreement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second half of fiscal 2013, we entered into seven Equipment Security Notes (the “Notes”), whereby we borrowed an aggregate of $17.5 million. The Notes were issued pursuant to a Master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fixed rates ranging from 3.07% to 3.29%. Principal and interest, in arrears, are payable monthly. We are subject to a prepayment penalty equal to 1% of the prepaid principal of the Notes until the first anniversary, 0.5% of the prepaid principal from the first anniversary until the second anniversary and no prepayment penalty thereafter. At February 1, 2014, the outstanding balance of Notes was $16.7 million.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proceeds from the Notes were used to fund partially the capital expenditures associated with our DXL store rollout.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At February 1, 2014, total inventories increased 1.3% to $105.6 million from $104.2 million at February 2, 2013. While inventory levels on a dollar basis were up slightly when compared to the prior year, on a unit basis inventories decreased 6.9% from year ago levels. Although our store count decreased in fiscal 2013, our square footage increased slightly and, as a result, our average inventory per square foot was slightly lower than the prior year.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February 1, 2014, and the effect such obligations are expected to have on our liquidity and cash flows in future periods:</w:t>
      </w:r>
    </w:p>
    <w:p>
      <w:pPr>
        <w:sectPr>
          <w:pgSz w:w="11900" w:h="16838" w:orient="portrait"/>
          <w:cols w:equalWidth="0" w:num="1">
            <w:col w:w="11420"/>
          </w:cols>
          <w:pgMar w:left="240" w:top="459" w:right="23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347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1"/>
          <w:szCs w:val="11"/>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1"/>
          <w:szCs w:val="11"/>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Severance and severance-related costs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Non-merchandise Purchase Obligations </w:t>
      </w:r>
      <w:r>
        <w:rPr>
          <w:rFonts w:ascii="Arial" w:cs="Arial" w:eastAsia="Arial" w:hAnsi="Arial"/>
          <w:sz w:val="10"/>
          <w:szCs w:val="10"/>
          <w:color w:val="auto"/>
        </w:rPr>
        <w:t>(3)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Merchandise Purchase Obligations </w:t>
      </w:r>
      <w:r>
        <w:rPr>
          <w:rFonts w:ascii="Arial" w:cs="Arial" w:eastAsia="Arial" w:hAnsi="Arial"/>
          <w:sz w:val="10"/>
          <w:szCs w:val="10"/>
          <w:color w:val="auto"/>
        </w:rPr>
        <w:t>(4)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Payments due by period</w:t>
      </w:r>
    </w:p>
    <w:tbl>
      <w:tblPr>
        <w:tblLayout w:type="fixed"/>
        <w:tblInd w:w="0" w:type="dxa"/>
        <w:tblCellMar>
          <w:top w:w="0" w:type="dxa"/>
          <w:left w:w="0" w:type="dxa"/>
          <w:bottom w:w="0" w:type="dxa"/>
          <w:right w:w="0" w:type="dxa"/>
        </w:tblCellMar>
      </w:tblPr>
      <w:tr>
        <w:trPr>
          <w:trHeight w:val="143"/>
        </w:trPr>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w w:val="82"/>
              </w:rPr>
              <w:t>Less than</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rPr>
              <w:t>1-3</w:t>
            </w:r>
          </w:p>
        </w:tc>
        <w:tc>
          <w:tcPr>
            <w:tcW w:w="900" w:type="dxa"/>
            <w:vAlign w:val="bottom"/>
            <w:tcBorders>
              <w:top w:val="single" w:sz="8" w:color="auto"/>
            </w:tcBorders>
            <w:gridSpan w:val="2"/>
          </w:tcPr>
          <w:p>
            <w:pPr>
              <w:jc w:val="right"/>
              <w:ind w:right="16"/>
              <w:spacing w:after="0" w:line="143" w:lineRule="exact"/>
              <w:rPr>
                <w:sz w:val="20"/>
                <w:szCs w:val="20"/>
                <w:color w:val="auto"/>
              </w:rPr>
            </w:pPr>
            <w:r>
              <w:rPr>
                <w:rFonts w:ascii="Arial" w:cs="Arial" w:eastAsia="Arial" w:hAnsi="Arial"/>
                <w:sz w:val="14"/>
                <w:szCs w:val="14"/>
                <w:b w:val="1"/>
                <w:bCs w:val="1"/>
                <w:color w:val="auto"/>
              </w:rPr>
              <w:t>3-5</w:t>
            </w:r>
          </w:p>
        </w:tc>
        <w:tc>
          <w:tcPr>
            <w:tcW w:w="5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w w:val="86"/>
              </w:rPr>
              <w:t>More than</w:t>
            </w:r>
          </w:p>
        </w:tc>
      </w:tr>
      <w:tr>
        <w:trPr>
          <w:trHeight w:val="161"/>
        </w:trPr>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1 year</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76"/>
              </w:rPr>
              <w:t>years</w:t>
            </w:r>
          </w:p>
        </w:tc>
        <w:tc>
          <w:tcPr>
            <w:tcW w:w="5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5 years</w:t>
            </w: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7"/>
              </w:rPr>
              <w:t>$297.4</w:t>
            </w:r>
          </w:p>
        </w:tc>
        <w:tc>
          <w:tcPr>
            <w:tcW w:w="50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48.3</w:t>
            </w:r>
          </w:p>
        </w:tc>
        <w:tc>
          <w:tcPr>
            <w:tcW w:w="5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77.1</w:t>
            </w:r>
          </w:p>
        </w:tc>
        <w:tc>
          <w:tcPr>
            <w:tcW w:w="500" w:type="dxa"/>
            <w:vAlign w:val="bottom"/>
          </w:tcPr>
          <w:p>
            <w:pPr>
              <w:spacing w:after="0"/>
              <w:rPr>
                <w:sz w:val="17"/>
                <w:szCs w:val="17"/>
                <w:color w:val="auto"/>
              </w:rPr>
            </w:pP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w w:val="84"/>
              </w:rPr>
              <w:t>$56.8</w:t>
            </w:r>
          </w:p>
        </w:tc>
        <w:tc>
          <w:tcPr>
            <w:tcW w:w="50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Pr>
          <w:p>
            <w:pPr>
              <w:jc w:val="center"/>
              <w:ind w:left="55"/>
              <w:spacing w:after="0" w:line="201" w:lineRule="exact"/>
              <w:rPr>
                <w:sz w:val="20"/>
                <w:szCs w:val="20"/>
                <w:color w:val="auto"/>
              </w:rPr>
            </w:pPr>
            <w:r>
              <w:rPr>
                <w:rFonts w:ascii="Arial" w:cs="Arial" w:eastAsia="Arial" w:hAnsi="Arial"/>
                <w:sz w:val="18"/>
                <w:szCs w:val="18"/>
                <w:color w:val="auto"/>
                <w:w w:val="84"/>
              </w:rPr>
              <w:t>115.2</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r>
      <w:tr>
        <w:trPr>
          <w:trHeight w:val="223"/>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5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5"/>
              <w:spacing w:after="0"/>
              <w:rPr>
                <w:sz w:val="20"/>
                <w:szCs w:val="20"/>
                <w:color w:val="auto"/>
              </w:rPr>
            </w:pPr>
            <w:r>
              <w:rPr>
                <w:rFonts w:ascii="Arial" w:cs="Arial" w:eastAsia="Arial" w:hAnsi="Arial"/>
                <w:sz w:val="18"/>
                <w:szCs w:val="18"/>
                <w:color w:val="auto"/>
                <w:w w:val="99"/>
              </w:rPr>
              <w:t>—</w:t>
            </w:r>
          </w:p>
        </w:tc>
      </w:tr>
      <w:tr>
        <w:trPr>
          <w:trHeight w:val="223"/>
        </w:trPr>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370.8</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107.6</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55"/>
              <w:spacing w:after="0"/>
              <w:rPr>
                <w:sz w:val="20"/>
                <w:szCs w:val="20"/>
                <w:color w:val="auto"/>
              </w:rPr>
            </w:pPr>
            <w:r>
              <w:rPr>
                <w:rFonts w:ascii="Arial" w:cs="Arial" w:eastAsia="Arial" w:hAnsi="Arial"/>
                <w:sz w:val="18"/>
                <w:szCs w:val="18"/>
                <w:color w:val="auto"/>
                <w:w w:val="84"/>
              </w:rPr>
              <w:t>115.2</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-874395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-591185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-316865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6020" w:space="720"/>
            <w:col w:w="4680"/>
          </w:cols>
          <w:pgMar w:left="240" w:top="459" w:right="239" w:bottom="1440" w:gutter="0" w:footer="0" w:header="0"/>
          <w:type w:val="continuous"/>
        </w:sectPr>
      </w:pPr>
    </w:p>
    <w:p>
      <w:pPr>
        <w:ind w:left="460" w:right="64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principal payments on our outstanding secured notes and the corresponding estimated interest costs.</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$0.4 million annually through April 29, 2014. See Note H—“Related Parties” to the Notes to the Consolidated Financial Statements for a full description of this agreement.</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Merchandise Purchase Obligations include amounts for which the Company is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February 1, 2014, we had approximately $72.0 million in open purchase orders. We estimate that approximately 95% of these purchase orders may be considered non-cancelable.</w:t>
      </w:r>
    </w:p>
    <w:p>
      <w:pPr>
        <w:spacing w:after="0" w:line="2" w:lineRule="exact"/>
        <w:rPr>
          <w:rFonts w:ascii="Arial" w:cs="Arial" w:eastAsia="Arial" w:hAnsi="Arial"/>
          <w:sz w:val="16"/>
          <w:szCs w:val="16"/>
          <w:color w:val="auto"/>
        </w:rPr>
      </w:pPr>
    </w:p>
    <w:p>
      <w:pPr>
        <w:ind w:left="460" w:right="48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February 1, 2014, we had an unfunded Pension Obligation of $3.1 million and SERP of $0.6 million, which is not included in the table because of uncertainty over whether or when further contributions will be required.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and closings from February 2, 2013 to February 1, 2014 and related square footage: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Casual</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Casual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Stores:</w:t>
            </w:r>
          </w:p>
        </w:tc>
        <w:tc>
          <w:tcPr>
            <w:tcW w:w="3560" w:type="dxa"/>
            <w:vAlign w:val="bottom"/>
            <w:gridSpan w:val="2"/>
            <w:vMerge w:val="restart"/>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Male XL</w:t>
            </w: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1"/>
              </w:rPr>
              <w:t>Rochester</w:t>
            </w: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Male XL</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140" w:type="dxa"/>
            <w:vAlign w:val="bottom"/>
            <w:tcBorders>
              <w:bottom w:val="single" w:sz="8" w:color="auto"/>
            </w:tcBorders>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9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DXL</w:t>
            </w: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Retail</w:t>
            </w:r>
          </w:p>
        </w:tc>
        <w:tc>
          <w:tcPr>
            <w:tcW w:w="11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1"/>
              </w:rPr>
              <w:t>Clothing</w:t>
            </w:r>
          </w:p>
        </w:tc>
        <w:tc>
          <w:tcPr>
            <w:tcW w:w="11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Outlets</w:t>
            </w:r>
          </w:p>
        </w:tc>
        <w:tc>
          <w:tcPr>
            <w:tcW w:w="5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0"/>
              </w:rPr>
              <w:t>stores</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At February 2, 2013</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6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297</w:t>
            </w: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ind w:left="4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1"/>
                <w:szCs w:val="11"/>
                <w:color w:val="auto"/>
              </w:rPr>
              <w:t>(1)</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(72)</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1"/>
                <w:szCs w:val="11"/>
                <w:color w:val="auto"/>
              </w:rPr>
              <w:t>(2)</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1"/>
        </w:trPr>
        <w:tc>
          <w:tcPr>
            <w:tcW w:w="4700" w:type="dxa"/>
            <w:vAlign w:val="bottom"/>
            <w:gridSpan w:val="3"/>
          </w:tcPr>
          <w:p>
            <w:pPr>
              <w:spacing w:after="0"/>
              <w:rPr>
                <w:sz w:val="20"/>
                <w:szCs w:val="20"/>
                <w:color w:val="auto"/>
              </w:rPr>
            </w:pPr>
            <w:r>
              <w:rPr>
                <w:rFonts w:ascii="Arial" w:cs="Arial" w:eastAsia="Arial" w:hAnsi="Arial"/>
                <w:sz w:val="18"/>
                <w:szCs w:val="18"/>
                <w:color w:val="auto"/>
              </w:rPr>
              <w:t>At February 1, 2014</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Total square footage (in thousands)</w:t>
            </w: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at February 1, 2014</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915</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713</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1,883</w:t>
            </w:r>
          </w:p>
        </w:tc>
        <w:tc>
          <w:tcPr>
            <w:tcW w:w="0" w:type="dxa"/>
            <w:vAlign w:val="bottom"/>
          </w:tcPr>
          <w:p>
            <w:pPr>
              <w:spacing w:after="0"/>
              <w:rPr>
                <w:sz w:val="1"/>
                <w:szCs w:val="1"/>
                <w:color w:val="auto"/>
              </w:rPr>
            </w:pPr>
          </w:p>
        </w:tc>
      </w:tr>
      <w:tr>
        <w:trPr>
          <w:trHeight w:val="222"/>
        </w:trPr>
        <w:tc>
          <w:tcPr>
            <w:tcW w:w="4700" w:type="dxa"/>
            <w:vAlign w:val="bottom"/>
            <w:gridSpan w:val="3"/>
          </w:tcPr>
          <w:p>
            <w:pPr>
              <w:ind w:left="440"/>
              <w:spacing w:after="0"/>
              <w:rPr>
                <w:sz w:val="20"/>
                <w:szCs w:val="20"/>
                <w:color w:val="auto"/>
              </w:rPr>
            </w:pPr>
            <w:r>
              <w:rPr>
                <w:rFonts w:ascii="Arial" w:cs="Arial" w:eastAsia="Arial" w:hAnsi="Arial"/>
                <w:sz w:val="18"/>
                <w:szCs w:val="18"/>
                <w:color w:val="auto"/>
              </w:rPr>
              <w:t>at February 2, 2013</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475</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1,067</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capital expenditures for fiscal 2013 were $54.1 million, as compared to $32.4 million in fiscal 2012 and $18.0 million in fiscal 2011.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$44.1 million related to the opening of 51 new DXL stores. In addition, we spent approximately $9.0 million in management information projects, which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continued enhancements for our e-commerce site. The remainder was used for general capital projects in our distribution center and corporate offices.</w:t>
      </w:r>
    </w:p>
    <w:p>
      <w:pPr>
        <w:spacing w:after="0" w:line="1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fiscal 2014, our capital expenditures are expected to be approximately $45.7 million and we expect to receive approximately $9.3 million in tenant allowances to offset these expenditures. The budget includes approximately $35.4 million, excluding any allowance, related to the opening of 40 Destination XL stores and approximately $8.7 million for continued information technology projects, including enhanced web-in inventory visibility, pick-up in-store purchases and access to Company-wide inventory for customer fulfillment, with the remainder for general overhead projects. In addition, we expect to close approximately 38 existing Casual Male XL stores and two Rochester Clothing stores, most of which are in connection with the opening of our new DXL stores.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measure compensation cost for all stock-based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performance-based awards, no compensation expense is recognized until the performance targets are deemed probable. At February 1, 2014, we have not recognized any expense on our outstanding performance-based awards because the performance targets are not deemed probable. For fiscal 2013, 2012 and 2011, we recognized total compensation expense of $1.9 million, $0.8 million and $1.3 million, respectively.</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 the year and adjust the shrink reserves accordingly.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fourth quarter of fiscal 2013, we recorded an impairment charge of $1.5 million to write-down property and equipment. The impairment related to stores with carrying values which exceeded fair value. There were no material impairment charges for long-lived assets in fiscal 2012 or fiscal 2011.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indefinite-lives at least annually for impairment by analyzing the estimated fair value.</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the fourth quarter of fiscal 2013, we performed our annual testing of our “Rochester” trademark for potential impairment. Utilizing an income approach with appropriate royalty rates applied, we concluded that the “Rochester” trademark, with a carrying value of $1.5 million, was not impaired.</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fourth quarter of fiscal 2011, we recorded a non-cash impairment charge of $23.1 million against our “Casual Male” trademark. In connection with our expansion of our new DXL store concept and the expected closure of our Casual Male XL retail stores, the fair value of our “Casual Male” trademark, as determined using an income approach with applicable royalty rate applied, was not sufficient to support the then-carrying value. At January 28, 2012, the “Casual Male” trademark was reclassified to a definitive-lived asset. At February 1, 2014, the “Casual Male” trademark has a remaining carrying value of $2.5 million, which is being amortized, on an accelerated basis, over its estimated remaining useful life of 5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on a quarterly basis, we evaluate the realizability of our deferred tax assets and, if needed, establish a valuation allowance against those assets if it is determined that it is more likely than not that the deferred tax assets will not be realized.</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February 1, 2014, we were in a cumulative three-year loss position. Based on this cumulative loss position and our anticipated losses in fiscal 2014, which will increase our cumulative loss, we determined that it was more likely than not that the deferred tax assets at February 1, 2014 would not be realized. Accordingly, we recorded an incremental charge of $51.3 million to establish a full valuation allowance against our deferred tax assets.</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the fourth quarter of fiscal 2011, we recognized an income tax benefit of $42.5 million due to the reversal of a substantial portion of the deferred tax asset valuation allowance. At that time, based on three years of positive earnings and our projections of future taxable income at the time, we determined that it was more likely than not that we would be able to realize the benefits of substantially all of our deferred tax assets. See “Income Taxes” above for more discussion.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We believe that the following impending standards may have an impact on our future filings. The applicability of any standard will be evaluated by us and is still subject to our review.</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July 2013, the Financial Accounting Standards Board (“FASB”) issued Accounting Standards Update (“ASU”) No. 2013-11, Income Taxes (Topic 740): Presentation of an Unrecognized Tax Benefit When a Net Operating Loss Carryforward, a Similar Tax Loss, or a Tax Credit Carryforward Exists (a consensus of the FASB</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Emerging Issues Task Force). U.S. GAAP does not include explicit guidance on the financial statement presentation of an unrecognized tax benefit when a net operating loss carryforward, a similar tax loss, or a tax credit carryforward exists. The amendments in this ASU state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We currently present these tax items in accordance with this guidance; therefore no changes are necessary for adoption.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utilize cash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June 26, 2018, bear interest at variable rates based on Bank of America’s prime rate or LIBOR. At February 1, 2014, we had outstanding borrowings of approximately $9.0 million. Based upon a sensitivity analysis as of February 1, 2014, assuming average outstanding borrowing during fiscal 2013 of $14.9 million, a 50 basis point increase in interest rates would have increased interest expense by approximately $0.1 million.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If the value of the Canadian dollar or the British pound against the U.S. dollar weakens, the revenues and earnings of these operations will be reduced when they are translated or remeasured to U.S. dollars. Also, the value of these assets to U.S. dollars may decline. As of February 1, 2014,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gridSpan w:val="7"/>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7180" w:type="dxa"/>
            <w:vAlign w:val="bottom"/>
            <w:gridSpan w:val="7"/>
            <w:vMerge w:val="continue"/>
          </w:tcPr>
          <w:p>
            <w:pPr>
              <w:spacing w:after="0"/>
              <w:rPr>
                <w:sz w:val="13"/>
                <w:szCs w:val="13"/>
                <w:color w:val="auto"/>
              </w:rPr>
            </w:pPr>
          </w:p>
        </w:tc>
        <w:tc>
          <w:tcPr>
            <w:tcW w:w="2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8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3060" w:type="dxa"/>
            <w:vAlign w:val="bottom"/>
            <w:gridSpan w:val="2"/>
          </w:tcPr>
          <w:p>
            <w:pPr>
              <w:spacing w:after="0"/>
              <w:rPr>
                <w:sz w:val="24"/>
                <w:szCs w:val="24"/>
                <w:color w:val="auto"/>
              </w:rPr>
            </w:pP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6720" w:type="dxa"/>
            <w:vAlign w:val="bottom"/>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Balance Sheets at February 1, 2014 and February 2, 2013</w:t>
              </w:r>
            </w:hyperlink>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88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Statements of Operations for the Fiscal Years Ended February 1, 2014, February 2, 2013 and January 28, 2012</w:t>
              </w:r>
            </w:hyperlink>
          </w:p>
        </w:tc>
        <w:tc>
          <w:tcPr>
            <w:tcW w:w="17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720" w:type="dxa"/>
            <w:vAlign w:val="bottom"/>
            <w:gridSpan w:val="6"/>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Comprehensive Income (Loss) for the Fiscal Years Ended February</w:t>
              </w:r>
            </w:hyperlink>
          </w:p>
        </w:tc>
        <w:tc>
          <w:tcPr>
            <w:tcW w:w="3860" w:type="dxa"/>
            <w:vAlign w:val="bottom"/>
            <w:gridSpan w:val="4"/>
          </w:tcPr>
          <w:p>
            <w:pPr>
              <w:ind w:left="60"/>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1, 2014, February 2, 2013 and January 28,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140" w:type="dxa"/>
            <w:vAlign w:val="bottom"/>
            <w:tcBorders>
              <w:top w:val="single" w:sz="8" w:color="0000EE"/>
            </w:tcBorders>
            <w:gridSpan w:val="9"/>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Changes in Stockholders’ Equity for the Fiscal Years Ended February 1, 2014, February 2, 2013 and January 28,</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2012</w:t>
              </w:r>
            </w:hyperlink>
          </w:p>
        </w:tc>
        <w:tc>
          <w:tcPr>
            <w:tcW w:w="20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720" w:type="dxa"/>
            <w:vAlign w:val="bottom"/>
            <w:gridSpan w:val="6"/>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Statements of Cash Flows for the Fiscal Years Ended February 1, 2014, February</w:t>
              </w:r>
            </w:hyperlink>
          </w:p>
        </w:tc>
        <w:tc>
          <w:tcPr>
            <w:tcW w:w="3860" w:type="dxa"/>
            <w:vAlign w:val="bottom"/>
            <w:gridSpan w:val="4"/>
          </w:tcPr>
          <w:p>
            <w:pPr>
              <w:ind w:left="20"/>
              <w:spacing w:after="0"/>
              <w:rPr>
                <w:rFonts w:ascii="Arial" w:cs="Arial" w:eastAsia="Arial" w:hAnsi="Arial"/>
                <w:sz w:val="18"/>
                <w:szCs w:val="18"/>
                <w:color w:val="0000EE"/>
              </w:rPr>
            </w:pPr>
            <w:hyperlink w:anchor="page52">
              <w:r>
                <w:rPr>
                  <w:rFonts w:ascii="Arial" w:cs="Arial" w:eastAsia="Arial" w:hAnsi="Arial"/>
                  <w:sz w:val="18"/>
                  <w:szCs w:val="18"/>
                  <w:color w:val="0000EE"/>
                </w:rPr>
                <w:t>2, 2013 and January 28,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8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4"/>
          </w:tcPr>
          <w:p>
            <w:pPr>
              <w:spacing w:after="0"/>
              <w:rPr>
                <w:sz w:val="24"/>
                <w:szCs w:val="24"/>
                <w:color w:val="auto"/>
              </w:rPr>
            </w:pPr>
          </w:p>
        </w:tc>
        <w:tc>
          <w:tcPr>
            <w:tcW w:w="4100" w:type="dxa"/>
            <w:vAlign w:val="bottom"/>
            <w:gridSpan w:val="3"/>
          </w:tcPr>
          <w:p>
            <w:pPr>
              <w:jc w:val="right"/>
              <w:ind w:right="1380"/>
              <w:spacing w:after="0"/>
              <w:rPr>
                <w:sz w:val="20"/>
                <w:szCs w:val="20"/>
                <w:color w:val="auto"/>
              </w:rPr>
            </w:pPr>
            <w:r>
              <w:rPr>
                <w:rFonts w:ascii="Arial" w:cs="Arial" w:eastAsia="Arial" w:hAnsi="Arial"/>
                <w:sz w:val="18"/>
                <w:szCs w:val="18"/>
                <w:color w:val="auto"/>
              </w:rPr>
              <w:t>45</w:t>
            </w: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Destination XL Group, Inc.</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consolidated balance sheet of Destination XL Group, Inc. as of February 1, 2014, and the related consolidated statements of operations, comprehensive income (loss), changes in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Destination XL Group, Inc. as of February 1, 2014, and the results of their operations and their cash flows for the year then ended, in conformity with U.S. generally accepted accounting principles.</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Destination XL Group, Inc.’s internal control over financial reporting as of February 1, 2014, based on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 (COSO), and our report dated March 17, 2014 expressed an unqualified opinion on the effectiveness of the Company’s internal control over financial reporting.</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17, 2014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40" w:firstLine="2695"/>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Destination XL Group, Inc.,</w:t>
      </w:r>
    </w:p>
    <w:p>
      <w:pPr>
        <w:spacing w:after="0" w:line="2"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We have audited the accompanying consolidated balance sheet of Destination XL Group, Inc. as of February 2, 2013 and the related consolidated statements of operations and comprehensive income, stockholders’ equity and cash flows for each of the two years in the period ended February 2, 2013.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Destination XL Group, Inc. at February 2, 2013, and the consolidated results of its operations and its cash flows for each of the two years in the period ended February 2, 2013, in conformity with U.S. generally accepted accounting principles.</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 2014 and February 2,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February 1, 2014</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7"/>
              </w:rPr>
              <w:t>(Fiscal 2013)</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(Fiscal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5"/>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4,544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8,347</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105,556</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82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7,994</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126,441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133,086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102,939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4,393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82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3,608</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237,381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4,561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1,465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32,945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28,227</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9,029</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76,227</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12,145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 and lease incentives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22,835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16,120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56,183</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w w:val="99"/>
              </w:rPr>
              <w:t>Common stock, $0.01 par value, 100,000,000 shares authorized, 61,473,083 and 59,447,008 shares</w:t>
            </w:r>
          </w:p>
        </w:tc>
        <w:tc>
          <w:tcPr>
            <w:tcW w:w="100" w:type="dxa"/>
            <w:vAlign w:val="bottom"/>
          </w:tcPr>
          <w:p>
            <w:pPr>
              <w:spacing w:after="0"/>
              <w:rPr>
                <w:sz w:val="18"/>
                <w:szCs w:val="18"/>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615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issued at February 1, 2014 and February 2, 2013, respectively</w:t>
            </w: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296,501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Treasury stock at cost, 10,877,439 shares at February 1, 2014 and February 2, 2013</w:t>
            </w:r>
          </w:p>
        </w:tc>
        <w:tc>
          <w:tcPr>
            <w:tcW w:w="100" w:type="dxa"/>
            <w:vAlign w:val="bottom"/>
          </w:tcPr>
          <w:p>
            <w:pPr>
              <w:spacing w:after="0"/>
              <w:rPr>
                <w:sz w:val="18"/>
                <w:szCs w:val="18"/>
                <w:color w:val="auto"/>
              </w:rPr>
            </w:pPr>
          </w:p>
        </w:tc>
        <w:tc>
          <w:tcPr>
            <w:tcW w:w="18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(87,977)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(99,608)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8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(4,560)</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104,971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237,381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1, 2014, February 2, 2013 and January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02"/>
              <w:spacing w:after="0" w:line="149" w:lineRule="exact"/>
              <w:rPr>
                <w:sz w:val="20"/>
                <w:szCs w:val="20"/>
                <w:color w:val="auto"/>
              </w:rPr>
            </w:pPr>
            <w:r>
              <w:rPr>
                <w:rFonts w:ascii="Arial" w:cs="Arial" w:eastAsia="Arial" w:hAnsi="Arial"/>
                <w:sz w:val="14"/>
                <w:szCs w:val="14"/>
                <w:b w:val="1"/>
                <w:bCs w:val="1"/>
                <w:color w:val="auto"/>
                <w:w w:val="90"/>
              </w:rPr>
              <w:t>(Fiscal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(Fiscal</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7"/>
          </w:tcPr>
          <w:p>
            <w:pPr>
              <w:ind w:left="52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387,983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399,640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209,569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213,881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212,691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178,414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185,759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170,652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156,366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Provision for trademark impairment</w:t>
            </w:r>
          </w:p>
        </w:tc>
        <w:tc>
          <w:tcPr>
            <w:tcW w:w="100" w:type="dxa"/>
            <w:vAlign w:val="bottom"/>
          </w:tcPr>
          <w:p>
            <w:pPr>
              <w:spacing w:after="0"/>
              <w:rPr>
                <w:sz w:val="18"/>
                <w:szCs w:val="18"/>
                <w:color w:val="auto"/>
              </w:rPr>
            </w:pPr>
          </w:p>
        </w:tc>
        <w:tc>
          <w:tcPr>
            <w:tcW w:w="960" w:type="dxa"/>
            <w:vAlign w:val="bottom"/>
            <w:gridSpan w:val="2"/>
          </w:tcPr>
          <w:p>
            <w:pPr>
              <w:jc w:val="right"/>
              <w:ind w:right="42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191,493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171,835</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187,642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b w:val="1"/>
                <w:bCs w:val="1"/>
                <w:color w:val="auto"/>
                <w:w w:val="92"/>
              </w:rPr>
              <w:t>(13,079)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60" w:type="dxa"/>
            <w:vAlign w:val="bottom"/>
            <w:gridSpan w:val="2"/>
          </w:tcPr>
          <w:p>
            <w:pPr>
              <w:jc w:val="right"/>
              <w:ind w:right="42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(1,046)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provision (benefit) for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(14,125)</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13,303</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45,661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(50,078)</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(59,786)</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44,804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282"/>
              <w:spacing w:after="0"/>
              <w:rPr>
                <w:sz w:val="20"/>
                <w:szCs w:val="20"/>
                <w:color w:val="auto"/>
              </w:rPr>
            </w:pPr>
            <w:r>
              <w:rPr>
                <w:rFonts w:ascii="Arial" w:cs="Arial" w:eastAsia="Arial" w:hAnsi="Arial"/>
                <w:sz w:val="8"/>
                <w:szCs w:val="8"/>
                <w:b w:val="1"/>
                <w:bCs w:val="1"/>
                <w:color w:val="auto"/>
                <w:w w:val="73"/>
              </w:rPr>
              <w:t>)</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(59,786</w:t>
            </w:r>
          </w:p>
        </w:tc>
        <w:tc>
          <w:tcPr>
            <w:tcW w:w="360" w:type="dxa"/>
            <w:vAlign w:val="bottom"/>
            <w:vMerge w:val="continue"/>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6,126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(1.23)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(1.23)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(1.23)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(1.23)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48,473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47,947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1, 2014, February 2, 2013 and January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w:t>
            </w:r>
          </w:p>
        </w:tc>
        <w:tc>
          <w:tcPr>
            <w:tcW w:w="38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February 2,</w:t>
            </w:r>
          </w:p>
        </w:tc>
        <w:tc>
          <w:tcPr>
            <w:tcW w:w="34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January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(Fiscal 2013)</w:t>
            </w:r>
          </w:p>
        </w:tc>
        <w:tc>
          <w:tcPr>
            <w:tcW w:w="38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(Fiscal 2012)</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7"/>
              </w:rPr>
              <w:t>(Fiscal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(59,786)</w:t>
            </w:r>
          </w:p>
        </w:tc>
        <w:tc>
          <w:tcPr>
            <w:tcW w:w="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comprehensive income (loss) before taxes: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Pension plan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 before taxes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Tax (provision) benefit related to items of other comprehensive income (loss)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(58,785)</w:t>
            </w: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6,281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CONSOLIDATED STATEMENTS OF CHANGES IN STOCKHOLDERS’ EQUITY For the fiscal years ended February 1, 2014, February 2, 2013 and January 28, 2012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0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99"/>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Additional</w:t>
            </w:r>
          </w:p>
        </w:tc>
        <w:tc>
          <w:tcPr>
            <w:tcW w:w="13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Paid-in</w:t>
            </w: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Capital</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Amounts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Deficit</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29, 2011</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58,662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291,369</w:t>
            </w: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76"/>
              </w:rPr>
              <w:t>(10,877)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8"/>
              </w:rPr>
              <w:t>$ (87,977)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(88,611)</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(4,036)</w:t>
            </w: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$ 111,332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cancellations</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w w:val="94"/>
              </w:rPr>
              <w:t>Unrecognized loss associated with Pension Plan, net of taxes of $1.0 million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(1,652)</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net of taxes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42,663</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28, 2012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59,359</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594</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293,405</w:t>
            </w: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(10,877)</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(45,948)</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(5,716)</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154,358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gridSpan w:val="2"/>
            <w:vMerge w:val="continue"/>
          </w:tcPr>
          <w:p>
            <w:pPr>
              <w:spacing w:after="0"/>
              <w:rPr>
                <w:sz w:val="12"/>
                <w:szCs w:val="12"/>
                <w:color w:val="auto"/>
              </w:rPr>
            </w:pPr>
          </w:p>
        </w:tc>
        <w:tc>
          <w:tcPr>
            <w:tcW w:w="5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Cancellations of restricted stock, net of issuances</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 compensation in excess of tax benefits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124</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Unrecognized gain associated with Pension Plan, net of taxes of $0.1 million</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net of taxes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color w:val="auto"/>
              </w:rPr>
              <w:t>Balance at February 2, 2013</w:t>
            </w:r>
          </w:p>
        </w:tc>
        <w:tc>
          <w:tcPr>
            <w:tcW w:w="5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3"/>
              </w:rPr>
              <w:t>59,477</w:t>
            </w:r>
          </w:p>
        </w:tc>
        <w:tc>
          <w:tcPr>
            <w:tcW w:w="3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595</w:t>
            </w:r>
          </w:p>
        </w:tc>
        <w:tc>
          <w:tcPr>
            <w:tcW w:w="2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8"/>
              </w:rPr>
              <w:t>293,977</w:t>
            </w:r>
          </w:p>
        </w:tc>
        <w:tc>
          <w:tcPr>
            <w:tcW w:w="6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(10,877)</w:t>
            </w:r>
          </w:p>
        </w:tc>
        <w:tc>
          <w:tcPr>
            <w:tcW w:w="76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 (87,977)</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(39,822)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(5,561)</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161,212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Exercises under option program</w:t>
            </w:r>
          </w:p>
        </w:tc>
        <w:tc>
          <w:tcPr>
            <w:tcW w:w="5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394</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cancellations</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1,281</w:t>
            </w: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(280)</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(59,786)</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1, 2014</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61,473</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296,501</w:t>
            </w: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(10,877)</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(87,977)</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(99,608)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(4,560)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104,971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1, 2014, February 2, 2013 and January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February 1,</w:t>
            </w:r>
          </w:p>
        </w:tc>
        <w:tc>
          <w:tcPr>
            <w:tcW w:w="36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February 2,</w:t>
            </w:r>
          </w:p>
        </w:tc>
        <w:tc>
          <w:tcPr>
            <w:tcW w:w="3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January 28,</w:t>
            </w: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61"/>
        </w:trPr>
        <w:tc>
          <w:tcPr>
            <w:tcW w:w="76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2013)</w:t>
            </w:r>
          </w:p>
        </w:tc>
        <w:tc>
          <w:tcPr>
            <w:tcW w:w="36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(Fiscal 2012)</w:t>
            </w:r>
          </w:p>
        </w:tc>
        <w:tc>
          <w:tcPr>
            <w:tcW w:w="3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7"/>
              </w:rPr>
              <w:t>(Fiscal 2011)</w:t>
            </w:r>
          </w:p>
        </w:tc>
      </w:tr>
      <w:tr>
        <w:trPr>
          <w:trHeight w:val="142"/>
        </w:trPr>
        <w:tc>
          <w:tcPr>
            <w:tcW w:w="7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(59,786)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6,126</w:t>
            </w:r>
          </w:p>
        </w:tc>
        <w:tc>
          <w:tcPr>
            <w:tcW w:w="4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42,663</w:t>
            </w: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Amortization of deferred gain on sale leaseback</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(1,465)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trademark impairment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23,110</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20,841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15,469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12,533</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taxes, net of valuation allowance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45,313</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(51,908)</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Excess tax benefits from stock-based awards</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compensation in excess of tax benefits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Stock compensation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1,893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common stock to Board of Directors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(1,345)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(11,278)</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(1,080)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rent and lease incentives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11,273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r>
      <w:tr>
        <w:trPr>
          <w:trHeight w:val="223"/>
        </w:trPr>
        <w:tc>
          <w:tcPr>
            <w:tcW w:w="7660" w:type="dxa"/>
            <w:vAlign w:val="bottom"/>
          </w:tcPr>
          <w:p>
            <w:pPr>
              <w:ind w:left="8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24,898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23,385</w:t>
            </w:r>
          </w:p>
        </w:tc>
      </w:tr>
      <w:tr>
        <w:trPr>
          <w:trHeight w:val="222"/>
        </w:trPr>
        <w:tc>
          <w:tcPr>
            <w:tcW w:w="7660" w:type="dxa"/>
            <w:vAlign w:val="bottom"/>
          </w:tcPr>
          <w:p>
            <w:pPr>
              <w:ind w:left="4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(54,125)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(32,390)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(18,038)</w:t>
            </w:r>
          </w:p>
        </w:tc>
      </w:tr>
      <w:tr>
        <w:trPr>
          <w:trHeight w:val="223"/>
        </w:trPr>
        <w:tc>
          <w:tcPr>
            <w:tcW w:w="7660" w:type="dxa"/>
            <w:vAlign w:val="bottom"/>
          </w:tcPr>
          <w:p>
            <w:pPr>
              <w:ind w:left="880"/>
              <w:spacing w:after="0"/>
              <w:rPr>
                <w:sz w:val="20"/>
                <w:szCs w:val="20"/>
                <w:color w:val="auto"/>
              </w:rPr>
            </w:pPr>
            <w:r>
              <w:rPr>
                <w:rFonts w:ascii="Arial" w:cs="Arial" w:eastAsia="Arial" w:hAnsi="Arial"/>
                <w:sz w:val="18"/>
                <w:szCs w:val="18"/>
                <w:color w:val="auto"/>
              </w:rPr>
              <w:t>Proceeds from sale of businesses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(54,125)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(32,117)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(17,780)</w:t>
            </w:r>
          </w:p>
        </w:tc>
      </w:tr>
      <w:tr>
        <w:trPr>
          <w:trHeight w:val="222"/>
        </w:trPr>
        <w:tc>
          <w:tcPr>
            <w:tcW w:w="7660" w:type="dxa"/>
            <w:vAlign w:val="bottom"/>
          </w:tcPr>
          <w:p>
            <w:pPr>
              <w:ind w:left="4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borrowings under credit facility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Proceeds from the issuance of long-term debt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17,523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Costs associated with amendment to credit facility and issuance of long-term debt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88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(817)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Excess tax benefits from stock based awards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23"/>
        </w:trPr>
        <w:tc>
          <w:tcPr>
            <w:tcW w:w="7660" w:type="dxa"/>
            <w:vAlign w:val="bottom"/>
          </w:tcPr>
          <w:p>
            <w:pPr>
              <w:ind w:left="880"/>
              <w:spacing w:after="0"/>
              <w:rPr>
                <w:sz w:val="20"/>
                <w:szCs w:val="20"/>
                <w:color w:val="auto"/>
              </w:rPr>
            </w:pPr>
            <w:r>
              <w:rPr>
                <w:rFonts w:ascii="Arial" w:cs="Arial" w:eastAsia="Arial" w:hAnsi="Arial"/>
                <w:sz w:val="18"/>
                <w:szCs w:val="18"/>
                <w:color w:val="auto"/>
              </w:rPr>
              <w:t>Proceeds from the exercise of stock options under option program</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(3,618)</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(2,191)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6,239</w:t>
            </w: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Beginning of the year</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the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4,544</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w:t>
            </w:r>
          </w:p>
        </w:tc>
      </w:tr>
      <w:tr>
        <w:trPr>
          <w:trHeight w:val="20"/>
        </w:trPr>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FEBRUARY 1,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Destination XL Group, Inc. (formerly known as Casual Male Retail Group, Inc. and collectively referred to as the “Company”) is the largest specialty retailer of big &amp; tall men’s apparel. The Company operates under the trade names of Destination XL</w:t>
      </w:r>
      <w:r>
        <w:rPr>
          <w:rFonts w:ascii="Arial" w:cs="Arial" w:eastAsia="Arial" w:hAnsi="Arial"/>
          <w:sz w:val="11"/>
          <w:szCs w:val="11"/>
          <w:color w:val="auto"/>
        </w:rPr>
        <w:t>®</w:t>
      </w:r>
      <w:r>
        <w:rPr>
          <w:rFonts w:ascii="Arial" w:cs="Arial" w:eastAsia="Arial" w:hAnsi="Arial"/>
          <w:sz w:val="18"/>
          <w:szCs w:val="18"/>
          <w:color w:val="auto"/>
        </w:rPr>
        <w:t xml:space="preserve"> (DXL</w:t>
      </w:r>
      <w:r>
        <w:rPr>
          <w:rFonts w:ascii="Arial" w:cs="Arial" w:eastAsia="Arial" w:hAnsi="Arial"/>
          <w:sz w:val="11"/>
          <w:szCs w:val="11"/>
          <w:color w:val="auto"/>
        </w:rPr>
        <w:t>®</w:t>
      </w:r>
      <w:r>
        <w:rPr>
          <w:rFonts w:ascii="Arial" w:cs="Arial" w:eastAsia="Arial" w:hAnsi="Arial"/>
          <w:sz w:val="18"/>
          <w:szCs w:val="18"/>
          <w:color w:val="auto"/>
        </w:rPr>
        <w:t>), Casual Male XL</w:t>
      </w:r>
      <w:r>
        <w:rPr>
          <w:rFonts w:ascii="Arial" w:cs="Arial" w:eastAsia="Arial" w:hAnsi="Arial"/>
          <w:sz w:val="11"/>
          <w:szCs w:val="11"/>
          <w:color w:val="auto"/>
        </w:rPr>
        <w:t>®</w:t>
      </w:r>
      <w:r>
        <w:rPr>
          <w:rFonts w:ascii="Arial" w:cs="Arial" w:eastAsia="Arial" w:hAnsi="Arial"/>
          <w:sz w:val="18"/>
          <w:szCs w:val="18"/>
          <w:color w:val="auto"/>
        </w:rPr>
        <w:t>, Casual Male XL Outlets, Rochester Clothing, B&amp;T Factory Direct™, ShoesXL</w:t>
      </w:r>
      <w:r>
        <w:rPr>
          <w:rFonts w:ascii="Arial" w:cs="Arial" w:eastAsia="Arial" w:hAnsi="Arial"/>
          <w:sz w:val="11"/>
          <w:szCs w:val="11"/>
          <w:color w:val="auto"/>
        </w:rPr>
        <w:t>®</w:t>
      </w:r>
      <w:r>
        <w:rPr>
          <w:rFonts w:ascii="Arial" w:cs="Arial" w:eastAsia="Arial" w:hAnsi="Arial"/>
          <w:sz w:val="18"/>
          <w:szCs w:val="18"/>
          <w:color w:val="auto"/>
        </w:rPr>
        <w:t xml:space="preserve"> and LivingXL</w:t>
      </w:r>
      <w:r>
        <w:rPr>
          <w:rFonts w:ascii="Arial" w:cs="Arial" w:eastAsia="Arial" w:hAnsi="Arial"/>
          <w:sz w:val="11"/>
          <w:szCs w:val="11"/>
          <w:color w:val="auto"/>
        </w:rPr>
        <w:t>®</w:t>
      </w:r>
      <w:r>
        <w:rPr>
          <w:rFonts w:ascii="Arial" w:cs="Arial" w:eastAsia="Arial" w:hAnsi="Arial"/>
          <w:sz w:val="18"/>
          <w:szCs w:val="18"/>
          <w:color w:val="auto"/>
        </w:rPr>
        <w:t>. At February 1, 2014, the Company operated 99 DXL</w:t>
      </w:r>
      <w:r>
        <w:rPr>
          <w:rFonts w:ascii="Arial" w:cs="Arial" w:eastAsia="Arial" w:hAnsi="Arial"/>
          <w:sz w:val="11"/>
          <w:szCs w:val="11"/>
          <w:color w:val="auto"/>
        </w:rPr>
        <w:t>®</w:t>
      </w:r>
      <w:r>
        <w:rPr>
          <w:rFonts w:ascii="Arial" w:cs="Arial" w:eastAsia="Arial" w:hAnsi="Arial"/>
          <w:sz w:val="18"/>
          <w:szCs w:val="18"/>
          <w:color w:val="auto"/>
        </w:rPr>
        <w:t xml:space="preserve"> stores, 250 Casual Male XL retail and outlet stores and 10 Rochester Clothing stores located throughout the United States, including one store in London, England. The Company also operates a direct business throughout the United States and Canada, which includes brand mailers and an aggregated e-commerce site to support its brands and product extensions.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Company has reclassified the long-term portion of its deferred rent and lease incentives from “Accrued Expenses and Other Current Liabilities” into “Deferred Rent and Lease Incentives” on the consolidated balance sheets.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Through the end of fiscal 2011, the Company managed its business as one reportable segment comprised of three operating segments – Casual Male XL, Rochester Clothing and B&amp;T Factory Direct. However, with the continued expansion of the Destination XL (“DXL”) store format and the merger of all of the Company’s websites into one consolidated site, www.destinationxl.com, which carries merchandise from all three of these business formats, the businesses are now managed using retail and direct, as opposed to the previous store formats.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 and ShoesXL.</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fiscal year is a 52-week or 53-week period ending on the Saturday closest to January 31. Fiscal years 2013 and 2011, which were 52-week periods, ended on February 1, 2014 and January 28, 2012, respectively. Fiscal 2012 was a 53-week period that ended on February 2, 2013.</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Accounts receivable primarily includes amounts due for tenant allowances and from the Company’s business partners. For fiscal 2013, fiscal 2012 and fiscal 2011, the Company has not incurred any losses on its accounts receivable.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fair value of long-term debt is classified within Level 2 of the valuation hierarchy. At February 1, 2014 the fair value approximates the carrying amount based upon terms available to the Company for borrowings with similar arrangements and remaining maturities. See Note C, </w:t>
      </w:r>
      <w:r>
        <w:rPr>
          <w:rFonts w:ascii="Arial" w:cs="Arial" w:eastAsia="Arial" w:hAnsi="Arial"/>
          <w:sz w:val="18"/>
          <w:szCs w:val="18"/>
          <w:i w:val="1"/>
          <w:iCs w:val="1"/>
          <w:color w:val="auto"/>
        </w:rPr>
        <w:t>Debt Obligations</w:t>
      </w:r>
      <w:r>
        <w:rPr>
          <w:rFonts w:ascii="Arial" w:cs="Arial" w:eastAsia="Arial" w:hAnsi="Arial"/>
          <w:sz w:val="18"/>
          <w:szCs w:val="18"/>
          <w:color w:val="auto"/>
        </w:rPr>
        <w:t>, for more discussion.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below.</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Retail stores that have indicators of impairment and fail the recoverability test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1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Five to ten years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Equipment</w:t>
            </w:r>
          </w:p>
        </w:tc>
        <w:tc>
          <w:tcPr>
            <w:tcW w:w="6100" w:type="dxa"/>
            <w:vAlign w:val="bottom"/>
          </w:tcPr>
          <w:p>
            <w:pPr>
              <w:ind w:left="1700"/>
              <w:spacing w:after="0"/>
              <w:rPr>
                <w:sz w:val="20"/>
                <w:szCs w:val="20"/>
                <w:color w:val="auto"/>
              </w:rPr>
            </w:pPr>
            <w:r>
              <w:rPr>
                <w:rFonts w:ascii="Arial" w:cs="Arial" w:eastAsia="Arial" w:hAnsi="Arial"/>
                <w:sz w:val="18"/>
                <w:szCs w:val="18"/>
                <w:color w:val="auto"/>
              </w:rPr>
              <w:t>Five to ten years</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1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Lesser of useful lives or related lease term</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Hardware and software</w:t>
            </w:r>
          </w:p>
        </w:tc>
        <w:tc>
          <w:tcPr>
            <w:tcW w:w="6100" w:type="dxa"/>
            <w:vAlign w:val="bottom"/>
          </w:tcPr>
          <w:p>
            <w:pPr>
              <w:ind w:left="1700"/>
              <w:spacing w:after="0"/>
              <w:rPr>
                <w:sz w:val="20"/>
                <w:szCs w:val="20"/>
                <w:color w:val="auto"/>
              </w:rPr>
            </w:pPr>
            <w:r>
              <w:rPr>
                <w:rFonts w:ascii="Arial" w:cs="Arial" w:eastAsia="Arial" w:hAnsi="Arial"/>
                <w:sz w:val="18"/>
                <w:szCs w:val="18"/>
                <w:color w:val="auto"/>
              </w:rPr>
              <w:t>Three to seven years</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ASC Topic 805, Business Combinations, requires that all business combinations be accounted for under the purchase method. The statement further requires separate recognition of intangible assets that meet one of two criteria set forth in the statement. Under ASC Topic 350, Intangibles Goodwill and Other, goodwill and intangible assets with indefinite lives are tested at least annually for impairment. At each reporting period, management analyzes current events and circumstances to determine whether the indefinite life classification for its “Rochester” trademark continues to be valid. If circumstances warrant a change to a finite life, the carrying value of the intangible asset would then be amortized prospectively over the estimated remaining useful life. The Company’s “Casual Male” trademark is considered a finite life asset. Other intangible assets with defined lives are amortized over their useful lives.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least annually, as of the Company’s December month-end, the Company evaluates its “Rochester” trademark. The Company performs an impairment analysis and records an impairment charge for any intangible assets with a carrying value in excess of its fair value.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fourth quarter of fiscal 2013, the “Rochester” trademark was tested for potential impairment, utilizing an income approach with applicable royalty rates applied. The Company concluded that the “Rochester” trademark, with a carrying value of $1.5 million at February 1, 2014, was not impaired. Although the Company expects that some of the Rochester locations will close as part of the DXL expansion, the Rochester Clothing stores that will remain open are currently expected to generate more than sufficient cash flows to support the carrying value of $1.5 million for the “Rochester” trademark.</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fiscal 2011, the Company determined that its “Casual Male” trademark could no longer be considered an indefinite-lived asset. As the Company opens DXL stores, it is closing the majority of its Casual Male XL stores in those respective markets. By fiscal 2017, the Company expects to have only 75 to 100 Casual Male XL retail and outlets stores open. As a result, in the fourth quarter of fiscal 2011, the Company recorded a non-cash impairment charge of $23.1 million against its “Casual Male” trademark. This charge was reflected in “Provision for Trademark Impairment” for the year ended January 28, 2012. The remaining carrying value of the trademark is being amortized on an accelerated basis against projected cash flows through fiscal 2018, its estimated remaining useful life.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intangible assets from February 2, 2013 to February 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680" w:type="dxa"/>
            <w:vAlign w:val="bottom"/>
            <w:gridSpan w:val="2"/>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February 2, 2013</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6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Impairment</w:t>
            </w:r>
          </w:p>
        </w:tc>
        <w:tc>
          <w:tcPr>
            <w:tcW w:w="6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February 1, 2014</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“Rochester” trademark</w:t>
            </w: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 xml:space="preserve">“Casual Male” trademark </w:t>
            </w:r>
            <w:r>
              <w:rPr>
                <w:rFonts w:ascii="Arial" w:cs="Arial" w:eastAsia="Arial" w:hAnsi="Arial"/>
                <w:sz w:val="11"/>
                <w:szCs w:val="11"/>
                <w:color w:val="auto"/>
              </w:rPr>
              <w:t>(1)</w:t>
            </w:r>
          </w:p>
        </w:tc>
        <w:tc>
          <w:tcPr>
            <w:tcW w:w="3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4,110</w:t>
            </w: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(1,646)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intangibles</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Total intangible assets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3"/>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6,256</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(1,863)</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Beginning in fiscal 2012, the “Casual Male” trademark is being accounted for as a finite-lived asset. The gross carrying amount and accumulated amortization of the “Casual Male” trademark subject to amortization, was $6.1 million and $3.6 million, respectively, at February 1, 2014 and $6.1 million and $2.0 million, respectively, at February 2, 2013.</w:t>
      </w:r>
    </w:p>
    <w:p>
      <w:pPr>
        <w:ind w:left="460" w:right="16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$33,000 of the $217,000 of amortization, which relates to the amortization of favorable lease commitments, was included in cost of goods sold (as part of occupancy costs) on the Consolidated Statement of Operations for fiscal 2013.</w:t>
      </w:r>
    </w:p>
    <w:p>
      <w:pPr>
        <w:spacing w:after="0" w:line="138"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Other intangibles included customer lists and favorable lease commitments, with finite lives which ranged from 3 to 16 years based on each asset’s estimated economic useful life. At February 1, 2014, customer lists, with a remaining life of 4.3 years, is the only other intangible remaining.</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gross carrying amount and accumulated amortization of these other intangibles, subject to amortization, were $4.3 million and $3.9 million, respectively, at February 1, 2014 and $4.3 million and $3.7 million, respectively, at February 2, 2013. Amortization expense for fiscal 2013, 2012 and 2011 was $0.2 million, $0.4 million and $0.5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amortization expense for intangible assets, including our “Casual Male” trademark, for the next five fiscal years is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6780" w:type="dxa"/>
            <w:vAlign w:val="bottom"/>
            <w:gridSpan w:val="4"/>
          </w:tcPr>
          <w:p>
            <w:pPr>
              <w:ind w:left="5860"/>
              <w:spacing w:after="0"/>
              <w:rPr>
                <w:sz w:val="20"/>
                <w:szCs w:val="20"/>
                <w:color w:val="auto"/>
              </w:rPr>
            </w:pPr>
            <w:r>
              <w:rPr>
                <w:rFonts w:ascii="Arial" w:cs="Arial" w:eastAsia="Arial" w:hAnsi="Arial"/>
                <w:sz w:val="14"/>
                <w:szCs w:val="14"/>
                <w:b w:val="1"/>
                <w:bCs w:val="1"/>
                <w:color w:val="auto"/>
                <w:w w:val="93"/>
              </w:rPr>
              <w:t>(in thousands)</w:t>
            </w:r>
          </w:p>
        </w:tc>
      </w:tr>
      <w:tr>
        <w:trPr>
          <w:trHeight w:val="203"/>
        </w:trPr>
        <w:tc>
          <w:tcPr>
            <w:tcW w:w="980" w:type="dxa"/>
            <w:vAlign w:val="bottom"/>
            <w:tcBorders>
              <w:top w:val="single" w:sz="8" w:color="CCEEFF"/>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2014</w:t>
            </w:r>
          </w:p>
        </w:tc>
        <w:tc>
          <w:tcPr>
            <w:tcW w:w="5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1,085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0" w:type="dxa"/>
            <w:vAlign w:val="bottom"/>
          </w:tcPr>
          <w:p>
            <w:pPr>
              <w:jc w:val="right"/>
              <w:ind w:right="116"/>
              <w:spacing w:after="0"/>
              <w:rPr>
                <w:sz w:val="20"/>
                <w:szCs w:val="20"/>
                <w:color w:val="auto"/>
              </w:rPr>
            </w:pPr>
            <w:r>
              <w:rPr>
                <w:rFonts w:ascii="Arial" w:cs="Arial" w:eastAsia="Arial" w:hAnsi="Arial"/>
                <w:sz w:val="18"/>
                <w:szCs w:val="18"/>
                <w:color w:val="auto"/>
              </w:rPr>
              <w:t>2015</w:t>
            </w:r>
          </w:p>
        </w:tc>
        <w:tc>
          <w:tcPr>
            <w:tcW w:w="61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2016</w:t>
            </w:r>
          </w:p>
        </w:tc>
        <w:tc>
          <w:tcPr>
            <w:tcW w:w="61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jc w:val="right"/>
              <w:ind w:right="116"/>
              <w:spacing w:after="0"/>
              <w:rPr>
                <w:sz w:val="20"/>
                <w:szCs w:val="20"/>
                <w:color w:val="auto"/>
              </w:rPr>
            </w:pPr>
            <w:r>
              <w:rPr>
                <w:rFonts w:ascii="Arial" w:cs="Arial" w:eastAsia="Arial" w:hAnsi="Arial"/>
                <w:sz w:val="18"/>
                <w:szCs w:val="18"/>
                <w:color w:val="auto"/>
              </w:rPr>
              <w:t>2017</w:t>
            </w:r>
          </w:p>
        </w:tc>
        <w:tc>
          <w:tcPr>
            <w:tcW w:w="61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61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expenses in-store advertising costs as incurred. Television advertising costs are expensed in the period in which the advertising is first aired. Direct response advertising costs, which consist of catalog production and postage costs, are deferred and amortized over the period of expected direct marketing revenues, which is less than one year. There were no deferred direct response costs at February 1, 2014. Direct response costs which were deferred at February 2, 2013 were $0.5 million. Advertising expense, which is included in selling, general and administrative expenses, was $27.8 million, $18.5 million and $19.6 million for fiscal 2013, 2012 and 2011,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Revenue from the Company’s retail store operation is recorded upon purchase of merchandise by customers, net of an allowance for sales returns. Revenue from the Company’s catalog and e-commerce operations is recognized at the time a customer order is delivered, net of an allowance for sales returns.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(Loss)—(“AOCI”)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comprehensive income (loss) includes amounts related to foreign currency and pension plans and is reported in the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Other comprehensive income and reclassifications from AOCI for fiscal 2013, fiscal 2012 and fiscal 2011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ind w:left="136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5"/>
              </w:rPr>
              <w:t>Fiscal 2013</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Fiscal 2012</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Fiscal 2011</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Foreign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84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Foreign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7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Foreign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Pension Plans</w:t>
            </w: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the fiscal year</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267</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$(5,561)</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$(5,949)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$(5,716)</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reclassifications, net of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(280)</w:t>
            </w:r>
          </w:p>
        </w:tc>
        <w:tc>
          <w:tcPr>
            <w:tcW w:w="560" w:type="dxa"/>
            <w:vAlign w:val="bottom"/>
          </w:tcPr>
          <w:p>
            <w:pPr>
              <w:jc w:val="right"/>
              <w:spacing w:after="0"/>
              <w:rPr>
                <w:sz w:val="20"/>
                <w:szCs w:val="20"/>
                <w:color w:val="auto"/>
              </w:rPr>
            </w:pPr>
            <w:r>
              <w:rPr>
                <w:rFonts w:ascii="Arial" w:cs="Arial" w:eastAsia="Arial" w:hAnsi="Arial"/>
                <w:sz w:val="18"/>
                <w:szCs w:val="18"/>
                <w:color w:val="auto"/>
              </w:rPr>
              <w:t>607</w:t>
            </w: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Amounts reclassified from accumulated other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 xml:space="preserve">comprehensive income (loss), net of taxes </w:t>
            </w:r>
            <w:r>
              <w:rPr>
                <w:rFonts w:ascii="Arial" w:cs="Arial" w:eastAsia="Arial" w:hAnsi="Arial"/>
                <w:sz w:val="11"/>
                <w:szCs w:val="11"/>
                <w:color w:val="auto"/>
                <w:w w:val="94"/>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w w:val="90"/>
              </w:rPr>
              <w:t>Other comprehensive income (loss) for the period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(280)</w:t>
            </w:r>
          </w:p>
        </w:tc>
        <w:tc>
          <w:tcPr>
            <w:tcW w:w="560" w:type="dxa"/>
            <w:vAlign w:val="bottom"/>
          </w:tcPr>
          <w:p>
            <w:pPr>
              <w:jc w:val="right"/>
              <w:spacing w:after="0"/>
              <w:rPr>
                <w:sz w:val="20"/>
                <w:szCs w:val="20"/>
                <w:color w:val="auto"/>
              </w:rPr>
            </w:pPr>
            <w:r>
              <w:rPr>
                <w:rFonts w:ascii="Arial" w:cs="Arial" w:eastAsia="Arial" w:hAnsi="Arial"/>
                <w:sz w:val="18"/>
                <w:szCs w:val="18"/>
                <w:color w:val="auto"/>
              </w:rPr>
              <w:t>1,001</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fiscal year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(4,560)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(5,828)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(5,949)</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4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$394,000, $516,000 and $328,000 for fiscal 2013, fiscal 2012 and fiscal 2011, respectively. The corresponding tax benefit was $204,000 and $130,000 for fiscal 2012 and fiscal 2011, respectively. There was no corresponding tax benefit for fiscal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At February 1, 2014, the Company operates a direct business in Canada and has one Rochester Clothing store located in London, England. Assets and liabilities of these operations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in its income tax provision. The Company has not accrued or paid interest or penalties which were material to its results of operations for fiscal 2013, fiscal 2012 and fiscal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1998, with remaining fiscal years subject to income tax examination by federal tax authorities.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9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Basic earnings per share are computed by dividing net income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56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1, 2014</w:t>
            </w:r>
          </w:p>
        </w:tc>
        <w:tc>
          <w:tcPr>
            <w:tcW w:w="560" w:type="dxa"/>
            <w:vAlign w:val="bottom"/>
          </w:tcPr>
          <w:p>
            <w:pPr>
              <w:spacing w:after="0"/>
              <w:rPr>
                <w:sz w:val="12"/>
                <w:szCs w:val="12"/>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 2013</w:t>
            </w:r>
          </w:p>
        </w:tc>
        <w:tc>
          <w:tcPr>
            <w:tcW w:w="340" w:type="dxa"/>
            <w:vAlign w:val="bottom"/>
          </w:tcPr>
          <w:p>
            <w:pPr>
              <w:spacing w:after="0"/>
              <w:rPr>
                <w:sz w:val="12"/>
                <w:szCs w:val="12"/>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January 28,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Net Income (Loss):</w:t>
            </w: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Net income (loss) – Basic and Diluted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(59,786)</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6,126</w:t>
            </w:r>
          </w:p>
        </w:tc>
        <w:tc>
          <w:tcPr>
            <w:tcW w:w="60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Basic weighted-average common shares outstanding</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48,473</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47,947</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equivalents - stock options and restricted stock. Common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 equivalents of 443 shares for February 1, 2014 were excluded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due to the net loss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48,473</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48,385</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The following potential common stock equivalents were excluded from the computation of diluted earnings per share in each year because the exercise price of such options was greater than the average market price per share of common stock for the respective periods or the impact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primarily related to unearned compensation.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exercise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319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Stock options (time-vested)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Ranges of exercise prices of such options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FISCAL YEARS ENDED</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56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February 1,</w:t>
            </w:r>
          </w:p>
        </w:tc>
        <w:tc>
          <w:tcPr>
            <w:tcW w:w="116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February 2,</w:t>
            </w:r>
          </w:p>
        </w:tc>
        <w:tc>
          <w:tcPr>
            <w:tcW w:w="4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January 28,</w:t>
            </w:r>
          </w:p>
        </w:tc>
        <w:tc>
          <w:tcPr>
            <w:tcW w:w="20" w:type="dxa"/>
            <w:vAlign w:val="bottom"/>
          </w:tcPr>
          <w:p>
            <w:pPr>
              <w:spacing w:after="0"/>
              <w:rPr>
                <w:sz w:val="11"/>
                <w:szCs w:val="11"/>
                <w:color w:val="auto"/>
              </w:rPr>
            </w:pPr>
          </w:p>
        </w:tc>
      </w:tr>
      <w:tr>
        <w:trPr>
          <w:trHeight w:val="161"/>
        </w:trPr>
        <w:tc>
          <w:tcPr>
            <w:tcW w:w="116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62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2,088</w:t>
            </w:r>
          </w:p>
        </w:tc>
        <w:tc>
          <w:tcPr>
            <w:tcW w:w="4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1,634</w:t>
            </w:r>
          </w:p>
        </w:tc>
        <w:tc>
          <w:tcPr>
            <w:tcW w:w="420" w:type="dxa"/>
            <w:vAlign w:val="bottom"/>
          </w:tcPr>
          <w:p>
            <w:pPr>
              <w:spacing w:after="0"/>
              <w:rPr>
                <w:sz w:val="17"/>
                <w:szCs w:val="17"/>
                <w:color w:val="auto"/>
              </w:rPr>
            </w:pP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2,755</w:t>
            </w:r>
          </w:p>
        </w:tc>
        <w:tc>
          <w:tcPr>
            <w:tcW w:w="20" w:type="dxa"/>
            <w:vAlign w:val="bottom"/>
          </w:tcPr>
          <w:p>
            <w:pPr>
              <w:spacing w:after="0"/>
              <w:rPr>
                <w:sz w:val="17"/>
                <w:szCs w:val="17"/>
                <w:color w:val="auto"/>
              </w:rPr>
            </w:pPr>
          </w:p>
        </w:tc>
      </w:tr>
      <w:tr>
        <w:trPr>
          <w:trHeight w:val="222"/>
        </w:trPr>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w w:val="91"/>
              </w:rPr>
              <w:t>$ 4.96 – $10.26</w:t>
            </w:r>
          </w:p>
        </w:tc>
        <w:tc>
          <w:tcPr>
            <w:tcW w:w="1160" w:type="dxa"/>
            <w:vAlign w:val="bottom"/>
          </w:tcPr>
          <w:p>
            <w:pPr>
              <w:jc w:val="right"/>
              <w:spacing w:after="0"/>
              <w:rPr>
                <w:sz w:val="20"/>
                <w:szCs w:val="20"/>
                <w:color w:val="auto"/>
              </w:rPr>
            </w:pPr>
            <w:r>
              <w:rPr>
                <w:rFonts w:ascii="Arial" w:cs="Arial" w:eastAsia="Arial" w:hAnsi="Arial"/>
                <w:sz w:val="18"/>
                <w:szCs w:val="18"/>
                <w:color w:val="auto"/>
                <w:w w:val="91"/>
              </w:rPr>
              <w:t>$ 3.76 – $10.26</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  3.23 – $10.26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-281305</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6240" w:space="720"/>
            <w:col w:w="4460"/>
          </w:cols>
          <w:pgMar w:left="240" w:top="459" w:right="239" w:bottom="1440" w:gutter="0" w:footer="0" w:header="0"/>
          <w:type w:val="continuous"/>
        </w:sectPr>
      </w:pPr>
    </w:p>
    <w:p>
      <w:pPr>
        <w:ind w:right="60"/>
        <w:spacing w:after="0" w:line="294" w:lineRule="auto"/>
        <w:rPr>
          <w:sz w:val="20"/>
          <w:szCs w:val="20"/>
          <w:color w:val="auto"/>
        </w:rPr>
      </w:pPr>
      <w:r>
        <w:rPr>
          <w:rFonts w:ascii="Arial" w:cs="Arial" w:eastAsia="Arial" w:hAnsi="Arial"/>
          <w:sz w:val="16"/>
          <w:szCs w:val="16"/>
          <w:color w:val="auto"/>
        </w:rPr>
        <w:t>Excluded from the Company’s computation of basic and diluted earnings per share for fiscal 2013, were 944,236 shares of unvested performance-based restricted stock and 1,156,894 performance-based stock options. These performance-based awards will be included in the computation of basic and diluted earnings per share if, and when, the respective performance targets are achieved. In addition, 944,236 shares of unvested time-based restricted stock are excluded from the computation of basic earnings per share until such shares vest. See Note F, Long-Term Performance Share Bonus Plan, for a discussion of the Company’s 2013-2016 LTIP and the respective performance targets.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1,888,472 shares of restricted stock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 xml:space="preserve">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w:t>
      </w:r>
    </w:p>
    <w:p>
      <w:pPr>
        <w:spacing w:after="0" w:line="10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recognized total compensation expense of $1.9 million, with no tax effect, in fiscal 2013. For fiscal 2012 and fiscal 2011, the Company recognized total compensation expense of $0.8 million, or $0.5 million after tax, and $1.3 million, or $1.2 million after tax, for fiscal 2013, fiscal 2012 and fiscal 2011, respectively.</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total compensation cost related to time-vested stock options and time-based restricted stock awards not yet recognized as of February 1, 2014 is approximately $5.0 million which will be expensed over a weighted average remaining life of approximately 27 months. At February 1, 2014, the Company had $7.2 million of unrecognized compensation expense related to its performance-based stock options and restricted stock. As discussed below in Note F, “Long-Term Performance Share Bonus Plan”, the Company would begin recognizing compensation when achievement of the performance targets becomes probable.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fair value of options vested was $0.1 million, $0.1 million and $1.1 million for fiscal 2013, 2012 and 2011, respectively.</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cumulative compensation cost of stock based awards is treated as a temporary difference for stock-based awards that are deductible for tax purposes. If a deduction reported on a tax return exceeds the cumulative compensation cost for those awards, any resulting realized tax benefit that exceeds the previously recognized deferred tax asset for those awards (the excess tax benefit) is recognized as additional paid-in capital. If the amount deductible is less than the cumulative compensation cost recognized for financial reporting purposes, the write-off of a deferred tax asset related to that deficiency, net of the related valuation allowance, if any, is first offset to the extent of any remaining additional paid-in capital from excess tax benefits from previous awards with the remainder recognized through income tax expense.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Assumptions for Stock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2013,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FISCAL YEARS ENDED</w:t>
            </w:r>
          </w:p>
        </w:tc>
        <w:tc>
          <w:tcPr>
            <w:tcW w:w="1400" w:type="dxa"/>
            <w:vAlign w:val="bottom"/>
            <w:tcBorders>
              <w:bottom w:val="single" w:sz="8" w:color="auto"/>
            </w:tcBorders>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138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February 1, 2014</w:t>
            </w:r>
          </w:p>
        </w:tc>
        <w:tc>
          <w:tcPr>
            <w:tcW w:w="220" w:type="dxa"/>
            <w:vAlign w:val="bottom"/>
          </w:tcPr>
          <w:p>
            <w:pPr>
              <w:spacing w:after="0"/>
              <w:rPr>
                <w:sz w:val="12"/>
                <w:szCs w:val="12"/>
                <w:color w:val="auto"/>
              </w:rPr>
            </w:pPr>
          </w:p>
        </w:tc>
        <w:tc>
          <w:tcPr>
            <w:tcW w:w="15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February 2, 2013</w:t>
            </w:r>
          </w:p>
        </w:tc>
        <w:tc>
          <w:tcPr>
            <w:tcW w:w="14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January 28, 2012</w:t>
            </w: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52.0%</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0.34%-0.79%</w:t>
            </w:r>
          </w:p>
        </w:tc>
        <w:tc>
          <w:tcPr>
            <w:tcW w:w="1600" w:type="dxa"/>
            <w:vAlign w:val="bottom"/>
            <w:gridSpan w:val="2"/>
          </w:tcPr>
          <w:p>
            <w:pPr>
              <w:jc w:val="center"/>
              <w:ind w:left="117"/>
              <w:spacing w:after="0"/>
              <w:rPr>
                <w:sz w:val="20"/>
                <w:szCs w:val="20"/>
                <w:color w:val="auto"/>
              </w:rPr>
            </w:pPr>
            <w:r>
              <w:rPr>
                <w:rFonts w:ascii="Arial" w:cs="Arial" w:eastAsia="Arial" w:hAnsi="Arial"/>
                <w:sz w:val="18"/>
                <w:szCs w:val="18"/>
                <w:color w:val="auto"/>
                <w:w w:val="88"/>
              </w:rPr>
              <w:t>0.31%-0.67%</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0.32%-1.89%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3.0-4.1</w:t>
            </w:r>
          </w:p>
        </w:tc>
        <w:tc>
          <w:tcPr>
            <w:tcW w:w="16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9"/>
              </w:rPr>
              <w:t>3.0-4.5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2.5-4.5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Dividend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$2.07</w:t>
            </w:r>
          </w:p>
        </w:tc>
        <w:tc>
          <w:tcPr>
            <w:tcW w:w="160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88"/>
              </w:rPr>
              <w:t>$1.46</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$1.53</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fourth quarter of fiscal 2013, the Company recorded an impairment charge of $1.5 million for the write-down of property and equipment. The impairment charge related to stores where the carrying value exceeded fair value. The fair value of these assets, based on Level 3 inputs, was determined using the estimated discounted cash flows. The impairment charge is included in Depreciation and Amortization on the Consolidated Statement of Operations for fiscal 2013. There were no material impairment charges in fiscal 2012 or fiscal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July 2013, the Financial Accounting Standards Board (“FASB”) issued Accounting Standards Update (“ASU”) No. 2013-11, Income Taxes (Topic 740): Presentation of an Unrecognized Tax Benefit When a Net Operating Loss Carryforward, a Similar Tax Loss, or a Tax Credit Carryforward Exists (a consensus of the FASB Emerging Issues Task Force). U.S. GAAP does not include explicit guidance on the financial statement presentation of an unrecognized tax benefit when a net operating loss carryforward, a similar tax loss, or a tax credit carryforward exists. The amendments in this ASU state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currently presents these tax items in accordance with this guidance, therefore, no changes are necessary for adoption.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540" w:type="dxa"/>
            <w:vAlign w:val="bottom"/>
            <w:vMerge w:val="restart"/>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February 1,</w:t>
            </w:r>
          </w:p>
        </w:tc>
        <w:tc>
          <w:tcPr>
            <w:tcW w:w="5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line="148"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20" w:type="dxa"/>
            <w:vAlign w:val="bottom"/>
            <w:tcBorders>
              <w:top w:val="single" w:sz="8" w:color="CCEEFF"/>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55,097</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Hardware and software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202,369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102,939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related to continuing operations for fiscal 2013, 2012 and 2011 was $19.0 million, $13.1 million and $12.1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$1.5 million of depreciation expense in fiscal 2013 related to the impairment of store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June 26, 2013, the Company amended its credit facility with Bank of America, N.A by executing the First Amendment to the Sixth Amended and Restated Loan and Security Agreement (as amended, the “Credit Facility”).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Credit Facility provides for a maximum committed borrowing of $100 million, which, pursuant to an accordion feature, may be increased to $150 million upon the request of the Company and the agreement of the lender(s) participating in the increase. The Credit Facility includes a sublimit of $20 million for commercial and standby letter of credits or the sublimit of up to $15 million for Swingline Loans. The Company’s ability to borrow under the Credit Facility is determined using an availability formula based on eligible assets. The maturity date of the Credit Facility is June 26, 2018. The Company’s obligations under the Credit Facility are secured by a lien on all of its assets.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Borrowings made pursuant to the Credit Facility will bear interest at a rate equal to the base rate (determined as the highest of (a) Bank of America N.A.’s prime rate, (b) the Federal Funds rate plus 0.50% or (c) the annual LIBOR rate for the respective interest period) plus a varying percentage, based on the Company’s borrowing base, of 0.50%-0.75% for prime-based borrowings and 1.50%-1.75% for LIBOR-based borrowings. The Company is also subject to an unused line fee of 0.25%. At February 1, 2014, the Company’s prime-based interest rate was 3.75%.</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At February 1, 2014, the Company had outstanding borrowings under the Credit Facility of $9.0 million. Outstanding standby letters of credit were $2.2 million and documentary letters of credit were $1.5 million. Unused excess availability at February 1, 2014 was $75.5 million. Average monthly borrowings outstanding under this facility during fiscal 2013 were $14.9 million, resulting in an average unused excess availability of approximately $71.2 million. The Company’s ability to borrow under the Credit Facility is determined using an availability formula based on eligible assets, with increased advance rates based on seasonality.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amount outstanding under the Credit Facility at February 1, 2014 approximated the carrying value.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long-term debt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3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48"/>
        </w:trPr>
        <w:tc>
          <w:tcPr>
            <w:tcW w:w="9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w w:val="96"/>
              </w:rPr>
              <w:t>2014</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8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long-term debt</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16,706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(4,561)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12,145</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September 30, 2013, the Company amended its Master Loan and Security Agreement with Banc of America Leasing &amp; Capital, LLC, dated July 20, 2007 (as amended, the “Master Agreement”). Pursuant to the Master Agreement, the Company entered into seven Equipment Security Notes (in aggregate, the “Notes”) for equipment financing, whereby the Company borrowed an aggregate of $17.5 million between September and December 2013. The Notes are for 48 months and accrue interest at fixed rates ranging from 3.07% to 3.29%. Principal and interest are paid monthly, in arrears.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 with Bank of America, N.A.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debt maturities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2"/>
              </w:rPr>
              <w:t>(in thousands)</w:t>
            </w:r>
          </w:p>
        </w:tc>
      </w:tr>
      <w:tr>
        <w:trPr>
          <w:trHeight w:val="210"/>
        </w:trPr>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Fiscal 2014</w:t>
            </w: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interest and fees totaling $1.4 million, $0.5 million and $0.6 million for fiscal 2013, 2012 and fiscal 2011,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Company’s operating results in the fourth quarter of fiscal 2013 were worse than anticipated. The Company also announced a slow down to its DXL rollout strategy resulting in an extension of the plan through fiscal 2017. As a result of the operating loss, the Company entered into a three-year cumulative loss position during the fourth quarter of fiscal 2013. In addition, based on its forecasts that were revised in the fourth quarter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of fiscal 2013, the Company also expects to generate losses in fiscal 2014 and the cumulative three-year loss to increase as of the end of fiscal 2014. After consideration of these factors, the Company has determined that it is more likely than not that it will not be able to realize the benefits of its deferred tax assets in the United States. Accordingly, at February 1, 2014, the Company recorded an incremental charge of $51.3 million to establish a full allowance against its deferred tax assets. The total charge to the valuation allowance of $52.3 million for fiscal 2013 consisted of an increase of $1.0 million in valuation allowance related to its foreign operations and a charge of $51.3 million to establish a full allowance against its remaining deferred tax assets. Realization of the Company’s deferred tax assets, which relate principally to federal net operating loss carryforwards, which expire from 2022 through 2033, is dependent on generating sufficient taxable income over this period.</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fourth quarter of fiscal 2011, the Company determined that it was more likely than not that it would be able to realize the benefits of substantially all of its deferred tax assets in the United States. In reaching this determination, the Company had considered the positive evidence of three years of improved profitability, its expectations regarding the generation of future taxable income, and its market position and expected growth. As a result, the Company reversed $48.3 million in valuation allowance against its deferred tax assets in the United States offset by an increase of $0.5 million in valuation allowance against its foreign deferred tax assets, resulting in a net change in the valuation allowance of $47.8 million.</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February 1, 2014, the Company had net operating loss carryforwards of $109.0 million for federal income tax purposes and $60.7 million for state income tax purposes that are available to offset future taxable income through fiscal year 2032. Additionally, the Company has alternative minimum tax credit carryforwards of $2.3 million, which are available to further reduce income taxes over an indefinite period. Additionally, the Company has $0.1 million and $1.4 million of net operating loss for tax purposes related to the Company’s operations in the Netherlands and Canada, respectively, though both are expected to expire largely unutilized.</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$13.1 million relating to stock compensation deductions, the tax benefit from which, if realized, will be credited to additional paid-in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February 1, 2014 and February 2, 2013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2,911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3,352</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3,378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Gain on sale-leaseback</w:t>
            </w: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LPI</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(6,868)</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assets-current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deferred tax assets – noncurrent: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6,368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6,946</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Lease accruals</w:t>
            </w: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4,544</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3,637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carryforward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38,082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25,110</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Capital loss carryforward</w:t>
            </w: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3,162</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credit carryforward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Federal wage tax credit carryforward</w:t>
            </w: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tax credits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Unrecognized loss on foreign exchange</w:t>
            </w: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loss on pension and pension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2,585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2,292</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of tax over book depreciation/amortization</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(17,518)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(9,647)</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Goodwill and intangibles</w:t>
            </w: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7,656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9,417</w:t>
            </w: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48,485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42,138</w:t>
            </w: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(48,485)</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(3,450)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 noncurrent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38,688</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 xml:space="preserve">Total deferred tax assets </w:t>
            </w:r>
            <w:r>
              <w:rPr>
                <w:rFonts w:ascii="Arial" w:cs="Arial" w:eastAsia="Arial" w:hAnsi="Arial"/>
                <w:sz w:val="11"/>
                <w:szCs w:val="11"/>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45,313</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fiscal 2013, the Company had total deferred tax assets of $72.9 million, total deferred tax liabilities of $17.5 million and a valuation allowance of $55.4 million.</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provision for income taxes from continuing operations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February 1,</w:t>
            </w:r>
          </w:p>
        </w:tc>
        <w:tc>
          <w:tcPr>
            <w:tcW w:w="64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7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Federal and state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Federal and state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45,518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5,084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45,518</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5,084</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(50,810)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provision </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45,661</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276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was no benefit or provision recognized on the loss from discontinued operations for fiscal 2012 or fiscal 2011. 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is a reconciliation between the statutory and effective income tax rates in dollars for the provision for income tax from continuing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1,</w:t>
            </w:r>
          </w:p>
        </w:tc>
        <w:tc>
          <w:tcPr>
            <w:tcW w:w="48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the statutory rate</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(4,944)</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4,656</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(1,846)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Change in uncertain tax positions</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Charge/(income) for valuation allowance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52,339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45,661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February 1, 2014 was $3.2 million. This amount is directly associated with a current year tax position related to exiting the European Direct business. The amount of unrecognized tax benefit has been presented as a reduction in the reported amounts of our federal and state NOL carryforwards. It is our policy to record interest and penalties on unrecognized tax benefits as income taxes; however, no penalties or interest have been accrued on this liability because the carryforwards have not yet been utilized. The reversal of this liability would result in a tax benefit being recognized in the period in which we determine the liability is no longer necessary. At February 2, 2013, the Company had no material unrecognized tax benefits based on the provisions of ASC 740.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tax payments of $0.2 million, $0.5 million and $1.2 million for fiscal years 2013, 2012 and 2011,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February 1, 2014,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w:t>
            </w: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2015</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2017</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2018</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5 to 10 years in length and contain renewal options extending their terms by 5 to 10 years.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$57.8 million, $54.9 million and $53.0 million for fiscal 2013, fiscal 2012 and fiscal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fiscal 2006, as part of a sale-leaseback transaction with a subsidiary of Spirit Finance Corp. (“Spirit”), the Company entered into a twenty-year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$5.1 million will be offset each lease year by $1.5 million related to the amortization of this deferred gain. This lease commitment, excluding the impact of the gain, is included in the above table of expected future minimum rentals obligations.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During the fourth quarter of fiscal 2013, the Company incurred a charge of approximately $2.3 million for the accrual of severance payments and related legal costs for the former chief financial officer, reduced by the effect of forfeitures of previously expensed unvested restricted stock award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PERFORMANCE SHARE BONUS PLAN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the second quarter of fiscal 2013, the 2013-2016 Destination XL Group, Inc. Long-Term Incentive Plan (the “2013-2016 LTIP”) was approved and put into place. Pursuant to the terms of the 2013-2016 LTIP, on the date of grant, each participant was granted an unearned and unvested award equal in value to four times his/her annual salary multiplied by the applicable long-term incentive program percentage, which is 100% for the Company’s executive officers, 70% for its senior executives and 50% for other participants in the 2013-2016 LTIP, which we refer to as the “Projected Benefit Amount.” Each participant received 50% of the Projected Benefit Amount in shares of restricted stock, 25% in stock options and the remaining 25% in cash. All awards granted under the 2013-2016 LTIP were granted from the Company’s 2006 Incentive Compensation Plan, see Note G, “</w:t>
      </w:r>
      <w:r>
        <w:rPr>
          <w:rFonts w:ascii="Arial" w:cs="Arial" w:eastAsia="Arial" w:hAnsi="Arial"/>
          <w:sz w:val="16"/>
          <w:szCs w:val="16"/>
          <w:i w:val="1"/>
          <w:iCs w:val="1"/>
          <w:color w:val="auto"/>
        </w:rPr>
        <w:t>Stock Options and Restricted Stock</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at the end of fiscal 2015 and the remaining 40% vesting at the end of fiscal 2016.</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becomes fully vested.</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2015,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4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would be approximately $19.2 million. Approximately half of the compensation expense relates to the time-vested awards, which is being expensed over forty-four months, based on the respective vesting dates. As the performance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targets were not deemed probable at February 1, 2014, no expense for the performance-based awards has been recognized for fiscal 2013. The Company expensed $1.8 million in fiscal 2013 related to the time-vested awards. The $1.8 million is included in the Company’s total stock compensation expense for fiscal 2013 of $1.9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 AND RESTRICTED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has one active stock-based compensation plan: the 2006 Incentive Compensation Plan (as amended and restated effective as of August 1, 2013, the “2006 Plan”). Under the terms of the 2006 Plan, up to 7,250,000 shares of common stock are available for the granting of awards; provided, however, that the maximum number of those shares that may be subject to the granting of awards other than stock options and stock appreciation rights cannot exceed 4,250,000 shares. The terms of the 2006 Plan provide for grants of stock options, SARs, restricted stock, deferred stock, other stock-related awards and performance awards that may be settled in cash, stock or other property.</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is authorized to make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 expire ten years from the date of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2006 Plan for fiscal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Exercise price</w:t>
            </w: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per</w:t>
            </w: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5600" w:type="dxa"/>
            <w:vAlign w:val="bottom"/>
            <w:gridSpan w:val="3"/>
            <w:vMerge w:val="continue"/>
          </w:tcPr>
          <w:p>
            <w:pPr>
              <w:spacing w:after="0"/>
              <w:rPr>
                <w:sz w:val="12"/>
                <w:szCs w:val="12"/>
                <w:color w:val="auto"/>
              </w:rPr>
            </w:pPr>
          </w:p>
        </w:tc>
        <w:tc>
          <w:tcPr>
            <w:tcW w:w="146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w w:val="97"/>
              </w:rPr>
              <w:t>of Shares</w:t>
            </w:r>
          </w:p>
        </w:tc>
        <w:tc>
          <w:tcPr>
            <w:tcW w:w="100" w:type="dxa"/>
            <w:vAlign w:val="bottom"/>
          </w:tcPr>
          <w:p>
            <w:pPr>
              <w:spacing w:after="0"/>
              <w:rPr>
                <w:sz w:val="12"/>
                <w:szCs w:val="12"/>
                <w:color w:val="auto"/>
              </w:rPr>
            </w:pPr>
          </w:p>
        </w:tc>
        <w:tc>
          <w:tcPr>
            <w:tcW w:w="16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7"/>
              </w:rPr>
              <w:t>Contractual 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options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376,374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4.31</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2,781,938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5.05</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(426,743)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5.05</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3.98</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end of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2,721,569</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 years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1,264,148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1,439,330</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4.89</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8.5 years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814,934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317,588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4.57</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 years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intrinsic value of options exercised was $23,700 in fiscal 2013. There were no options exercised in fiscal 2012.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Activity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for non-vested shares (“restricted shares”) under the 2006 Plan for fiscal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400" w:type="dxa"/>
            <w:vAlign w:val="bottom"/>
            <w:gridSpan w:val="2"/>
          </w:tcPr>
          <w:p>
            <w:pPr>
              <w:jc w:val="right"/>
              <w:ind w:right="780"/>
              <w:spacing w:after="0" w:line="135" w:lineRule="exact"/>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62"/>
        </w:trPr>
        <w:tc>
          <w:tcPr>
            <w:tcW w:w="8300" w:type="dxa"/>
            <w:vAlign w:val="bottom"/>
            <w:gridSpan w:val="3"/>
          </w:tcPr>
          <w:p>
            <w:pPr>
              <w:spacing w:after="0"/>
              <w:rPr>
                <w:sz w:val="20"/>
                <w:szCs w:val="20"/>
                <w:color w:val="auto"/>
              </w:rPr>
            </w:pPr>
            <w:r>
              <w:rPr>
                <w:rFonts w:ascii="Arial" w:cs="Arial" w:eastAsia="Arial" w:hAnsi="Arial"/>
                <w:sz w:val="14"/>
                <w:szCs w:val="14"/>
                <w:b w:val="1"/>
                <w:bCs w:val="1"/>
                <w:color w:val="auto"/>
              </w:rPr>
              <w:t>Restricted Shares</w:t>
            </w: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of Shares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line="162" w:lineRule="exact"/>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Restricted shares outstanding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483,403</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2,229,364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(311,755)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Restricted shares canceled</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(383,072)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outstanding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2,017,940</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20" w:right="3880" w:hanging="5612"/>
        <w:spacing w:after="0" w:line="440" w:lineRule="auto"/>
        <w:tabs>
          <w:tab w:leader="none" w:pos="4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 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Approximately $8.1 million of the total unrecognized stock compensation cost of $12.2 million is related to restricted shares unvested at February 1, 2014. Approximately $4.8 million of the $8.1 million of unrecognized stock compensation is tied to performance-based awards, which were not deemed probable at February 1, 2014. The remaining $3.3 million of unrecognized stock compensation is tied to time-based awards and is expected to be recognized over a weighted-average period of 27.0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Availability Under the 2006 Plan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February 1, 2014, the Company has 1,206,540 shares available for future grant under the 2006 Plan. Of this amount, 963,109 shares remain available for awards other than options and stock appreciation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1992 Plan—Stock Option Activity-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Grants still remain outstanding under the Company’s previous 1992 Stock Incentive Plan (as amended, the “1992 Plan”). As a result of the adoption of the 2006 Plan, however, no further grants can be made under the 1992 Plan. The following table summarizes stock option activity under the 1992 Plan for fiscal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8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Exercise price</w:t>
            </w:r>
          </w:p>
        </w:tc>
        <w:tc>
          <w:tcPr>
            <w:tcW w:w="18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540" w:type="dxa"/>
            <w:vAlign w:val="bottom"/>
            <w:gridSpan w:val="2"/>
          </w:tcPr>
          <w:p>
            <w:pPr>
              <w:jc w:val="right"/>
              <w:ind w:right="920"/>
              <w:spacing w:after="0" w:line="13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1"/>
                <w:szCs w:val="11"/>
                <w:color w:val="auto"/>
              </w:rPr>
            </w:pPr>
          </w:p>
        </w:tc>
        <w:tc>
          <w:tcPr>
            <w:tcW w:w="1720" w:type="dxa"/>
            <w:vAlign w:val="bottom"/>
            <w:gridSpan w:val="2"/>
          </w:tcPr>
          <w:p>
            <w:pPr>
              <w:jc w:val="center"/>
              <w:ind w:right="840"/>
              <w:spacing w:after="0" w:line="135" w:lineRule="exact"/>
              <w:rPr>
                <w:sz w:val="20"/>
                <w:szCs w:val="20"/>
                <w:color w:val="auto"/>
              </w:rPr>
            </w:pPr>
            <w:r>
              <w:rPr>
                <w:rFonts w:ascii="Arial" w:cs="Arial" w:eastAsia="Arial" w:hAnsi="Arial"/>
                <w:sz w:val="14"/>
                <w:szCs w:val="14"/>
                <w:b w:val="1"/>
                <w:bCs w:val="1"/>
                <w:color w:val="auto"/>
                <w:w w:val="91"/>
              </w:rPr>
              <w:t>per</w:t>
            </w:r>
          </w:p>
        </w:tc>
        <w:tc>
          <w:tcPr>
            <w:tcW w:w="182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2"/>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7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Option</w:t>
            </w:r>
          </w:p>
        </w:tc>
        <w:tc>
          <w:tcPr>
            <w:tcW w:w="18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Contractual Term</w:t>
            </w:r>
          </w:p>
        </w:tc>
        <w:tc>
          <w:tcPr>
            <w:tcW w:w="68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 xml:space="preserve">Value </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1,329,815</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left="578"/>
              <w:spacing w:after="0" w:line="203" w:lineRule="exact"/>
              <w:rPr>
                <w:sz w:val="20"/>
                <w:szCs w:val="20"/>
                <w:color w:val="auto"/>
              </w:rPr>
            </w:pPr>
            <w:r>
              <w:rPr>
                <w:rFonts w:ascii="Arial" w:cs="Arial" w:eastAsia="Arial" w:hAnsi="Arial"/>
                <w:sz w:val="18"/>
                <w:szCs w:val="18"/>
                <w:color w:val="auto"/>
                <w:w w:val="85"/>
              </w:rPr>
              <w:t>6.35</w:t>
            </w: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8.73</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1"/>
                <w:szCs w:val="11"/>
                <w:color w:val="auto"/>
              </w:rPr>
              <w:t>(1)</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(400,040)</w:t>
            </w:r>
          </w:p>
        </w:tc>
        <w:tc>
          <w:tcPr>
            <w:tcW w:w="8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5.16</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911,775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6.82</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 years</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911,775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6.82</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0.6 years</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911,775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6.82</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 years</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options that were exercised through net share settlement. As a result, only 96,245 shares were issued with no corresponding option cost.</w:t>
      </w:r>
    </w:p>
    <w:p>
      <w:pPr>
        <w:spacing w:after="0" w:line="38" w:lineRule="exact"/>
        <w:rPr>
          <w:rFonts w:ascii="Arial" w:cs="Arial" w:eastAsia="Arial" w:hAnsi="Arial"/>
          <w:sz w:val="16"/>
          <w:szCs w:val="16"/>
          <w:color w:val="auto"/>
        </w:rPr>
      </w:pPr>
    </w:p>
    <w:p>
      <w:pPr>
        <w:ind w:left="460" w:right="2120" w:hanging="452"/>
        <w:spacing w:after="0" w:line="535" w:lineRule="auto"/>
        <w:tabs>
          <w:tab w:leader="none" w:pos="4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majority of outstanding options were out-of-the-money at February 1, 2014; therefore, the intrinsic value was immaterial. The total intrinsic value of options exercised was $182,900 for fiscal 2013 and $99,400 for fiscal 2012.</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shares of common stock, with the respective fair value, were issued to its non-employee directors as compensation for fiscal 2013, fiscal 2012 and fiscal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shares of</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 of</w:t>
            </w:r>
          </w:p>
        </w:tc>
      </w:tr>
      <w:tr>
        <w:trPr>
          <w:trHeight w:val="161"/>
        </w:trPr>
        <w:tc>
          <w:tcPr>
            <w:tcW w:w="32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1"/>
              </w:rPr>
              <w:t>common stock issued</w:t>
            </w:r>
          </w:p>
        </w:tc>
        <w:tc>
          <w:tcPr>
            <w:tcW w:w="12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88"/>
              </w:rPr>
              <w:t>common stock issued</w:t>
            </w:r>
          </w:p>
        </w:tc>
      </w:tr>
      <w:tr>
        <w:trPr>
          <w:trHeight w:val="210"/>
        </w:trPr>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Fiscal 2013</w:t>
            </w:r>
          </w:p>
        </w:tc>
        <w:tc>
          <w:tcPr>
            <w:tcW w:w="4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43,541</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Fiscal 2012</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31,707</w:t>
            </w: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123,976</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117,221</w:t>
            </w:r>
          </w:p>
        </w:tc>
        <w:tc>
          <w:tcPr>
            <w:tcW w:w="100" w:type="dxa"/>
            <w:vAlign w:val="bottom"/>
            <w:shd w:val="clear" w:color="auto" w:fill="CCEEFF"/>
          </w:tcPr>
          <w:p>
            <w:pPr>
              <w:spacing w:after="0"/>
              <w:rPr>
                <w:sz w:val="18"/>
                <w:szCs w:val="18"/>
                <w:color w:val="auto"/>
              </w:rPr>
            </w:pPr>
          </w:p>
        </w:tc>
      </w:tr>
      <w:tr>
        <w:trPr>
          <w:trHeight w:val="363"/>
        </w:trPr>
        <w:tc>
          <w:tcPr>
            <w:tcW w:w="3220" w:type="dxa"/>
            <w:vAlign w:val="bottom"/>
          </w:tcPr>
          <w:p>
            <w:pPr>
              <w:spacing w:after="0"/>
              <w:rPr>
                <w:sz w:val="24"/>
                <w:szCs w:val="24"/>
                <w:color w:val="auto"/>
              </w:rPr>
            </w:pPr>
          </w:p>
        </w:tc>
        <w:tc>
          <w:tcPr>
            <w:tcW w:w="4440" w:type="dxa"/>
            <w:vAlign w:val="bottom"/>
          </w:tcPr>
          <w:p>
            <w:pPr>
              <w:jc w:val="right"/>
              <w:ind w:right="1772"/>
              <w:spacing w:after="0"/>
              <w:rPr>
                <w:sz w:val="20"/>
                <w:szCs w:val="20"/>
                <w:color w:val="auto"/>
              </w:rPr>
            </w:pPr>
            <w:r>
              <w:rPr>
                <w:rFonts w:ascii="Arial" w:cs="Arial" w:eastAsia="Arial" w:hAnsi="Arial"/>
                <w:sz w:val="18"/>
                <w:szCs w:val="18"/>
                <w:color w:val="auto"/>
              </w:rPr>
              <w:t>68</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Seymour Holtzman, the Chairman of the Board of Directors of the Company, is compensated by the Company both directly (as an employee of the Company) and indirectly (as the president and chief executive officer and the indirect majority shareholder of Jewelcor Management Inc. (“JMI”)).</w:t>
      </w:r>
    </w:p>
    <w:p>
      <w:pPr>
        <w:spacing w:after="0" w:line="85"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Since October 1999, the Company has had an ongoing consulting agreement with JMI to provide the Company with services as may be agreed upon between JMI and the Company. Mr. Holtzman, who has been the Company’s Chairman of the Board since April 11, 2000, is the beneficial holder of approximately 9.8% of the outstanding common stock of the Company at February 1, 2014.</w:t>
      </w:r>
    </w:p>
    <w:p>
      <w:pPr>
        <w:spacing w:after="0" w:line="14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Pursuant to the consulting agreement, which was most recently amended in April 2011, and by virtue of his employment, Mr. Holtzman, both directly and indirectly through JMI, receives in the aggregate annual consulting and employment compensation of $575,000, payable in cash. The term of the consulting agreement was to expire on April 29, 2013, however, commencing on April 29, 2012, the consulting agreement automatically extends for an additional one–year term on each anniversary date of the effective date unless either party shall give the other party ninety days written notice prior to such anniversary date that it will not extend the term. Therefore, the current term of the consulting agreement is April 29, 2015. Subsequent to the end of fiscal 2013, the Compensation Committee accepted Mr. Holtzman’s voluntary reduction in his consulting and employment compensation to $396,750, effective February 1, 2014.</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January 30, 2014, John Kyees, a director of the Company since 2010, accepted the role of interim Chief Financial Officer. Subsequent to the end of fiscal 2013, the Company entered into an employment agreement with Mr. Kyees, effective February 2, 2014, whereby Mr. Kyees will receive compensation at a rate of $3,000 per day plus benefits and reimbursement for all business and travel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items. The amortization of the unrecognized loss included in accumulated other comprehensive income (loss) and expected to be recognized in net periodic pension cost in fiscal 2014 is $554,600.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February 1, 2014 and February 2,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48"/>
        </w:trPr>
        <w:tc>
          <w:tcPr>
            <w:tcW w:w="5840" w:type="dxa"/>
            <w:vAlign w:val="bottom"/>
            <w:gridSpan w:val="6"/>
            <w:vMerge w:val="continue"/>
          </w:tcPr>
          <w:p>
            <w:pPr>
              <w:spacing w:after="0"/>
              <w:rPr>
                <w:sz w:val="12"/>
                <w:szCs w:val="12"/>
                <w:color w:val="auto"/>
              </w:rPr>
            </w:pPr>
          </w:p>
        </w:tc>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3"/>
              <w:spacing w:after="0" w:line="148"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color w:val="auto"/>
              </w:rPr>
              <w:t>Change in benefit obligation:</w:t>
            </w:r>
          </w:p>
        </w:tc>
        <w:tc>
          <w:tcPr>
            <w:tcW w:w="3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16,154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Interest costs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Settlements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Actuarial (gain) loss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58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15,685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16,154</w:t>
            </w:r>
          </w:p>
        </w:tc>
        <w:tc>
          <w:tcPr>
            <w:tcW w:w="0" w:type="dxa"/>
            <w:vAlign w:val="bottom"/>
          </w:tcPr>
          <w:p>
            <w:pPr>
              <w:spacing w:after="0"/>
              <w:rPr>
                <w:sz w:val="1"/>
                <w:szCs w:val="1"/>
                <w:color w:val="auto"/>
              </w:rPr>
            </w:pPr>
          </w:p>
        </w:tc>
      </w:tr>
      <w:tr>
        <w:trPr>
          <w:trHeight w:val="20"/>
        </w:trPr>
        <w:tc>
          <w:tcPr>
            <w:tcW w:w="5840" w:type="dxa"/>
            <w:vAlign w:val="bottom"/>
            <w:gridSpan w:val="6"/>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40" w:type="dxa"/>
            <w:vAlign w:val="bottom"/>
            <w:gridSpan w:val="6"/>
            <w:vMerge w:val="continue"/>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58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Actual return on plan assets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Settlements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5840" w:type="dxa"/>
            <w:vAlign w:val="bottom"/>
            <w:gridSpan w:val="6"/>
            <w:vMerge w:val="restart"/>
          </w:tcPr>
          <w:p>
            <w:pPr>
              <w:spacing w:after="0"/>
              <w:rPr>
                <w:sz w:val="20"/>
                <w:szCs w:val="20"/>
                <w:color w:val="auto"/>
              </w:rPr>
            </w:pPr>
            <w:r>
              <w:rPr>
                <w:rFonts w:ascii="Arial" w:cs="Arial" w:eastAsia="Arial" w:hAnsi="Arial"/>
                <w:sz w:val="18"/>
                <w:szCs w:val="18"/>
                <w:color w:val="auto"/>
              </w:rPr>
              <w:t>Balance at end of period</w:t>
            </w: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6"/>
            <w:vMerge w:val="continue"/>
          </w:tcPr>
          <w:p>
            <w:pPr>
              <w:spacing w:after="0"/>
              <w:rPr>
                <w:sz w:val="19"/>
                <w:szCs w:val="19"/>
                <w:color w:val="auto"/>
              </w:rPr>
            </w:pP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12,625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Reconciliation of Funded Status</w:t>
            </w:r>
          </w:p>
        </w:tc>
        <w:tc>
          <w:tcPr>
            <w:tcW w:w="3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Projected benefit obligation</w:t>
            </w:r>
          </w:p>
        </w:tc>
        <w:tc>
          <w:tcPr>
            <w:tcW w:w="3580" w:type="dxa"/>
            <w:vAlign w:val="bottom"/>
            <w:tcBorders>
              <w:top w:val="single" w:sz="8" w:color="CCEEFF"/>
            </w:tcBorders>
            <w:gridSpan w:val="2"/>
          </w:tcPr>
          <w:p>
            <w:pPr>
              <w:spacing w:after="0"/>
              <w:rPr>
                <w:sz w:val="18"/>
                <w:szCs w:val="18"/>
                <w:color w:val="auto"/>
              </w:rPr>
            </w:pPr>
          </w:p>
        </w:tc>
        <w:tc>
          <w:tcPr>
            <w:tcW w:w="3580" w:type="dxa"/>
            <w:vAlign w:val="bottom"/>
            <w:tcBorders>
              <w:top w:val="single" w:sz="8" w:color="CCEEFF"/>
            </w:tcBorders>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660"/>
              <w:spacing w:after="0"/>
              <w:rPr>
                <w:sz w:val="20"/>
                <w:szCs w:val="20"/>
                <w:color w:val="auto"/>
              </w:rPr>
            </w:pPr>
            <w:r>
              <w:rPr>
                <w:rFonts w:ascii="Arial" w:cs="Arial" w:eastAsia="Arial" w:hAnsi="Arial"/>
                <w:sz w:val="18"/>
                <w:szCs w:val="18"/>
                <w:color w:val="auto"/>
                <w:w w:val="94"/>
              </w:rPr>
              <w:t>15,685</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4"/>
              </w:rPr>
              <w:t>16,154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12,625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11,813</w:t>
            </w:r>
          </w:p>
        </w:tc>
        <w:tc>
          <w:tcPr>
            <w:tcW w:w="0" w:type="dxa"/>
            <w:vAlign w:val="bottom"/>
          </w:tcPr>
          <w:p>
            <w:pPr>
              <w:spacing w:after="0"/>
              <w:rPr>
                <w:sz w:val="1"/>
                <w:szCs w:val="1"/>
                <w:color w:val="auto"/>
              </w:rPr>
            </w:pPr>
          </w:p>
        </w:tc>
      </w:tr>
      <w:tr>
        <w:trPr>
          <w:trHeight w:val="20"/>
        </w:trPr>
        <w:tc>
          <w:tcPr>
            <w:tcW w:w="5840" w:type="dxa"/>
            <w:vAlign w:val="bottom"/>
            <w:gridSpan w:val="6"/>
            <w:vMerge w:val="restart"/>
          </w:tcPr>
          <w:p>
            <w:pPr>
              <w:spacing w:after="0"/>
              <w:rPr>
                <w:sz w:val="20"/>
                <w:szCs w:val="20"/>
                <w:color w:val="auto"/>
              </w:rPr>
            </w:pPr>
            <w:r>
              <w:rPr>
                <w:rFonts w:ascii="Arial" w:cs="Arial" w:eastAsia="Arial" w:hAnsi="Arial"/>
                <w:sz w:val="18"/>
                <w:szCs w:val="18"/>
                <w:color w:val="auto"/>
              </w:rPr>
              <w:t>Unfunded Status</w:t>
            </w:r>
          </w:p>
        </w:tc>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gridSpan w:val="6"/>
            <w:vMerge w:val="continue"/>
          </w:tcPr>
          <w:p>
            <w:pPr>
              <w:spacing w:after="0"/>
              <w:rPr>
                <w:sz w:val="19"/>
                <w:szCs w:val="19"/>
                <w:color w:val="auto"/>
              </w:rPr>
            </w:pP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(3,060)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8"/>
                <w:szCs w:val="18"/>
                <w:color w:val="auto"/>
                <w:w w:val="86"/>
              </w:rPr>
              <w:t>Balance Sheet Classification</w:t>
            </w:r>
          </w:p>
        </w:tc>
        <w:tc>
          <w:tcPr>
            <w:tcW w:w="3820" w:type="dxa"/>
            <w:vAlign w:val="bottom"/>
            <w:tcBorders>
              <w:bottom w:val="single" w:sz="8" w:color="CCEEFF"/>
            </w:tcBorders>
            <w:gridSpan w:val="3"/>
            <w:shd w:val="clear" w:color="auto" w:fill="CCEEFF"/>
          </w:tcPr>
          <w:p>
            <w:pPr>
              <w:spacing w:after="0"/>
              <w:rPr>
                <w:sz w:val="17"/>
                <w:szCs w:val="17"/>
                <w:color w:val="auto"/>
              </w:rPr>
            </w:pPr>
          </w:p>
        </w:tc>
        <w:tc>
          <w:tcPr>
            <w:tcW w:w="3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Arial" w:cs="Arial" w:eastAsia="Arial" w:hAnsi="Arial"/>
                <w:sz w:val="18"/>
                <w:szCs w:val="18"/>
                <w:color w:val="auto"/>
              </w:rPr>
              <w:t>Other long-term liabilities</w:t>
            </w: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years ended February 1, 2014, February 2, 2013 and January 28, 2012 include the following components: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48"/>
        </w:trPr>
        <w:tc>
          <w:tcPr>
            <w:tcW w:w="7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651</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661</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loss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Net pension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394</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 recognized in other comprehensive loss, before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720" w:type="dxa"/>
            <w:vAlign w:val="bottom"/>
            <w:gridSpan w:val="3"/>
          </w:tcPr>
          <w:p>
            <w:pPr>
              <w:spacing w:after="0"/>
              <w:rPr>
                <w:sz w:val="20"/>
                <w:szCs w:val="20"/>
                <w:color w:val="auto"/>
              </w:rPr>
            </w:pPr>
            <w:r>
              <w:rPr>
                <w:rFonts w:ascii="Arial" w:cs="Arial" w:eastAsia="Arial" w:hAnsi="Arial"/>
                <w:sz w:val="18"/>
                <w:szCs w:val="18"/>
                <w:color w:val="auto"/>
              </w:rPr>
              <w:t>Unrecognized losses at the beginning of the year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7,868</w:t>
            </w:r>
          </w:p>
        </w:tc>
        <w:tc>
          <w:tcPr>
            <w:tcW w:w="7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8,097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 and benefit obligations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Unrecognized losses at the end of year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7,868</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2014, the Company is expecting to make a contribution of $0.6 million to the plan.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1, 2014 and February 2, 2013 include a discount rate of 4.43% for fiscal 2013 and 4.11% for fiscal 2012. Assumptions used to determine the net periodic benefit cost for the years ended February 1, 2014, February 2, 2013 and January 28, 2012 included a discount rate of 4.43% for fiscal 2013, 4.11% for fiscal 2012 and 4.50% for fiscal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expected long-term rate of return for plan assets was assumed to be 8.00% for both fiscal 2013 and fiscal 2012. The expected long-term rate of return assumption was developed considering historical and future expectations for returns for each asset class.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76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r>
      <w:tr>
        <w:trPr>
          <w:trHeight w:val="203"/>
        </w:trPr>
        <w:tc>
          <w:tcPr>
            <w:tcW w:w="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2015</w:t>
            </w: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2017</w:t>
            </w: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w w:val="99"/>
              </w:rPr>
              <w:t>2019 - 2023</w:t>
            </w: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Plan Assets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2013 and fiscal 2012, by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Fair Value Measurement</w:t>
            </w: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At February 1, 2014</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At February 2, 2013</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 Active</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Active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Significant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Significant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Identical</w:t>
            </w: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Identical</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2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78"/>
              </w:rPr>
              <w:t>Assets</w:t>
            </w: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8"/>
              </w:rPr>
              <w:t>Assets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91"/>
              </w:rPr>
              <w:t>(Level 1)</w:t>
            </w:r>
          </w:p>
        </w:tc>
        <w:tc>
          <w:tcPr>
            <w:tcW w:w="36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36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(Level 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(Level 2)</w:t>
            </w:r>
          </w:p>
        </w:tc>
        <w:tc>
          <w:tcPr>
            <w:tcW w:w="36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 category:</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6,838</w:t>
            </w:r>
          </w:p>
        </w:tc>
        <w:tc>
          <w:tcPr>
            <w:tcW w:w="3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6,838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6,717</w:t>
            </w:r>
          </w:p>
        </w:tc>
        <w:tc>
          <w:tcPr>
            <w:tcW w:w="36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440"/>
              <w:spacing w:after="0"/>
              <w:rPr>
                <w:sz w:val="20"/>
                <w:szCs w:val="20"/>
                <w:color w:val="auto"/>
              </w:rPr>
            </w:pPr>
            <w:r>
              <w:rPr>
                <w:rFonts w:ascii="Arial" w:cs="Arial" w:eastAsia="Arial" w:hAnsi="Arial"/>
                <w:sz w:val="18"/>
                <w:szCs w:val="18"/>
                <w:color w:val="auto"/>
              </w:rPr>
              <w:t>U.S. Equity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3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w:t>
            </w:r>
          </w:p>
        </w:tc>
        <w:tc>
          <w:tcPr>
            <w:tcW w:w="36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International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440"/>
              <w:spacing w:after="0"/>
              <w:rPr>
                <w:sz w:val="20"/>
                <w:szCs w:val="20"/>
                <w:color w:val="auto"/>
              </w:rPr>
            </w:pPr>
            <w:r>
              <w:rPr>
                <w:rFonts w:ascii="Arial" w:cs="Arial" w:eastAsia="Arial" w:hAnsi="Arial"/>
                <w:sz w:val="18"/>
                <w:szCs w:val="18"/>
                <w:color w:val="auto"/>
              </w:rPr>
              <w:t>Bond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3,146</w:t>
            </w:r>
          </w:p>
        </w:tc>
        <w:tc>
          <w:tcPr>
            <w:tcW w:w="3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3,091</w:t>
            </w:r>
          </w:p>
        </w:tc>
        <w:tc>
          <w:tcPr>
            <w:tcW w:w="36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12,625</w:t>
            </w:r>
          </w:p>
        </w:tc>
        <w:tc>
          <w:tcPr>
            <w:tcW w:w="36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12,625</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11,813</w:t>
            </w:r>
          </w:p>
        </w:tc>
        <w:tc>
          <w:tcPr>
            <w:tcW w:w="360" w:type="dxa"/>
            <w:vAlign w:val="bottom"/>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target asset allocation for fiscal 2014 and its asset allocation at February 1, 2014 and February 2, 2013 were as follows, by asset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460" w:type="dxa"/>
            <w:vAlign w:val="bottom"/>
            <w:vMerge w:val="restart"/>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Target allocation</w:t>
            </w:r>
          </w:p>
        </w:tc>
        <w:tc>
          <w:tcPr>
            <w:tcW w:w="33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34"/>
        </w:trPr>
        <w:tc>
          <w:tcPr>
            <w:tcW w:w="940" w:type="dxa"/>
            <w:vAlign w:val="bottom"/>
            <w:tcBorders>
              <w:bottom w:val="single" w:sz="8" w:color="auto"/>
            </w:tcBorders>
            <w:vMerge w:val="continue"/>
          </w:tcPr>
          <w:p>
            <w:pPr>
              <w:spacing w:after="0"/>
              <w:rPr>
                <w:sz w:val="11"/>
                <w:szCs w:val="11"/>
                <w:color w:val="auto"/>
              </w:rPr>
            </w:pPr>
          </w:p>
        </w:tc>
        <w:tc>
          <w:tcPr>
            <w:tcW w:w="2460" w:type="dxa"/>
            <w:vAlign w:val="bottom"/>
            <w:vMerge w:val="continue"/>
          </w:tcPr>
          <w:p>
            <w:pPr>
              <w:spacing w:after="0"/>
              <w:rPr>
                <w:sz w:val="11"/>
                <w:szCs w:val="11"/>
                <w:color w:val="auto"/>
              </w:rPr>
            </w:pPr>
          </w:p>
        </w:tc>
        <w:tc>
          <w:tcPr>
            <w:tcW w:w="2600" w:type="dxa"/>
            <w:vAlign w:val="bottom"/>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Fiscal 2014</w:t>
            </w:r>
          </w:p>
        </w:tc>
        <w:tc>
          <w:tcPr>
            <w:tcW w:w="1120" w:type="dxa"/>
            <w:vAlign w:val="bottom"/>
          </w:tcPr>
          <w:p>
            <w:pPr>
              <w:spacing w:after="0"/>
              <w:rPr>
                <w:sz w:val="11"/>
                <w:szCs w:val="11"/>
                <w:color w:val="auto"/>
              </w:rPr>
            </w:pPr>
          </w:p>
        </w:tc>
        <w:tc>
          <w:tcPr>
            <w:tcW w:w="2120" w:type="dxa"/>
            <w:vAlign w:val="bottom"/>
            <w:tcBorders>
              <w:top w:val="single" w:sz="8" w:color="auto"/>
            </w:tcBorders>
            <w:gridSpan w:val="2"/>
          </w:tcPr>
          <w:p>
            <w:pPr>
              <w:jc w:val="right"/>
              <w:ind w:right="1120"/>
              <w:spacing w:after="0" w:line="129" w:lineRule="exact"/>
              <w:rPr>
                <w:sz w:val="20"/>
                <w:szCs w:val="20"/>
                <w:color w:val="auto"/>
              </w:rPr>
            </w:pPr>
            <w:r>
              <w:rPr>
                <w:rFonts w:ascii="Arial" w:cs="Arial" w:eastAsia="Arial" w:hAnsi="Arial"/>
                <w:sz w:val="14"/>
                <w:szCs w:val="14"/>
                <w:b w:val="1"/>
                <w:bCs w:val="1"/>
                <w:color w:val="auto"/>
                <w:w w:val="88"/>
              </w:rPr>
              <w:t>February 1, 2014</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February 2, 2013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980"/>
              <w:spacing w:after="0" w:line="203" w:lineRule="exact"/>
              <w:rPr>
                <w:sz w:val="20"/>
                <w:szCs w:val="20"/>
                <w:color w:val="auto"/>
              </w:rPr>
            </w:pPr>
            <w:r>
              <w:rPr>
                <w:rFonts w:ascii="Arial" w:cs="Arial" w:eastAsia="Arial" w:hAnsi="Arial"/>
                <w:sz w:val="18"/>
                <w:szCs w:val="18"/>
                <w:color w:val="auto"/>
              </w:rPr>
              <w:t>73.0%</w:t>
            </w:r>
          </w:p>
        </w:tc>
        <w:tc>
          <w:tcPr>
            <w:tcW w:w="2120" w:type="dxa"/>
            <w:vAlign w:val="bottom"/>
            <w:gridSpan w:val="2"/>
            <w:shd w:val="clear" w:color="auto" w:fill="CCEEFF"/>
          </w:tcPr>
          <w:p>
            <w:pPr>
              <w:jc w:val="right"/>
              <w:ind w:right="980"/>
              <w:spacing w:after="0" w:line="203" w:lineRule="exact"/>
              <w:rPr>
                <w:sz w:val="20"/>
                <w:szCs w:val="20"/>
                <w:color w:val="auto"/>
              </w:rPr>
            </w:pPr>
            <w:r>
              <w:rPr>
                <w:rFonts w:ascii="Arial" w:cs="Arial" w:eastAsia="Arial" w:hAnsi="Arial"/>
                <w:sz w:val="18"/>
                <w:szCs w:val="18"/>
                <w:color w:val="auto"/>
              </w:rPr>
              <w:t>71.5%</w:t>
            </w: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4700" w:type="dxa"/>
            <w:vAlign w:val="bottom"/>
            <w:gridSpan w:val="3"/>
          </w:tcPr>
          <w:p>
            <w:pPr>
              <w:jc w:val="right"/>
              <w:ind w:right="980"/>
              <w:spacing w:after="0"/>
              <w:rPr>
                <w:sz w:val="20"/>
                <w:szCs w:val="20"/>
                <w:color w:val="auto"/>
              </w:rPr>
            </w:pPr>
            <w:r>
              <w:rPr>
                <w:rFonts w:ascii="Arial" w:cs="Arial" w:eastAsia="Arial" w:hAnsi="Arial"/>
                <w:sz w:val="18"/>
                <w:szCs w:val="18"/>
                <w:color w:val="auto"/>
              </w:rPr>
              <w:t>24.0%</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24.9%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6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3.0%</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00" w:type="dxa"/>
            <w:vAlign w:val="bottom"/>
            <w:gridSpan w:val="2"/>
            <w:vMerge w:val="continue"/>
          </w:tcPr>
          <w:p>
            <w:pPr>
              <w:spacing w:after="0"/>
              <w:rPr>
                <w:sz w:val="19"/>
                <w:szCs w:val="19"/>
                <w:color w:val="auto"/>
              </w:rPr>
            </w:pPr>
          </w:p>
        </w:tc>
        <w:tc>
          <w:tcPr>
            <w:tcW w:w="2600" w:type="dxa"/>
            <w:vAlign w:val="bottom"/>
          </w:tcPr>
          <w:p>
            <w:pPr>
              <w:spacing w:after="0"/>
              <w:rPr>
                <w:sz w:val="19"/>
                <w:szCs w:val="19"/>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100.0%</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65"/>
        </w:trPr>
        <w:tc>
          <w:tcPr>
            <w:tcW w:w="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0" w:type="dxa"/>
            <w:vAlign w:val="bottom"/>
          </w:tcPr>
          <w:p>
            <w:pPr>
              <w:jc w:val="right"/>
              <w:ind w:right="112"/>
              <w:spacing w:after="0"/>
              <w:rPr>
                <w:sz w:val="20"/>
                <w:szCs w:val="20"/>
                <w:color w:val="auto"/>
              </w:rPr>
            </w:pPr>
            <w:r>
              <w:rPr>
                <w:rFonts w:ascii="Arial" w:cs="Arial" w:eastAsia="Arial" w:hAnsi="Arial"/>
                <w:sz w:val="18"/>
                <w:szCs w:val="18"/>
                <w:color w:val="auto"/>
              </w:rPr>
              <w:t>71</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Casual Male acquisition, the Company also assumed the liability of the Casual Male Supplemental Retirement Plan (the “SERP”).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SERP’s funded status at February 1, 2014 and February 2,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Arial" w:cs="Arial" w:eastAsia="Arial" w:hAnsi="Arial"/>
                <w:sz w:val="14"/>
                <w:szCs w:val="14"/>
                <w:b w:val="1"/>
                <w:bCs w:val="1"/>
                <w:color w:val="auto"/>
              </w:rPr>
              <w:t>February 1, 2014</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color w:val="auto"/>
              </w:rPr>
              <w:t>Change in benefit obligation:</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656</w:t>
            </w:r>
          </w:p>
        </w:tc>
        <w:tc>
          <w:tcPr>
            <w:tcW w:w="1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tcPr>
          <w:p>
            <w:pPr>
              <w:spacing w:after="0"/>
              <w:rPr>
                <w:sz w:val="20"/>
                <w:szCs w:val="20"/>
                <w:color w:val="auto"/>
              </w:rPr>
            </w:pPr>
            <w:r>
              <w:rPr>
                <w:rFonts w:ascii="Arial" w:cs="Arial" w:eastAsia="Arial" w:hAnsi="Arial"/>
                <w:sz w:val="18"/>
                <w:szCs w:val="18"/>
                <w:color w:val="auto"/>
              </w:rPr>
              <w:t>Actuarial loss (gain)</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112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costs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6"/>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629</w:t>
            </w:r>
          </w:p>
        </w:tc>
        <w:tc>
          <w:tcPr>
            <w:tcW w:w="11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6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Change in fair value of plan assets</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7"/>
              </w:rPr>
              <w:t>Balance at beginning of period</w:t>
            </w:r>
          </w:p>
        </w:tc>
        <w:tc>
          <w:tcPr>
            <w:tcW w:w="3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3"/>
          </w:tcPr>
          <w:p>
            <w:pPr>
              <w:ind w:left="50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CCEEFF"/>
            </w:tcBorders>
            <w:gridSpan w:val="2"/>
          </w:tcPr>
          <w:p>
            <w:pPr>
              <w:jc w:val="right"/>
              <w:ind w:right="12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5"/>
          </w:tcPr>
          <w:p>
            <w:pPr>
              <w:spacing w:after="0"/>
              <w:rPr>
                <w:sz w:val="20"/>
                <w:szCs w:val="20"/>
                <w:color w:val="auto"/>
              </w:rPr>
            </w:pPr>
            <w:r>
              <w:rPr>
                <w:rFonts w:ascii="Arial" w:cs="Arial" w:eastAsia="Arial" w:hAnsi="Arial"/>
                <w:sz w:val="18"/>
                <w:szCs w:val="18"/>
                <w:color w:val="auto"/>
              </w:rPr>
              <w:t>Benefits and expenses paid</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gridSpan w:val="2"/>
          </w:tcPr>
          <w:p>
            <w:pPr>
              <w:jc w:val="right"/>
              <w:ind w:right="112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6"/>
          </w:tcPr>
          <w:p>
            <w:pPr>
              <w:spacing w:after="0"/>
              <w:rPr>
                <w:sz w:val="20"/>
                <w:szCs w:val="20"/>
                <w:color w:val="auto"/>
              </w:rPr>
            </w:pPr>
            <w:r>
              <w:rPr>
                <w:rFonts w:ascii="Arial" w:cs="Arial" w:eastAsia="Arial" w:hAnsi="Arial"/>
                <w:sz w:val="18"/>
                <w:szCs w:val="18"/>
                <w:color w:val="auto"/>
              </w:rPr>
              <w:t>Projected benefit obligation</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629</w:t>
            </w:r>
          </w:p>
        </w:tc>
        <w:tc>
          <w:tcPr>
            <w:tcW w:w="11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86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Reconciliation of Funded Status</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Projected benefit obligation</w:t>
            </w:r>
          </w:p>
        </w:tc>
        <w:tc>
          <w:tcPr>
            <w:tcW w:w="362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3"/>
          </w:tcPr>
          <w:p>
            <w:pPr>
              <w:ind w:left="5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629</w:t>
            </w:r>
          </w:p>
        </w:tc>
        <w:tc>
          <w:tcPr>
            <w:tcW w:w="1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6"/>
          </w:tcPr>
          <w:p>
            <w:pPr>
              <w:spacing w:after="0"/>
              <w:rPr>
                <w:sz w:val="20"/>
                <w:szCs w:val="20"/>
                <w:color w:val="auto"/>
              </w:rPr>
            </w:pPr>
            <w:r>
              <w:rPr>
                <w:rFonts w:ascii="Arial" w:cs="Arial" w:eastAsia="Arial" w:hAnsi="Arial"/>
                <w:sz w:val="18"/>
                <w:szCs w:val="18"/>
                <w:color w:val="auto"/>
              </w:rPr>
              <w:t>Underfunded Status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120"/>
              <w:spacing w:after="0"/>
              <w:rPr>
                <w:sz w:val="20"/>
                <w:szCs w:val="20"/>
                <w:color w:val="auto"/>
              </w:rPr>
            </w:pPr>
            <w:r>
              <w:rPr>
                <w:rFonts w:ascii="Arial" w:cs="Arial" w:eastAsia="Arial" w:hAnsi="Arial"/>
                <w:sz w:val="18"/>
                <w:szCs w:val="18"/>
                <w:color w:val="auto"/>
              </w:rPr>
              <w:t>(629)</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Sheet Classification</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5"/>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629</w:t>
            </w:r>
          </w:p>
        </w:tc>
        <w:tc>
          <w:tcPr>
            <w:tcW w:w="11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412"/>
        </w:trPr>
        <w:tc>
          <w:tcPr>
            <w:tcW w:w="5880" w:type="dxa"/>
            <w:vAlign w:val="bottom"/>
            <w:gridSpan w:val="6"/>
          </w:tcPr>
          <w:p>
            <w:pPr>
              <w:spacing w:after="0"/>
              <w:rPr>
                <w:sz w:val="20"/>
                <w:szCs w:val="20"/>
                <w:color w:val="auto"/>
              </w:rPr>
            </w:pPr>
            <w:r>
              <w:rPr>
                <w:rFonts w:ascii="Arial" w:cs="Arial" w:eastAsia="Arial" w:hAnsi="Arial"/>
                <w:sz w:val="18"/>
                <w:szCs w:val="18"/>
                <w:color w:val="auto"/>
                <w:w w:val="87"/>
              </w:rPr>
              <w:t>Other changes recognized in other comprehensive loss, before taxes (</w:t>
            </w:r>
            <w:r>
              <w:rPr>
                <w:rFonts w:ascii="Arial" w:cs="Arial" w:eastAsia="Arial" w:hAnsi="Arial"/>
                <w:sz w:val="18"/>
                <w:szCs w:val="18"/>
                <w:i w:val="1"/>
                <w:iCs w:val="1"/>
                <w:color w:val="auto"/>
                <w:w w:val="87"/>
              </w:rPr>
              <w:t>in thousands</w:t>
            </w:r>
            <w:r>
              <w:rPr>
                <w:rFonts w:ascii="Arial" w:cs="Arial" w:eastAsia="Arial" w:hAnsi="Arial"/>
                <w:sz w:val="18"/>
                <w:szCs w:val="18"/>
                <w:color w:val="auto"/>
                <w:w w:val="87"/>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February 1, 2014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2013</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28,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Unrecognized losses at the beginning of the year</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tcPr>
          <w:p>
            <w:pPr>
              <w:spacing w:after="0"/>
              <w:rPr>
                <w:sz w:val="20"/>
                <w:szCs w:val="20"/>
                <w:color w:val="auto"/>
              </w:rPr>
            </w:pPr>
            <w:r>
              <w:rPr>
                <w:rFonts w:ascii="Arial" w:cs="Arial" w:eastAsia="Arial" w:hAnsi="Arial"/>
                <w:sz w:val="18"/>
                <w:szCs w:val="18"/>
                <w:color w:val="auto"/>
              </w:rPr>
              <w:t>Net periodic pension cost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106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5"/>
          </w:tcPr>
          <w:p>
            <w:pPr>
              <w:spacing w:after="0"/>
              <w:rPr>
                <w:sz w:val="20"/>
                <w:szCs w:val="20"/>
                <w:color w:val="auto"/>
              </w:rPr>
            </w:pPr>
            <w:r>
              <w:rPr>
                <w:rFonts w:ascii="Arial" w:cs="Arial" w:eastAsia="Arial" w:hAnsi="Arial"/>
                <w:sz w:val="18"/>
                <w:szCs w:val="18"/>
                <w:color w:val="auto"/>
              </w:rPr>
              <w:t>Change in benefit obligations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11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Unrecognized losses at the end of year</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1, 2014 and February 2, 2013 included a discount rate of 4.43% for fiscal 2013 and 4.11% for fiscal 2012. Assumptions used to determine the net periodic benefit cost for the years ended February 1, 2014, February 2, 2013 and January 28, 2012 included a discount rate of 4.43% for fiscal 2013, 4.11% for fiscal 2012 and 4.50% for fiscal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Company has two defined contribution plans, the Casual Male 401(k) Salaried Plan and the Casual Male 401(k) Hourly Plan (the “401(k) Plans”). The 401(k) Plans cover all eligible employees who are at least 21 years of age and have completed the required months of service, which is six months or twelve months depending on the plan and in the Hourly plan, an eligible employee must also have worked 1,000 hours. Effective January 1, 2008, the Company adopted the Safe Harbor matching and vesting provisions permitted under the Pension Protection Act of 2006 for its 401(k) Plans. Accordingly, beginning in fiscal 2008, the Company matched 100% of the first 1% of deferred compensation and 50% of the next 5% (with a maximum contribution of 3.5% of eligible compensation).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recognized $1.5 million, $1.4 million and $1.3 million of expense under these plans in fiscal 2013, fiscal 2012 and fiscal 2011,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DISCONTINUED OPERATIONS</w:t>
      </w:r>
    </w:p>
    <w:p>
      <w:pPr>
        <w:spacing w:after="0" w:line="96"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During the second quarter of fiscal 2012, the Company exited its European Direct business and provided formal termination notice to its vendor, who had provided all web store design, order processing, fulfillment and customer call center services for the Company’s European web stores. Included in the loss from discontinued operations for fiscal 2012 is an early termination and settlement fee of $1.1 million that was paid to the Company’s vendor for early termination.</w:t>
      </w:r>
    </w:p>
    <w:p>
      <w:pPr>
        <w:spacing w:after="0" w:line="88"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The results of the European Direct business have been reclassified to reflect the operating results as discontinued operations for all periods presented. The following table summarizes the results from discontinued operations from the Company’s European Direct business for the fiscal years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5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2012</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6"/>
              </w:rPr>
              <w:t>Fiscal 2011</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4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813</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(1,841)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(2,774)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4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5120" w:type="dxa"/>
            <w:vAlign w:val="bottom"/>
            <w:gridSpan w:val="2"/>
          </w:tcPr>
          <w:p>
            <w:pPr>
              <w:ind w:left="49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(1,933)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(2,141)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980" w:type="dxa"/>
            <w:vAlign w:val="bottom"/>
            <w:vMerge w:val="restart"/>
          </w:tcPr>
          <w:p>
            <w:pPr>
              <w:jc w:val="right"/>
              <w:ind w:right="3472"/>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w w:val="98"/>
              </w:rPr>
              <w:t>FIRST</w:t>
            </w:r>
          </w:p>
        </w:tc>
        <w:tc>
          <w:tcPr>
            <w:tcW w:w="120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SECOND</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THIRD</w:t>
            </w:r>
          </w:p>
        </w:tc>
        <w:tc>
          <w:tcPr>
            <w:tcW w:w="11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QUARTER</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5"/>
          </w:tcPr>
          <w:p>
            <w:pPr>
              <w:jc w:val="center"/>
              <w:ind w:right="292"/>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FISCAL YEAR 2013 </w:t>
            </w:r>
            <w:r>
              <w:rPr>
                <w:rFonts w:ascii="Arial" w:cs="Arial" w:eastAsia="Arial" w:hAnsi="Arial"/>
                <w:sz w:val="11"/>
                <w:szCs w:val="11"/>
                <w:color w:val="auto"/>
              </w:rPr>
              <w:t>(1)</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3"/>
              <w:spacing w:after="0"/>
              <w:rPr>
                <w:sz w:val="20"/>
                <w:szCs w:val="20"/>
                <w:color w:val="auto"/>
              </w:rPr>
            </w:pPr>
            <w:r>
              <w:rPr>
                <w:rFonts w:ascii="Arial" w:cs="Arial" w:eastAsia="Arial" w:hAnsi="Arial"/>
                <w:sz w:val="18"/>
                <w:szCs w:val="18"/>
                <w:color w:val="auto"/>
                <w:w w:val="98"/>
              </w:rPr>
              <w:t>93,594</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97,648</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w w:val="90"/>
              </w:rPr>
              <w:t>88,202</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108,539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387,983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8"/>
              </w:rPr>
              <w:t>44,483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45,493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0"/>
              </w:rPr>
              <w:t>39,278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49,160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1,981</w:t>
            </w:r>
          </w:p>
        </w:tc>
        <w:tc>
          <w:tcPr>
            <w:tcW w:w="32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(2,341)</w:t>
            </w:r>
          </w:p>
        </w:tc>
        <w:tc>
          <w:tcPr>
            <w:tcW w:w="3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98"/>
              </w:rPr>
              <w:t>(6,688)</w:t>
            </w:r>
          </w:p>
        </w:tc>
        <w:tc>
          <w:tcPr>
            <w:tcW w:w="3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(6,031)</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1,803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(2,582)</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(6,968)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(6,378)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11"/>
                <w:szCs w:val="11"/>
                <w:color w:val="auto"/>
              </w:rPr>
              <w:t>(2)</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(995)</w:t>
            </w:r>
          </w:p>
        </w:tc>
        <w:tc>
          <w:tcPr>
            <w:tcW w:w="3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98"/>
              </w:rPr>
              <w:t>(2,905)</w:t>
            </w:r>
          </w:p>
        </w:tc>
        <w:tc>
          <w:tcPr>
            <w:tcW w:w="32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48,769</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1,011</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(1,587)</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(4,063)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2"/>
              </w:rPr>
              <w:t>(55,147)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(59,786)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Earnings per share – basic and diluted</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0.02</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(0.03)</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(0.08)</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FISCAL YEAR 2012 </w:t>
            </w:r>
            <w:r>
              <w:rPr>
                <w:rFonts w:ascii="Arial" w:cs="Arial" w:eastAsia="Arial" w:hAnsi="Arial"/>
                <w:sz w:val="11"/>
                <w:szCs w:val="11"/>
                <w:color w:val="auto"/>
              </w:rPr>
              <w:t>(1)</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3"/>
              <w:spacing w:after="0"/>
              <w:rPr>
                <w:sz w:val="20"/>
                <w:szCs w:val="20"/>
                <w:color w:val="auto"/>
              </w:rPr>
            </w:pPr>
            <w:r>
              <w:rPr>
                <w:rFonts w:ascii="Arial" w:cs="Arial" w:eastAsia="Arial" w:hAnsi="Arial"/>
                <w:sz w:val="18"/>
                <w:szCs w:val="18"/>
                <w:color w:val="auto"/>
                <w:w w:val="98"/>
              </w:rPr>
              <w:t>95,539</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100,504</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w w:val="90"/>
              </w:rPr>
              <w:t>88,739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114,858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8"/>
              </w:rPr>
              <w:t>45,603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46,637</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0"/>
              </w:rPr>
              <w:t>39,007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54,512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4,154</w:t>
            </w:r>
          </w:p>
        </w:tc>
        <w:tc>
          <w:tcPr>
            <w:tcW w:w="32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5,267</w:t>
            </w:r>
          </w:p>
        </w:tc>
        <w:tc>
          <w:tcPr>
            <w:tcW w:w="3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98"/>
              </w:rPr>
              <w:t>(2,526)</w:t>
            </w:r>
          </w:p>
        </w:tc>
        <w:tc>
          <w:tcPr>
            <w:tcW w:w="32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7,029</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3,989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5,145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(2,677)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6,846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1,539</w:t>
            </w:r>
          </w:p>
        </w:tc>
        <w:tc>
          <w:tcPr>
            <w:tcW w:w="32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2,151</w:t>
            </w:r>
          </w:p>
        </w:tc>
        <w:tc>
          <w:tcPr>
            <w:tcW w:w="3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98"/>
              </w:rPr>
              <w:t>(1,073)</w:t>
            </w:r>
          </w:p>
        </w:tc>
        <w:tc>
          <w:tcPr>
            <w:tcW w:w="32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2,627</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2,450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2,994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(1,604)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4,219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(1,756)</w:t>
            </w:r>
          </w:p>
        </w:tc>
        <w:tc>
          <w:tcPr>
            <w:tcW w:w="3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2,269</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1,238</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(1,600)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4,219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Earnings per share – basic and diluted</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0.05</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0.03</w:t>
            </w:r>
          </w:p>
        </w:tc>
        <w:tc>
          <w:tcPr>
            <w:tcW w:w="380" w:type="dxa"/>
            <w:vAlign w:val="bottom"/>
          </w:tcPr>
          <w:p>
            <w:pPr>
              <w:ind w:left="220"/>
              <w:spacing w:after="0"/>
              <w:rPr>
                <w:sz w:val="20"/>
                <w:szCs w:val="20"/>
                <w:color w:val="auto"/>
              </w:rPr>
            </w:pPr>
            <w:r>
              <w:rPr>
                <w:rFonts w:ascii="Arial" w:cs="Arial" w:eastAsia="Arial" w:hAnsi="Arial"/>
                <w:sz w:val="18"/>
                <w:szCs w:val="18"/>
                <w:color w:val="auto"/>
                <w:w w:val="87"/>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0.03)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5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Fiscal 2013 was a 52-week year as compared to Fiscal 2012 which was a 53-week year. As discussed in Note J, during the second quarter of fiscal 2012, the Company exited is European Direct business. Accordingly, the operating results for the first quarter of fiscal 2012 were restated for discontinued operations.</w:t>
      </w:r>
    </w:p>
    <w:p>
      <w:pPr>
        <w:ind w:left="460" w:right="220" w:hanging="452"/>
        <w:spacing w:after="0" w:line="32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fourth quarter of fiscal 2013, the Company recorded a non-cash charge of $51.3 million to establish a valuation allowance against its deferred tax assets. See Note D- Income Taxes for disclosure regarding the realizability of the deferred tax assets at February 1, 2014.</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fiscal quarters are based on a retail cycle of 13 weeks.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season.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1, 2014. Based on this evaluation, our Chief Executive Officer and Chief Financial Officer concluded that, as of February 1, 2014, our disclosure controls and procedures were effective.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2" w:lineRule="exact"/>
        <w:rPr>
          <w:sz w:val="20"/>
          <w:szCs w:val="20"/>
          <w:color w:val="auto"/>
        </w:rPr>
      </w:pPr>
    </w:p>
    <w:p>
      <w:pPr>
        <w:ind w:left="1120" w:hanging="217"/>
        <w:spacing w:after="0"/>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460" w:right="40" w:firstLine="443"/>
        <w:spacing w:after="0" w:line="259" w:lineRule="auto"/>
        <w:tabs>
          <w:tab w:leader="none" w:pos="11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February 1, 2014. In making this assessment, management used the criteria set forth by the Committee of Sponsoring Organizations of the Treadway Commission (COSO) in Internal Control- Integrated Framework (1992).</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February 1, 2014.</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KPMG, LLP, our independent registered public accounting firm, has issued an audit report on our internal control over financial reporting as of February 1, 2014, which appears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Destination XL Group, Inc.</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We have audited Destination XL Group, Inc.’s internal control over financial reporting as of February 1, 2014,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Control—Integrated Framework (1992</w:t>
      </w:r>
      <w:r>
        <w:rPr>
          <w:rFonts w:ascii="Arial" w:cs="Arial" w:eastAsia="Arial" w:hAnsi="Arial"/>
          <w:sz w:val="16"/>
          <w:szCs w:val="16"/>
          <w:color w:val="auto"/>
        </w:rPr>
        <w:t>) issued by the Committee of Sponsoring Organizations of the Treadway Commission ( COSO). Destination XL Group,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xml:space="preserve">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In our opinion, Destination XL Group, Inc. maintained, in all material respects, effective internal control over financial reporting as of February 1, 2014, based on the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Destination XL Group, Inc. as of February 1, 2014, and the related consolidated statements of operations, comprehensive income (loss), changes in stockholders’ equity, and cash flows for the year then ended of Destination XL Group, Inc. and our report dated March 17, 2014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17,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February 1, 2014 that has materially affected, or is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240" w:top="45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1, 2014 in connection with our 2014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2014.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45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80 of this Annual Report.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240" w:top="459" w:right="5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500" w:type="dxa"/>
            <w:vAlign w:val="bottom"/>
            <w:vMerge w:val="restart"/>
          </w:tcPr>
          <w:p>
            <w:pPr>
              <w:ind w:left="640"/>
              <w:spacing w:after="0"/>
              <w:rPr>
                <w:sz w:val="20"/>
                <w:szCs w:val="20"/>
                <w:color w:val="auto"/>
              </w:rPr>
            </w:pPr>
            <w:r>
              <w:rPr>
                <w:rFonts w:ascii="Arial" w:cs="Arial" w:eastAsia="Arial" w:hAnsi="Arial"/>
                <w:sz w:val="18"/>
                <w:szCs w:val="18"/>
                <w:color w:val="auto"/>
                <w:w w:val="95"/>
              </w:rPr>
              <w:t>Restated Certificate of Incorporation of the Company, as amended (included as Exhibit 3.1 to Amendment No. 3 of the Company’s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Registration Statement on Form S-1 (No. 33-13402),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500" w:type="dxa"/>
            <w:vAlign w:val="bottom"/>
          </w:tcPr>
          <w:p>
            <w:pPr>
              <w:ind w:left="640"/>
              <w:spacing w:after="0"/>
              <w:rPr>
                <w:sz w:val="20"/>
                <w:szCs w:val="20"/>
                <w:color w:val="auto"/>
              </w:rPr>
            </w:pPr>
            <w:r>
              <w:rPr>
                <w:rFonts w:ascii="Arial" w:cs="Arial" w:eastAsia="Arial" w:hAnsi="Arial"/>
                <w:sz w:val="18"/>
                <w:szCs w:val="18"/>
                <w:color w:val="auto"/>
                <w:w w:val="94"/>
              </w:rPr>
              <w:t>Certificate of Amendment to Restated Certificate of Incorporation, as amended, dated June 22, 1993 (included as Exhibit 3.2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Company’s Quarterly Report on Form 10-Q filed on June 18, 1996,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500" w:type="dxa"/>
            <w:vAlign w:val="bottom"/>
          </w:tcPr>
          <w:p>
            <w:pPr>
              <w:ind w:left="640"/>
              <w:spacing w:after="0"/>
              <w:rPr>
                <w:sz w:val="20"/>
                <w:szCs w:val="20"/>
                <w:color w:val="auto"/>
              </w:rPr>
            </w:pPr>
            <w:r>
              <w:rPr>
                <w:rFonts w:ascii="Arial" w:cs="Arial" w:eastAsia="Arial" w:hAnsi="Arial"/>
                <w:sz w:val="18"/>
                <w:szCs w:val="18"/>
                <w:color w:val="auto"/>
                <w:w w:val="93"/>
              </w:rPr>
              <w:t>Certificate of Amendment to Restated Certificate of Incorporation, as amended, dated August 8, 2002 (included as Exhibit 3.3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500" w:type="dxa"/>
            <w:vAlign w:val="bottom"/>
          </w:tcPr>
          <w:p>
            <w:pPr>
              <w:ind w:left="640"/>
              <w:spacing w:after="0"/>
              <w:rPr>
                <w:sz w:val="20"/>
                <w:szCs w:val="20"/>
                <w:color w:val="auto"/>
              </w:rPr>
            </w:pPr>
            <w:r>
              <w:rPr>
                <w:rFonts w:ascii="Arial" w:cs="Arial" w:eastAsia="Arial" w:hAnsi="Arial"/>
                <w:sz w:val="18"/>
                <w:szCs w:val="18"/>
                <w:color w:val="auto"/>
                <w:w w:val="93"/>
              </w:rPr>
              <w:t>Certificate of Amendment to Restated Certificate of Incorporation, as amended, dated August 27, 2009 (included as Exhibit 3.1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500" w:type="dxa"/>
            <w:vAlign w:val="bottom"/>
          </w:tcPr>
          <w:p>
            <w:pPr>
              <w:ind w:left="640"/>
              <w:spacing w:after="0"/>
              <w:rPr>
                <w:sz w:val="20"/>
                <w:szCs w:val="20"/>
                <w:color w:val="auto"/>
              </w:rPr>
            </w:pPr>
            <w:r>
              <w:rPr>
                <w:rFonts w:ascii="Arial" w:cs="Arial" w:eastAsia="Arial" w:hAnsi="Arial"/>
                <w:sz w:val="18"/>
                <w:szCs w:val="18"/>
                <w:color w:val="auto"/>
                <w:w w:val="93"/>
              </w:rPr>
              <w:t>Certificate of Amendment to Restated Certificate of Incorporation, as amended, dated August 27, 2009 (included as Exhibit 3.2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500" w:type="dxa"/>
            <w:vAlign w:val="bottom"/>
          </w:tcPr>
          <w:p>
            <w:pPr>
              <w:ind w:left="640"/>
              <w:spacing w:after="0"/>
              <w:rPr>
                <w:sz w:val="20"/>
                <w:szCs w:val="20"/>
                <w:color w:val="auto"/>
              </w:rPr>
            </w:pPr>
            <w:r>
              <w:rPr>
                <w:rFonts w:ascii="Arial" w:cs="Arial" w:eastAsia="Arial" w:hAnsi="Arial"/>
                <w:sz w:val="18"/>
                <w:szCs w:val="18"/>
                <w:color w:val="auto"/>
                <w:w w:val="92"/>
              </w:rPr>
              <w:t>Certificate of Ownership and Merger, dated February 22, 2013 (included as Exhibit 3.1 to the Company’s Current Report on Form 8-K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filed on February 25, 2013,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500" w:type="dxa"/>
            <w:vAlign w:val="bottom"/>
          </w:tcPr>
          <w:p>
            <w:pPr>
              <w:ind w:left="640"/>
              <w:spacing w:after="0"/>
              <w:rPr>
                <w:sz w:val="20"/>
                <w:szCs w:val="20"/>
                <w:color w:val="auto"/>
              </w:rPr>
            </w:pPr>
            <w:r>
              <w:rPr>
                <w:rFonts w:ascii="Arial" w:cs="Arial" w:eastAsia="Arial" w:hAnsi="Arial"/>
                <w:sz w:val="18"/>
                <w:szCs w:val="18"/>
                <w:color w:val="auto"/>
                <w:w w:val="97"/>
              </w:rPr>
              <w:t>Certificate of Designations, Preferences and Rights of a Series of Preferred Stock of the Company establishing Series A Junior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w w:val="93"/>
              </w:rPr>
              <w:t>Participating Cumulative Preferred Stock dated May 1, 1995 (included as Exhibit 3.2 to the Company’s Annual Report on Form 10-K</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filed on May 3, 1996,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500" w:type="dxa"/>
            <w:vAlign w:val="bottom"/>
          </w:tcPr>
          <w:p>
            <w:pPr>
              <w:ind w:left="640"/>
              <w:spacing w:after="0"/>
              <w:rPr>
                <w:sz w:val="20"/>
                <w:szCs w:val="20"/>
                <w:color w:val="auto"/>
              </w:rPr>
            </w:pPr>
            <w:r>
              <w:rPr>
                <w:rFonts w:ascii="Arial" w:cs="Arial" w:eastAsia="Arial" w:hAnsi="Arial"/>
                <w:sz w:val="18"/>
                <w:szCs w:val="18"/>
                <w:color w:val="auto"/>
                <w:w w:val="93"/>
              </w:rPr>
              <w:t>Certificate of Designations, Preferences and Relative, Participating, Optional and Other Special Rights and Qualifications, Limitations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w w:val="91"/>
              </w:rPr>
              <w:t>and Restrictions of Series B Convertible Preferred Stock dated May 14, 2002 (included as Exhibit 3.1 to the Company’s Current Report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500" w:type="dxa"/>
            <w:vAlign w:val="bottom"/>
          </w:tcPr>
          <w:p>
            <w:pPr>
              <w:ind w:left="640"/>
              <w:spacing w:after="0"/>
              <w:rPr>
                <w:sz w:val="20"/>
                <w:szCs w:val="20"/>
                <w:color w:val="auto"/>
              </w:rPr>
            </w:pPr>
            <w:r>
              <w:rPr>
                <w:rFonts w:ascii="Arial" w:cs="Arial" w:eastAsia="Arial" w:hAnsi="Arial"/>
                <w:sz w:val="18"/>
                <w:szCs w:val="18"/>
                <w:color w:val="auto"/>
                <w:w w:val="90"/>
              </w:rPr>
              <w:t>Form of Certificate of Designation, Preferences and Rights of Series A Junior Participating Preferred Stock, as filed with the Secretary of</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w w:val="90"/>
              </w:rPr>
              <w:t>the State of Delaware on December 9, 2008 (included as Exhibit 3.1 to the Company’s Current Report on Form 8-K filed on December 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2008,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10500" w:type="dxa"/>
            <w:vAlign w:val="bottom"/>
          </w:tcPr>
          <w:p>
            <w:pPr>
              <w:ind w:left="640"/>
              <w:spacing w:after="0"/>
              <w:rPr>
                <w:sz w:val="20"/>
                <w:szCs w:val="20"/>
                <w:color w:val="auto"/>
              </w:rPr>
            </w:pPr>
            <w:r>
              <w:rPr>
                <w:rFonts w:ascii="Arial" w:cs="Arial" w:eastAsia="Arial" w:hAnsi="Arial"/>
                <w:sz w:val="18"/>
                <w:szCs w:val="18"/>
                <w:color w:val="auto"/>
                <w:w w:val="94"/>
              </w:rPr>
              <w:t>By-Laws of the Company, as amended and restated (included as Exhibit 3.2 to the Company’s Current Report on Form 8-K filed 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February 25, 2013,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500" w:type="dxa"/>
            <w:vAlign w:val="bottom"/>
          </w:tcPr>
          <w:p>
            <w:pPr>
              <w:ind w:left="640"/>
              <w:spacing w:after="0"/>
              <w:rPr>
                <w:sz w:val="20"/>
                <w:szCs w:val="20"/>
                <w:color w:val="auto"/>
              </w:rPr>
            </w:pPr>
            <w:r>
              <w:rPr>
                <w:rFonts w:ascii="Arial" w:cs="Arial" w:eastAsia="Arial" w:hAnsi="Arial"/>
                <w:sz w:val="18"/>
                <w:szCs w:val="18"/>
                <w:color w:val="auto"/>
                <w:w w:val="90"/>
              </w:rPr>
              <w:t>1992 Stock Incentive Plan, as amended (included as Exhibit 10.1 to the Company’s Quarterly Report on Form 10-Q filed on December 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2003,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500" w:type="dxa"/>
            <w:vAlign w:val="bottom"/>
          </w:tcPr>
          <w:p>
            <w:pPr>
              <w:ind w:left="640"/>
              <w:spacing w:after="0"/>
              <w:rPr>
                <w:sz w:val="20"/>
                <w:szCs w:val="20"/>
                <w:color w:val="auto"/>
              </w:rPr>
            </w:pPr>
            <w:r>
              <w:rPr>
                <w:rFonts w:ascii="Arial" w:cs="Arial" w:eastAsia="Arial" w:hAnsi="Arial"/>
                <w:sz w:val="18"/>
                <w:szCs w:val="18"/>
                <w:color w:val="auto"/>
                <w:w w:val="93"/>
              </w:rPr>
              <w:t>Amendment to the Company’s 1992 Stock Incentive Plan, as amended, effective as of April 15, 2011 (included as Exhibit 10.6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Company’s Quarterly Report on Form 10-Q filed on May 20, 2011,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500" w:type="dxa"/>
            <w:vAlign w:val="bottom"/>
          </w:tcPr>
          <w:p>
            <w:pPr>
              <w:ind w:left="640"/>
              <w:spacing w:after="0"/>
              <w:rPr>
                <w:sz w:val="20"/>
                <w:szCs w:val="20"/>
                <w:color w:val="auto"/>
              </w:rPr>
            </w:pPr>
            <w:r>
              <w:rPr>
                <w:rFonts w:ascii="Arial" w:cs="Arial" w:eastAsia="Arial" w:hAnsi="Arial"/>
                <w:sz w:val="18"/>
                <w:szCs w:val="18"/>
                <w:color w:val="auto"/>
              </w:rPr>
              <w:t>Company’s 2006 Incentive Compensation Plan, as amended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500" w:type="dxa"/>
            <w:vAlign w:val="bottom"/>
          </w:tcPr>
          <w:p>
            <w:pPr>
              <w:ind w:left="640"/>
              <w:spacing w:after="0"/>
              <w:rPr>
                <w:sz w:val="20"/>
                <w:szCs w:val="20"/>
                <w:color w:val="auto"/>
              </w:rPr>
            </w:pPr>
            <w:r>
              <w:rPr>
                <w:rFonts w:ascii="Arial" w:cs="Arial" w:eastAsia="Arial" w:hAnsi="Arial"/>
                <w:sz w:val="18"/>
                <w:szCs w:val="18"/>
                <w:color w:val="auto"/>
                <w:w w:val="98"/>
              </w:rPr>
              <w:t>Form of Non-Qualified Option Agreement for the Chairman and Executive Officers (included as Exhibit 10.2 to the Company’s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500" w:type="dxa"/>
            <w:vAlign w:val="bottom"/>
          </w:tcPr>
          <w:p>
            <w:pPr>
              <w:ind w:left="640"/>
              <w:spacing w:after="0"/>
              <w:rPr>
                <w:sz w:val="20"/>
                <w:szCs w:val="20"/>
                <w:color w:val="auto"/>
              </w:rPr>
            </w:pPr>
            <w:r>
              <w:rPr>
                <w:rFonts w:ascii="Arial" w:cs="Arial" w:eastAsia="Arial" w:hAnsi="Arial"/>
                <w:sz w:val="18"/>
                <w:szCs w:val="18"/>
                <w:color w:val="auto"/>
              </w:rPr>
              <w:t>Quarterly Report on Form 10-Q filed on August 18, 2006, and incorporated herein by reference).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500" w:type="dxa"/>
            <w:vAlign w:val="bottom"/>
          </w:tcPr>
          <w:p>
            <w:pPr>
              <w:ind w:left="510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09"/>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Form of Incentive Stock Option Agreement for the Chairman and Executive Officers (included as Exhibit 10.3 to the Company’s Quarterly</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Report on Form 10-Q filed on August 18,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580" w:type="dxa"/>
            <w:vAlign w:val="bottom"/>
          </w:tcPr>
          <w:p>
            <w:pPr>
              <w:ind w:left="520"/>
              <w:spacing w:after="0"/>
              <w:rPr>
                <w:sz w:val="20"/>
                <w:szCs w:val="20"/>
                <w:color w:val="auto"/>
              </w:rPr>
            </w:pPr>
            <w:r>
              <w:rPr>
                <w:rFonts w:ascii="Arial" w:cs="Arial" w:eastAsia="Arial" w:hAnsi="Arial"/>
                <w:sz w:val="18"/>
                <w:szCs w:val="18"/>
                <w:color w:val="auto"/>
                <w:w w:val="94"/>
              </w:rPr>
              <w:t>Form of Non-Qualified Option Agreement for Non-Employee Directors (included as Exhibit 10.4 to the Company’s Quarterly Report on</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Form 10-Q filed on August 18,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Form of Option Repurchase Agreement dated January 29, 2009 (included as Exhibit 10.1 to the Company’s Current Report on Form 8-K</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filed on February 3, 2009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580" w:type="dxa"/>
            <w:vAlign w:val="bottom"/>
          </w:tcPr>
          <w:p>
            <w:pPr>
              <w:ind w:left="520"/>
              <w:spacing w:after="0"/>
              <w:rPr>
                <w:sz w:val="20"/>
                <w:szCs w:val="20"/>
                <w:color w:val="auto"/>
              </w:rPr>
            </w:pPr>
            <w:r>
              <w:rPr>
                <w:rFonts w:ascii="Arial" w:cs="Arial" w:eastAsia="Arial" w:hAnsi="Arial"/>
                <w:sz w:val="18"/>
                <w:szCs w:val="18"/>
                <w:color w:val="auto"/>
                <w:w w:val="93"/>
              </w:rPr>
              <w:t>Company’s Amended and Restated Non-Employee Director Compensation Plan (included as Exhibit 4.1 to the Company’s Registration</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Statement on Form S-8 (No. 333-170764),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580" w:type="dxa"/>
            <w:vAlign w:val="bottom"/>
          </w:tcPr>
          <w:p>
            <w:pPr>
              <w:ind w:left="520"/>
              <w:spacing w:after="0"/>
              <w:rPr>
                <w:sz w:val="20"/>
                <w:szCs w:val="20"/>
                <w:color w:val="auto"/>
              </w:rPr>
            </w:pPr>
            <w:r>
              <w:rPr>
                <w:rFonts w:ascii="Arial" w:cs="Arial" w:eastAsia="Arial" w:hAnsi="Arial"/>
                <w:sz w:val="18"/>
                <w:szCs w:val="18"/>
                <w:color w:val="auto"/>
                <w:w w:val="97"/>
              </w:rPr>
              <w:t>Sixth Amended and Restated Loan and Security Agreement dated November 10, 2010, by and among Bank of America, N.A., as</w:t>
            </w:r>
          </w:p>
        </w:tc>
        <w:tc>
          <w:tcPr>
            <w:tcW w:w="2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Administrative Agent and Collateral Agent, the Revolving Credit Lenders identified therein, the Company, as Borrowers’ Representative,</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and the Company and CMRG Apparel, LLC, as Borrowers (included as Exhibit 10.1 to the Company’s Current Report on Form 8-K/A filed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on January 7, 2011,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10580" w:type="dxa"/>
            <w:vAlign w:val="bottom"/>
          </w:tcPr>
          <w:p>
            <w:pPr>
              <w:ind w:left="520"/>
              <w:spacing w:after="0"/>
              <w:rPr>
                <w:sz w:val="20"/>
                <w:szCs w:val="20"/>
                <w:color w:val="auto"/>
              </w:rPr>
            </w:pPr>
            <w:r>
              <w:rPr>
                <w:rFonts w:ascii="Arial" w:cs="Arial" w:eastAsia="Arial" w:hAnsi="Arial"/>
                <w:sz w:val="18"/>
                <w:szCs w:val="18"/>
                <w:color w:val="auto"/>
                <w:w w:val="89"/>
              </w:rPr>
              <w:t>First Amendment to Sixth Amended and Restated Loan and Security Agreement dated June 26, 2013, by and among Bank of America, N.A.,</w:t>
            </w:r>
          </w:p>
        </w:tc>
        <w:tc>
          <w:tcPr>
            <w:tcW w:w="2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0"/>
              </w:rPr>
              <w:t>as Administrative Agent and Collateral Agent, the Revolving Credit Lenders identified therein, the Company, as Borrowers’ Representative,</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and the Company and CMRG Apparel, LLC, as Borrowers (included as Exhibit 10.1 to the Company’s Quarterly Report on Form 10-Q filed</w:t>
            </w:r>
          </w:p>
        </w:tc>
        <w:tc>
          <w:tcPr>
            <w:tcW w:w="22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on August 23,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10580" w:type="dxa"/>
            <w:vAlign w:val="bottom"/>
          </w:tcPr>
          <w:p>
            <w:pPr>
              <w:ind w:left="520"/>
              <w:spacing w:after="0"/>
              <w:rPr>
                <w:sz w:val="20"/>
                <w:szCs w:val="20"/>
                <w:color w:val="auto"/>
              </w:rPr>
            </w:pPr>
            <w:r>
              <w:rPr>
                <w:rFonts w:ascii="Arial" w:cs="Arial" w:eastAsia="Arial" w:hAnsi="Arial"/>
                <w:sz w:val="18"/>
                <w:szCs w:val="18"/>
                <w:color w:val="auto"/>
                <w:w w:val="90"/>
              </w:rPr>
              <w:t>Master Loan and Security Agreement dated July 20, 2007 between the Company and Banc of America Leasing &amp; Capital, LLC (included as</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Exhibit 10.1 to the Company’s Current Report on Form 8-K filed on July 23, 2007,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Amendment Number 1 to Master Loan and Security Agreement dated September 30, 2013 between the Company and Banc of America</w:t>
            </w:r>
          </w:p>
        </w:tc>
        <w:tc>
          <w:tcPr>
            <w:tcW w:w="2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Leasing &amp; Capital, LLC. (included as Exhibit 10.2 to the Company’s Current Report on Form 8-K filed on October 3, 2013, and</w:t>
            </w:r>
          </w:p>
        </w:tc>
        <w:tc>
          <w:tcPr>
            <w:tcW w:w="22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0580" w:type="dxa"/>
            <w:vAlign w:val="bottom"/>
          </w:tcPr>
          <w:p>
            <w:pPr>
              <w:ind w:left="520"/>
              <w:spacing w:after="0"/>
              <w:rPr>
                <w:sz w:val="20"/>
                <w:szCs w:val="20"/>
                <w:color w:val="auto"/>
              </w:rPr>
            </w:pPr>
            <w:r>
              <w:rPr>
                <w:rFonts w:ascii="Arial" w:cs="Arial" w:eastAsia="Arial" w:hAnsi="Arial"/>
                <w:sz w:val="18"/>
                <w:szCs w:val="18"/>
                <w:color w:val="auto"/>
                <w:w w:val="90"/>
              </w:rPr>
              <w:t>Equipment Security Note Number 17608-70003 to the Master Loan and Security Agreement, as amended, dated October 1, 2013 between</w:t>
            </w:r>
          </w:p>
        </w:tc>
        <w:tc>
          <w:tcPr>
            <w:tcW w:w="2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the Company and Banc of America Leasing &amp; Capital, LLC. (included as Exhibit 10.3 to the Company’s Current Report on Form 8-K filed</w:t>
            </w:r>
          </w:p>
        </w:tc>
        <w:tc>
          <w:tcPr>
            <w:tcW w:w="22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on October 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10.14</w:t>
            </w:r>
          </w:p>
        </w:tc>
        <w:tc>
          <w:tcPr>
            <w:tcW w:w="10580" w:type="dxa"/>
            <w:vAlign w:val="bottom"/>
          </w:tcPr>
          <w:p>
            <w:pPr>
              <w:ind w:left="520"/>
              <w:spacing w:after="0"/>
              <w:rPr>
                <w:sz w:val="20"/>
                <w:szCs w:val="20"/>
                <w:color w:val="auto"/>
              </w:rPr>
            </w:pPr>
            <w:r>
              <w:rPr>
                <w:rFonts w:ascii="Arial" w:cs="Arial" w:eastAsia="Arial" w:hAnsi="Arial"/>
                <w:sz w:val="18"/>
                <w:szCs w:val="18"/>
                <w:color w:val="auto"/>
                <w:w w:val="94"/>
              </w:rPr>
              <w:t>Equipment Security Note Number 17608-70004 to the Master Loan and Security Agreement, as amended, dated September 30, 2013</w:t>
            </w:r>
          </w:p>
        </w:tc>
        <w:tc>
          <w:tcPr>
            <w:tcW w:w="2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between the Company and Banc of America Leasing &amp; Capital, LLC. (included as Exhibit 10.4 to the Company’s Current Report on Form</w:t>
            </w:r>
          </w:p>
        </w:tc>
        <w:tc>
          <w:tcPr>
            <w:tcW w:w="22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8-K filed on October 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10.15</w:t>
            </w:r>
          </w:p>
        </w:tc>
        <w:tc>
          <w:tcPr>
            <w:tcW w:w="10580" w:type="dxa"/>
            <w:vAlign w:val="bottom"/>
          </w:tcPr>
          <w:p>
            <w:pPr>
              <w:ind w:left="520"/>
              <w:spacing w:after="0"/>
              <w:rPr>
                <w:sz w:val="20"/>
                <w:szCs w:val="20"/>
                <w:color w:val="auto"/>
              </w:rPr>
            </w:pPr>
            <w:r>
              <w:rPr>
                <w:rFonts w:ascii="Arial" w:cs="Arial" w:eastAsia="Arial" w:hAnsi="Arial"/>
                <w:sz w:val="18"/>
                <w:szCs w:val="18"/>
                <w:color w:val="auto"/>
                <w:w w:val="94"/>
              </w:rPr>
              <w:t>Equipment Security Note Number 17608-70005 to the Master Loan and Security Agreement, as amended, dated September 30, 2013</w:t>
            </w:r>
          </w:p>
        </w:tc>
        <w:tc>
          <w:tcPr>
            <w:tcW w:w="2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between the Company and Banc of America Leasing &amp; Capital, LLC. (included as Exhibit 10.5 to the Company’s Current Report on Form</w:t>
            </w:r>
          </w:p>
        </w:tc>
        <w:tc>
          <w:tcPr>
            <w:tcW w:w="22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8-K filed on October 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10.16</w:t>
            </w:r>
          </w:p>
        </w:tc>
        <w:tc>
          <w:tcPr>
            <w:tcW w:w="10580" w:type="dxa"/>
            <w:vAlign w:val="bottom"/>
          </w:tcPr>
          <w:p>
            <w:pPr>
              <w:ind w:left="520"/>
              <w:spacing w:after="0"/>
              <w:rPr>
                <w:sz w:val="20"/>
                <w:szCs w:val="20"/>
                <w:color w:val="auto"/>
              </w:rPr>
            </w:pPr>
            <w:r>
              <w:rPr>
                <w:rFonts w:ascii="Arial" w:cs="Arial" w:eastAsia="Arial" w:hAnsi="Arial"/>
                <w:sz w:val="18"/>
                <w:szCs w:val="18"/>
                <w:color w:val="auto"/>
                <w:w w:val="94"/>
              </w:rPr>
              <w:t>Equipment Security Note Number 17608-70006 to the Master Loan and Security Agreement, as amended, dated September 30, 2013</w:t>
            </w:r>
          </w:p>
        </w:tc>
        <w:tc>
          <w:tcPr>
            <w:tcW w:w="2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between the Company and Banc of America Leasing &amp; Capital, LLC. (included as Exhibit 10.6 to the Company’s Current Report on Form</w:t>
            </w:r>
          </w:p>
        </w:tc>
        <w:tc>
          <w:tcPr>
            <w:tcW w:w="22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8-K filed on October 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580" w:type="dxa"/>
            <w:vAlign w:val="bottom"/>
          </w:tcPr>
          <w:p>
            <w:pPr>
              <w:ind w:left="510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5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09"/>
        </w:trPr>
        <w:tc>
          <w:tcPr>
            <w:tcW w:w="520" w:type="dxa"/>
            <w:vAlign w:val="bottom"/>
          </w:tcPr>
          <w:p>
            <w:pPr>
              <w:jc w:val="right"/>
              <w:spacing w:after="0"/>
              <w:rPr>
                <w:sz w:val="20"/>
                <w:szCs w:val="20"/>
                <w:color w:val="auto"/>
              </w:rPr>
            </w:pPr>
            <w:r>
              <w:rPr>
                <w:rFonts w:ascii="Arial" w:cs="Arial" w:eastAsia="Arial" w:hAnsi="Arial"/>
                <w:sz w:val="18"/>
                <w:szCs w:val="18"/>
                <w:color w:val="auto"/>
              </w:rPr>
              <w:t>10.17</w:t>
            </w:r>
          </w:p>
        </w:tc>
        <w:tc>
          <w:tcPr>
            <w:tcW w:w="10560" w:type="dxa"/>
            <w:vAlign w:val="bottom"/>
          </w:tcPr>
          <w:p>
            <w:pPr>
              <w:ind w:left="520"/>
              <w:spacing w:after="0"/>
              <w:rPr>
                <w:sz w:val="20"/>
                <w:szCs w:val="20"/>
                <w:color w:val="auto"/>
              </w:rPr>
            </w:pPr>
            <w:r>
              <w:rPr>
                <w:rFonts w:ascii="Arial" w:cs="Arial" w:eastAsia="Arial" w:hAnsi="Arial"/>
                <w:sz w:val="18"/>
                <w:szCs w:val="18"/>
                <w:color w:val="auto"/>
                <w:w w:val="94"/>
              </w:rPr>
              <w:t>Equipment Security Note Number 17608-70007 to the Master Loan and Security Agreement, as amended, dated December 23, 2013</w:t>
            </w:r>
          </w:p>
        </w:tc>
        <w:tc>
          <w:tcPr>
            <w:tcW w:w="2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between the Company and Banc of America Leasing &amp; Capital, LLC. (included as Exhibit 10.1 to the Company’s Current Report on Form</w:t>
            </w:r>
          </w:p>
        </w:tc>
        <w:tc>
          <w:tcPr>
            <w:tcW w:w="2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8-K filed on January 8, 2014,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10.18</w:t>
            </w:r>
          </w:p>
        </w:tc>
        <w:tc>
          <w:tcPr>
            <w:tcW w:w="10560" w:type="dxa"/>
            <w:vAlign w:val="bottom"/>
          </w:tcPr>
          <w:p>
            <w:pPr>
              <w:ind w:left="520"/>
              <w:spacing w:after="0"/>
              <w:rPr>
                <w:sz w:val="20"/>
                <w:szCs w:val="20"/>
                <w:color w:val="auto"/>
              </w:rPr>
            </w:pPr>
            <w:r>
              <w:rPr>
                <w:rFonts w:ascii="Arial" w:cs="Arial" w:eastAsia="Arial" w:hAnsi="Arial"/>
                <w:sz w:val="18"/>
                <w:szCs w:val="18"/>
                <w:color w:val="auto"/>
                <w:w w:val="94"/>
              </w:rPr>
              <w:t>Equipment Security Note Number 17608-70008 to the Master Loan and Security Agreement, as amended, dated December 23, 2013</w:t>
            </w:r>
          </w:p>
        </w:tc>
        <w:tc>
          <w:tcPr>
            <w:tcW w:w="2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between the Company and Banc of America Leasing &amp; Capital, LLC. (included as Exhibit 10.2 to the Company’s Current Report on Form</w:t>
            </w:r>
          </w:p>
        </w:tc>
        <w:tc>
          <w:tcPr>
            <w:tcW w:w="2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8-K filed on January 8, 2014,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10.19</w:t>
            </w:r>
          </w:p>
        </w:tc>
        <w:tc>
          <w:tcPr>
            <w:tcW w:w="10560" w:type="dxa"/>
            <w:vAlign w:val="bottom"/>
          </w:tcPr>
          <w:p>
            <w:pPr>
              <w:ind w:left="520"/>
              <w:spacing w:after="0"/>
              <w:rPr>
                <w:sz w:val="20"/>
                <w:szCs w:val="20"/>
                <w:color w:val="auto"/>
              </w:rPr>
            </w:pPr>
            <w:r>
              <w:rPr>
                <w:rFonts w:ascii="Arial" w:cs="Arial" w:eastAsia="Arial" w:hAnsi="Arial"/>
                <w:sz w:val="18"/>
                <w:szCs w:val="18"/>
                <w:color w:val="auto"/>
                <w:w w:val="94"/>
              </w:rPr>
              <w:t>Equipment Security Note Number 17608-70009 to the Master Loan and Security Agreement, as amended, dated December 23, 2013</w:t>
            </w:r>
          </w:p>
        </w:tc>
        <w:tc>
          <w:tcPr>
            <w:tcW w:w="2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between the Company and Banc of America Leasing &amp; Capital, LLC. (included as Exhibit 10.3 to the Company’s Current Report on Form</w:t>
            </w:r>
          </w:p>
        </w:tc>
        <w:tc>
          <w:tcPr>
            <w:tcW w:w="2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8-K filed on January 8, 2014,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10.20</w:t>
            </w:r>
          </w:p>
        </w:tc>
        <w:tc>
          <w:tcPr>
            <w:tcW w:w="10560" w:type="dxa"/>
            <w:vAlign w:val="bottom"/>
          </w:tcPr>
          <w:p>
            <w:pPr>
              <w:ind w:left="520"/>
              <w:spacing w:after="0"/>
              <w:rPr>
                <w:sz w:val="20"/>
                <w:szCs w:val="20"/>
                <w:color w:val="auto"/>
              </w:rPr>
            </w:pPr>
            <w:r>
              <w:rPr>
                <w:rFonts w:ascii="Arial" w:cs="Arial" w:eastAsia="Arial" w:hAnsi="Arial"/>
                <w:sz w:val="18"/>
                <w:szCs w:val="18"/>
                <w:color w:val="auto"/>
                <w:w w:val="95"/>
              </w:rPr>
              <w:t>Amended and Restated Consulting Agreement, effective as of April 28, 2011 between the Company and Jewelcor Management, Inc.</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1"/>
              </w:rPr>
              <w:t>(included as Exhibit 10.1 to the Company’s Quarterly Report on Form 10-Q filed on May 20, 2011,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10.21</w:t>
            </w:r>
          </w:p>
        </w:tc>
        <w:tc>
          <w:tcPr>
            <w:tcW w:w="10560" w:type="dxa"/>
            <w:vAlign w:val="bottom"/>
          </w:tcPr>
          <w:p>
            <w:pPr>
              <w:ind w:left="520"/>
              <w:spacing w:after="0"/>
              <w:rPr>
                <w:sz w:val="20"/>
                <w:szCs w:val="20"/>
                <w:color w:val="auto"/>
              </w:rPr>
            </w:pPr>
            <w:r>
              <w:rPr>
                <w:rFonts w:ascii="Arial" w:cs="Arial" w:eastAsia="Arial" w:hAnsi="Arial"/>
                <w:sz w:val="18"/>
                <w:szCs w:val="18"/>
                <w:color w:val="auto"/>
                <w:w w:val="97"/>
              </w:rPr>
              <w:t>Employment Agreement between the Company and Seymour Holtzman dated as of April 28, 2011 (included as Exhibit 10.2 to the</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Company’s Quarterly Report on Form 10-Q filed on May 20, 2011,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10.22</w:t>
            </w:r>
          </w:p>
        </w:tc>
        <w:tc>
          <w:tcPr>
            <w:tcW w:w="10560" w:type="dxa"/>
            <w:vAlign w:val="bottom"/>
          </w:tcPr>
          <w:p>
            <w:pPr>
              <w:ind w:left="520"/>
              <w:spacing w:after="0"/>
              <w:rPr>
                <w:sz w:val="20"/>
                <w:szCs w:val="20"/>
                <w:color w:val="auto"/>
              </w:rPr>
            </w:pPr>
            <w:r>
              <w:rPr>
                <w:rFonts w:ascii="Arial" w:cs="Arial" w:eastAsia="Arial" w:hAnsi="Arial"/>
                <w:sz w:val="18"/>
                <w:szCs w:val="18"/>
                <w:color w:val="auto"/>
                <w:w w:val="94"/>
              </w:rPr>
              <w:t>Revised and Restated Employment Agreement dated as of November 5, 2009 between the Company and David A. Levin (included as</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9"/>
              </w:rPr>
              <w:t>Exhibit 10.1 to the Company’s Current Report on Form 8-K filed on November 19, 2009,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10.23</w:t>
            </w:r>
          </w:p>
        </w:tc>
        <w:tc>
          <w:tcPr>
            <w:tcW w:w="10560" w:type="dxa"/>
            <w:vAlign w:val="bottom"/>
          </w:tcPr>
          <w:p>
            <w:pPr>
              <w:ind w:left="520"/>
              <w:spacing w:after="0"/>
              <w:rPr>
                <w:sz w:val="20"/>
                <w:szCs w:val="20"/>
                <w:color w:val="auto"/>
              </w:rPr>
            </w:pPr>
            <w:r>
              <w:rPr>
                <w:rFonts w:ascii="Arial" w:cs="Arial" w:eastAsia="Arial" w:hAnsi="Arial"/>
                <w:sz w:val="18"/>
                <w:szCs w:val="18"/>
                <w:color w:val="auto"/>
                <w:w w:val="89"/>
              </w:rPr>
              <w:t>Temporary Employment Agreement, effective as of February 2, 2014, between the Company and John E. Kyees (included as Exhibit 10.1 to</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the Company’s Current Report on Form 8-K filed on March 10, 2014,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10.24</w:t>
            </w:r>
          </w:p>
        </w:tc>
        <w:tc>
          <w:tcPr>
            <w:tcW w:w="10560" w:type="dxa"/>
            <w:vAlign w:val="bottom"/>
          </w:tcPr>
          <w:p>
            <w:pPr>
              <w:ind w:left="520"/>
              <w:spacing w:after="0"/>
              <w:rPr>
                <w:sz w:val="20"/>
                <w:szCs w:val="20"/>
                <w:color w:val="auto"/>
              </w:rPr>
            </w:pPr>
            <w:r>
              <w:rPr>
                <w:rFonts w:ascii="Arial" w:cs="Arial" w:eastAsia="Arial" w:hAnsi="Arial"/>
                <w:sz w:val="18"/>
                <w:szCs w:val="18"/>
                <w:color w:val="auto"/>
                <w:w w:val="90"/>
              </w:rPr>
              <w:t>Revised and Restated Employment Agreement dated as of November 5, 2009 between the Company and Dennis R. Hernreich (included as</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9"/>
              </w:rPr>
              <w:t>Exhibit 10.2 to the Company’s Current Report on Form 8-K filed on November 19, 2009,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10.25</w:t>
            </w:r>
          </w:p>
        </w:tc>
        <w:tc>
          <w:tcPr>
            <w:tcW w:w="10560" w:type="dxa"/>
            <w:vAlign w:val="bottom"/>
          </w:tcPr>
          <w:p>
            <w:pPr>
              <w:ind w:left="520"/>
              <w:spacing w:after="0"/>
              <w:rPr>
                <w:sz w:val="20"/>
                <w:szCs w:val="20"/>
                <w:color w:val="auto"/>
              </w:rPr>
            </w:pPr>
            <w:r>
              <w:rPr>
                <w:rFonts w:ascii="Arial" w:cs="Arial" w:eastAsia="Arial" w:hAnsi="Arial"/>
                <w:sz w:val="18"/>
                <w:szCs w:val="18"/>
                <w:color w:val="auto"/>
                <w:w w:val="97"/>
              </w:rPr>
              <w:t>Employment Agreement between the Company and Robert S. Molloy dated as of January 7, 2010 (included as Exhibit 10.2 to the</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Company’s Current Report on Form 8-K filed on January 11, 2010,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10.26</w:t>
            </w:r>
          </w:p>
        </w:tc>
        <w:tc>
          <w:tcPr>
            <w:tcW w:w="10560" w:type="dxa"/>
            <w:vAlign w:val="bottom"/>
          </w:tcPr>
          <w:p>
            <w:pPr>
              <w:ind w:left="520"/>
              <w:spacing w:after="0"/>
              <w:rPr>
                <w:sz w:val="20"/>
                <w:szCs w:val="20"/>
                <w:color w:val="auto"/>
              </w:rPr>
            </w:pPr>
            <w:r>
              <w:rPr>
                <w:rFonts w:ascii="Arial" w:cs="Arial" w:eastAsia="Arial" w:hAnsi="Arial"/>
                <w:sz w:val="18"/>
                <w:szCs w:val="18"/>
                <w:color w:val="auto"/>
                <w:w w:val="89"/>
              </w:rPr>
              <w:t>Employment Agreement between the Company and Francis Chane dated as of January 8, 2010 (included as Exhibit 10.34 to the Company’s</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Annual Report on Form 10-K filed on March 19, 2010,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10560" w:type="dxa"/>
            <w:vAlign w:val="bottom"/>
          </w:tcPr>
          <w:p>
            <w:pPr>
              <w:ind w:left="520"/>
              <w:spacing w:after="0"/>
              <w:rPr>
                <w:sz w:val="20"/>
                <w:szCs w:val="20"/>
                <w:color w:val="auto"/>
              </w:rPr>
            </w:pPr>
            <w:r>
              <w:rPr>
                <w:rFonts w:ascii="Arial" w:cs="Arial" w:eastAsia="Arial" w:hAnsi="Arial"/>
                <w:sz w:val="18"/>
                <w:szCs w:val="18"/>
                <w:color w:val="auto"/>
                <w:w w:val="89"/>
              </w:rPr>
              <w:t>Employment Agreement between the Company and Kenneth Ederle dated as of January 1, 2013 (included as Exhibit 10.2 to the Company’s</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Quarterly Report on Form 10-Q filed on November 22, 2013,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10.28</w:t>
            </w:r>
          </w:p>
        </w:tc>
        <w:tc>
          <w:tcPr>
            <w:tcW w:w="10560" w:type="dxa"/>
            <w:vAlign w:val="bottom"/>
          </w:tcPr>
          <w:p>
            <w:pPr>
              <w:ind w:left="520"/>
              <w:spacing w:after="0"/>
              <w:rPr>
                <w:sz w:val="20"/>
                <w:szCs w:val="20"/>
                <w:color w:val="auto"/>
              </w:rPr>
            </w:pPr>
            <w:r>
              <w:rPr>
                <w:rFonts w:ascii="Arial" w:cs="Arial" w:eastAsia="Arial" w:hAnsi="Arial"/>
                <w:sz w:val="18"/>
                <w:szCs w:val="18"/>
                <w:color w:val="auto"/>
                <w:w w:val="95"/>
              </w:rPr>
              <w:t>Employment Agreement between the Company and Jack R. McKinney dated as of January 8, 2010 (included as Exhibit 10.37 to the</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10.29</w:t>
            </w:r>
          </w:p>
        </w:tc>
        <w:tc>
          <w:tcPr>
            <w:tcW w:w="10560" w:type="dxa"/>
            <w:vAlign w:val="bottom"/>
          </w:tcPr>
          <w:p>
            <w:pPr>
              <w:ind w:left="520"/>
              <w:spacing w:after="0"/>
              <w:rPr>
                <w:sz w:val="20"/>
                <w:szCs w:val="20"/>
                <w:color w:val="auto"/>
              </w:rPr>
            </w:pPr>
            <w:r>
              <w:rPr>
                <w:rFonts w:ascii="Arial" w:cs="Arial" w:eastAsia="Arial" w:hAnsi="Arial"/>
                <w:sz w:val="18"/>
                <w:szCs w:val="18"/>
                <w:color w:val="auto"/>
                <w:w w:val="97"/>
              </w:rPr>
              <w:t>Employment Agreement between the Company and Peter E. Schmitz dated as of January 1, 2013 (included as Exhibit 10.3 to the</w:t>
            </w:r>
          </w:p>
        </w:tc>
        <w:tc>
          <w:tcPr>
            <w:tcW w:w="2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Company’s Quarterly Report on Form 10-Q filed on November 22, 2013, and incorporated herein by reference).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560" w:type="dxa"/>
            <w:vAlign w:val="bottom"/>
          </w:tcPr>
          <w:p>
            <w:pPr>
              <w:ind w:left="510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09"/>
        </w:trPr>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Employment Agreement between the Company and Vickie Smith dated as of January 1, 2013 (included as Exhibit 10.4 to the Company’s</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Quarterly Report on Form 10-Q filed on November 22,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10.31</w:t>
            </w:r>
          </w:p>
        </w:tc>
        <w:tc>
          <w:tcPr>
            <w:tcW w:w="10580" w:type="dxa"/>
            <w:vAlign w:val="bottom"/>
          </w:tcPr>
          <w:p>
            <w:pPr>
              <w:ind w:left="520"/>
              <w:spacing w:after="0"/>
              <w:rPr>
                <w:sz w:val="20"/>
                <w:szCs w:val="20"/>
                <w:color w:val="auto"/>
              </w:rPr>
            </w:pPr>
            <w:r>
              <w:rPr>
                <w:rFonts w:ascii="Arial" w:cs="Arial" w:eastAsia="Arial" w:hAnsi="Arial"/>
                <w:sz w:val="18"/>
                <w:szCs w:val="18"/>
                <w:color w:val="auto"/>
                <w:w w:val="95"/>
              </w:rPr>
              <w:t>Employment Agreement between the Company and Walter E. Sprague dated as of January 8, 2010 (included as Exhibit 10.40 to the</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10.32</w:t>
            </w:r>
          </w:p>
        </w:tc>
        <w:tc>
          <w:tcPr>
            <w:tcW w:w="10580" w:type="dxa"/>
            <w:vAlign w:val="bottom"/>
          </w:tcPr>
          <w:p>
            <w:pPr>
              <w:ind w:left="520"/>
              <w:spacing w:after="0"/>
              <w:rPr>
                <w:sz w:val="20"/>
                <w:szCs w:val="20"/>
                <w:color w:val="auto"/>
              </w:rPr>
            </w:pPr>
            <w:r>
              <w:rPr>
                <w:rFonts w:ascii="Arial" w:cs="Arial" w:eastAsia="Arial" w:hAnsi="Arial"/>
                <w:sz w:val="18"/>
                <w:szCs w:val="18"/>
                <w:color w:val="auto"/>
                <w:w w:val="93"/>
              </w:rPr>
              <w:t>Employment Agreement between the Company and Peter H. Stratton, Jr. dated as of January 7, 2010 (included as Exhibit 10.41 to the</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Company’s Annual Report on Form 10-K filed on March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10.33</w:t>
            </w:r>
          </w:p>
        </w:tc>
        <w:tc>
          <w:tcPr>
            <w:tcW w:w="10580" w:type="dxa"/>
            <w:vAlign w:val="bottom"/>
          </w:tcPr>
          <w:p>
            <w:pPr>
              <w:ind w:left="520"/>
              <w:spacing w:after="0"/>
              <w:rPr>
                <w:sz w:val="20"/>
                <w:szCs w:val="20"/>
                <w:color w:val="auto"/>
              </w:rPr>
            </w:pPr>
            <w:r>
              <w:rPr>
                <w:rFonts w:ascii="Arial" w:cs="Arial" w:eastAsia="Arial" w:hAnsi="Arial"/>
                <w:sz w:val="18"/>
                <w:szCs w:val="18"/>
                <w:color w:val="auto"/>
                <w:w w:val="90"/>
              </w:rPr>
              <w:t>Employment Agreement between the Company and Brian Reaves (included as Exhibit 10.1 to the Company’s Quarterly Report on Form 10-</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Q filed on May 21,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Employment Agreement between the Company and John Wagner dated as of January 1, 2013 (included as Exhibit 10.5 to the Company’s</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Quarterly Report on Form 10-Q filed on November 22,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10.35</w:t>
            </w: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Employment Agreement between the Company and Derrick Walker dated as of May 29, 2012 (included as Exhibit 10.1 to the Company’s</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Quarterly Report on Form 10-Q filed on August 17, 2012,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10.36</w:t>
            </w: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Employment Agreement between the Company and Angela Chew dated as of January 1, 2013 (included as Exhibit 10.1 to the Company’s</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Quarterly Report on Form 10-Q filed on November 22,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10.37</w:t>
            </w: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2013-2016 Destination XL Group, Inc. Long-Term Incentive Plan (included as Exhibit 10.1 to the Company’s Current Report on Form 8-K</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filed June 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10.38</w:t>
            </w: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Form of Non-Qualified Option Agreement pursuant to the Company’s 2013-2016 Long-Term Incentive Plan (included as Exhibit 10.2 to the</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Company’s Quarterly Report on Form 10-Q filed on August 23,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10.39</w:t>
            </w:r>
          </w:p>
        </w:tc>
        <w:tc>
          <w:tcPr>
            <w:tcW w:w="10580" w:type="dxa"/>
            <w:vAlign w:val="bottom"/>
          </w:tcPr>
          <w:p>
            <w:pPr>
              <w:ind w:left="520"/>
              <w:spacing w:after="0"/>
              <w:rPr>
                <w:sz w:val="20"/>
                <w:szCs w:val="20"/>
                <w:color w:val="auto"/>
              </w:rPr>
            </w:pPr>
            <w:r>
              <w:rPr>
                <w:rFonts w:ascii="Arial" w:cs="Arial" w:eastAsia="Arial" w:hAnsi="Arial"/>
                <w:sz w:val="18"/>
                <w:szCs w:val="18"/>
                <w:color w:val="auto"/>
                <w:w w:val="92"/>
              </w:rPr>
              <w:t>Form of Restricted Stock Grant Agreement pursuant to the Company’s 2013-2016 Long-Term Incentive Plan (included as Exhibit 10.3 to</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the Company’s Quarterly Report on Form 10-Q filed on August 23, 2013,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10.40</w:t>
            </w:r>
          </w:p>
        </w:tc>
        <w:tc>
          <w:tcPr>
            <w:tcW w:w="10580" w:type="dxa"/>
            <w:vAlign w:val="bottom"/>
          </w:tcPr>
          <w:p>
            <w:pPr>
              <w:ind w:left="520"/>
              <w:spacing w:after="0"/>
              <w:rPr>
                <w:sz w:val="20"/>
                <w:szCs w:val="20"/>
                <w:color w:val="auto"/>
              </w:rPr>
            </w:pPr>
            <w:r>
              <w:rPr>
                <w:rFonts w:ascii="Arial" w:cs="Arial" w:eastAsia="Arial" w:hAnsi="Arial"/>
                <w:sz w:val="18"/>
                <w:szCs w:val="18"/>
                <w:color w:val="auto"/>
                <w:w w:val="89"/>
              </w:rPr>
              <w:t>Company’s Second Amended and Restated Annual Incentive Plan (included as Exhibit 10.1 to the Company’s Quarterly Report on Form 10-</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Q filed November 19, 2010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10.41</w:t>
            </w:r>
          </w:p>
        </w:tc>
        <w:tc>
          <w:tcPr>
            <w:tcW w:w="10580" w:type="dxa"/>
            <w:vAlign w:val="bottom"/>
          </w:tcPr>
          <w:p>
            <w:pPr>
              <w:ind w:left="520"/>
              <w:spacing w:after="0"/>
              <w:rPr>
                <w:sz w:val="20"/>
                <w:szCs w:val="20"/>
                <w:color w:val="auto"/>
              </w:rPr>
            </w:pPr>
            <w:r>
              <w:rPr>
                <w:rFonts w:ascii="Arial" w:cs="Arial" w:eastAsia="Arial" w:hAnsi="Arial"/>
                <w:sz w:val="18"/>
                <w:szCs w:val="18"/>
                <w:color w:val="auto"/>
                <w:w w:val="90"/>
              </w:rPr>
              <w:t>Registration Rights Agreement entered into as of April 26, 2002, by and between the Company and the persons identified therein (included</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as Exhibit 10.8 to the Company’s Current Report on Form 8-K filed on May 23, 2002,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10580" w:type="dxa"/>
            <w:vAlign w:val="bottom"/>
          </w:tcPr>
          <w:p>
            <w:pPr>
              <w:ind w:left="520"/>
              <w:spacing w:after="0"/>
              <w:rPr>
                <w:sz w:val="20"/>
                <w:szCs w:val="20"/>
                <w:color w:val="auto"/>
              </w:rPr>
            </w:pPr>
            <w:r>
              <w:rPr>
                <w:rFonts w:ascii="Arial" w:cs="Arial" w:eastAsia="Arial" w:hAnsi="Arial"/>
                <w:sz w:val="18"/>
                <w:szCs w:val="18"/>
                <w:color w:val="auto"/>
                <w:w w:val="93"/>
              </w:rPr>
              <w:t>Registration Rights Agreement dated November 18, 2003 by and between the Company and Thomas Weisel Partners LLC (included as</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7"/>
              </w:rPr>
              <w:t>Exhibit 10.4 to the Company’s Quarterly Report on Form 10-Q filed on December 9, 2003,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10.43</w:t>
            </w:r>
          </w:p>
        </w:tc>
        <w:tc>
          <w:tcPr>
            <w:tcW w:w="10580" w:type="dxa"/>
            <w:vAlign w:val="bottom"/>
          </w:tcPr>
          <w:p>
            <w:pPr>
              <w:ind w:left="520"/>
              <w:spacing w:after="0"/>
              <w:rPr>
                <w:sz w:val="20"/>
                <w:szCs w:val="20"/>
                <w:color w:val="auto"/>
              </w:rPr>
            </w:pPr>
            <w:r>
              <w:rPr>
                <w:rFonts w:ascii="Arial" w:cs="Arial" w:eastAsia="Arial" w:hAnsi="Arial"/>
                <w:sz w:val="18"/>
                <w:szCs w:val="18"/>
                <w:color w:val="auto"/>
                <w:w w:val="90"/>
              </w:rPr>
              <w:t>Contribution Agreement dated January 30, 2006 by and among the Company, Spirit SPE Canton, LLC and Spirit Finance Acquisitions, LLC</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(included as Exhibit 10.1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580" w:type="dxa"/>
            <w:vAlign w:val="bottom"/>
          </w:tcPr>
          <w:p>
            <w:pPr>
              <w:ind w:left="510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09"/>
        </w:trPr>
        <w:tc>
          <w:tcPr>
            <w:tcW w:w="520" w:type="dxa"/>
            <w:vAlign w:val="bottom"/>
          </w:tcPr>
          <w:p>
            <w:pPr>
              <w:jc w:val="right"/>
              <w:spacing w:after="0"/>
              <w:rPr>
                <w:sz w:val="20"/>
                <w:szCs w:val="20"/>
                <w:color w:val="auto"/>
              </w:rPr>
            </w:pPr>
            <w:r>
              <w:rPr>
                <w:rFonts w:ascii="Arial" w:cs="Arial" w:eastAsia="Arial" w:hAnsi="Arial"/>
                <w:sz w:val="18"/>
                <w:szCs w:val="18"/>
                <w:color w:val="auto"/>
              </w:rPr>
              <w:t>10.44</w:t>
            </w:r>
          </w:p>
        </w:tc>
        <w:tc>
          <w:tcPr>
            <w:tcW w:w="10580" w:type="dxa"/>
            <w:vAlign w:val="bottom"/>
          </w:tcPr>
          <w:p>
            <w:pPr>
              <w:ind w:left="520"/>
              <w:spacing w:after="0"/>
              <w:rPr>
                <w:sz w:val="20"/>
                <w:szCs w:val="20"/>
                <w:color w:val="auto"/>
              </w:rPr>
            </w:pPr>
            <w:r>
              <w:rPr>
                <w:rFonts w:ascii="Arial" w:cs="Arial" w:eastAsia="Arial" w:hAnsi="Arial"/>
                <w:sz w:val="18"/>
                <w:szCs w:val="18"/>
                <w:color w:val="auto"/>
                <w:w w:val="93"/>
              </w:rPr>
              <w:t>Membership Interest Purchase Agreement dated January 30, 2006 by and between the Company and Spirit Finance Acquisitions, LLC</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(included as Exhibit 10.2 to the 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10.45</w:t>
            </w:r>
          </w:p>
        </w:tc>
        <w:tc>
          <w:tcPr>
            <w:tcW w:w="10580" w:type="dxa"/>
            <w:vAlign w:val="bottom"/>
          </w:tcPr>
          <w:p>
            <w:pPr>
              <w:ind w:left="520"/>
              <w:spacing w:after="0"/>
              <w:rPr>
                <w:sz w:val="20"/>
                <w:szCs w:val="20"/>
                <w:color w:val="auto"/>
              </w:rPr>
            </w:pPr>
            <w:r>
              <w:rPr>
                <w:rFonts w:ascii="Arial" w:cs="Arial" w:eastAsia="Arial" w:hAnsi="Arial"/>
                <w:sz w:val="18"/>
                <w:szCs w:val="18"/>
                <w:color w:val="auto"/>
                <w:w w:val="94"/>
              </w:rPr>
              <w:t>Lease Agreement dated February 1, 2006 by and between the Company and Spirit SPE Canton, LLC (included as Exhibit 10.3 to the</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Company’s Current Report on Form 8-K filed on February 3,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10.46</w:t>
            </w:r>
          </w:p>
        </w:tc>
        <w:tc>
          <w:tcPr>
            <w:tcW w:w="10580" w:type="dxa"/>
            <w:vAlign w:val="bottom"/>
          </w:tcPr>
          <w:p>
            <w:pPr>
              <w:ind w:left="520"/>
              <w:spacing w:after="0"/>
              <w:rPr>
                <w:sz w:val="20"/>
                <w:szCs w:val="20"/>
                <w:color w:val="auto"/>
              </w:rPr>
            </w:pPr>
            <w:r>
              <w:rPr>
                <w:rFonts w:ascii="Arial" w:cs="Arial" w:eastAsia="Arial" w:hAnsi="Arial"/>
                <w:sz w:val="18"/>
                <w:szCs w:val="18"/>
                <w:color w:val="auto"/>
                <w:w w:val="90"/>
              </w:rPr>
              <w:t>Buying Agency Agreement effective November 16, 2005 by and between Designs Apparel, Inc. and Li &amp; Fung (included as Exhibit 10.47 to</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the Company’s Annual Report on Form 10-K filed March 31, 2006, and incorporated herein by reference).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10580" w:type="dxa"/>
            <w:vAlign w:val="bottom"/>
          </w:tcPr>
          <w:p>
            <w:pPr>
              <w:ind w:left="520"/>
              <w:spacing w:after="0"/>
              <w:rPr>
                <w:sz w:val="20"/>
                <w:szCs w:val="20"/>
                <w:color w:val="auto"/>
              </w:rPr>
            </w:pPr>
            <w:r>
              <w:rPr>
                <w:rFonts w:ascii="Arial" w:cs="Arial" w:eastAsia="Arial" w:hAnsi="Arial"/>
                <w:sz w:val="18"/>
                <w:szCs w:val="18"/>
                <w:color w:val="auto"/>
              </w:rPr>
              <w:t>Subsidiaries of the Registrant.</w:t>
            </w:r>
          </w:p>
        </w:tc>
        <w:tc>
          <w:tcPr>
            <w:tcW w:w="220" w:type="dxa"/>
            <w:vAlign w:val="bottom"/>
          </w:tcPr>
          <w:p>
            <w:pPr>
              <w:spacing w:after="0"/>
              <w:rPr>
                <w:sz w:val="24"/>
                <w:szCs w:val="24"/>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0580" w:type="dxa"/>
            <w:vAlign w:val="bottom"/>
          </w:tcPr>
          <w:p>
            <w:pPr>
              <w:ind w:left="520"/>
              <w:spacing w:after="0"/>
              <w:rPr>
                <w:sz w:val="20"/>
                <w:szCs w:val="20"/>
                <w:color w:val="auto"/>
              </w:rPr>
            </w:pPr>
            <w:r>
              <w:rPr>
                <w:rFonts w:ascii="Arial" w:cs="Arial" w:eastAsia="Arial" w:hAnsi="Arial"/>
                <w:sz w:val="18"/>
                <w:szCs w:val="18"/>
                <w:color w:val="auto"/>
              </w:rPr>
              <w:t>Consent of Independent Registered Public Accounting Firm.</w:t>
            </w:r>
          </w:p>
        </w:tc>
        <w:tc>
          <w:tcPr>
            <w:tcW w:w="220" w:type="dxa"/>
            <w:vAlign w:val="bottom"/>
          </w:tcPr>
          <w:p>
            <w:pPr>
              <w:spacing w:after="0"/>
              <w:rPr>
                <w:sz w:val="24"/>
                <w:szCs w:val="24"/>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10580" w:type="dxa"/>
            <w:vAlign w:val="bottom"/>
          </w:tcPr>
          <w:p>
            <w:pPr>
              <w:ind w:left="520"/>
              <w:spacing w:after="0"/>
              <w:rPr>
                <w:sz w:val="20"/>
                <w:szCs w:val="20"/>
                <w:color w:val="auto"/>
              </w:rPr>
            </w:pPr>
            <w:r>
              <w:rPr>
                <w:rFonts w:ascii="Arial" w:cs="Arial" w:eastAsia="Arial" w:hAnsi="Arial"/>
                <w:sz w:val="18"/>
                <w:szCs w:val="18"/>
                <w:color w:val="auto"/>
              </w:rPr>
              <w:t>Consent of Independent Registered Public Accounting Firm.</w:t>
            </w:r>
          </w:p>
        </w:tc>
        <w:tc>
          <w:tcPr>
            <w:tcW w:w="220" w:type="dxa"/>
            <w:vAlign w:val="bottom"/>
          </w:tcPr>
          <w:p>
            <w:pPr>
              <w:spacing w:after="0"/>
              <w:rPr>
                <w:sz w:val="24"/>
                <w:szCs w:val="24"/>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580" w:type="dxa"/>
            <w:vAlign w:val="bottom"/>
          </w:tcPr>
          <w:p>
            <w:pPr>
              <w:ind w:left="520"/>
              <w:spacing w:after="0"/>
              <w:rPr>
                <w:sz w:val="20"/>
                <w:szCs w:val="20"/>
                <w:color w:val="auto"/>
              </w:rPr>
            </w:pPr>
            <w:r>
              <w:rPr>
                <w:rFonts w:ascii="Arial" w:cs="Arial" w:eastAsia="Arial" w:hAnsi="Arial"/>
                <w:sz w:val="18"/>
                <w:szCs w:val="18"/>
                <w:color w:val="auto"/>
                <w:w w:val="99"/>
              </w:rPr>
              <w:t>Certification of Chief Executive Officer of the Company pursuant to Rule 13a-14(a) under the Securities Exchange Act of 1934.</w:t>
            </w:r>
          </w:p>
        </w:tc>
        <w:tc>
          <w:tcPr>
            <w:tcW w:w="220" w:type="dxa"/>
            <w:vAlign w:val="bottom"/>
          </w:tcPr>
          <w:p>
            <w:pPr>
              <w:spacing w:after="0"/>
              <w:rPr>
                <w:sz w:val="24"/>
                <w:szCs w:val="24"/>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580" w:type="dxa"/>
            <w:vAlign w:val="bottom"/>
          </w:tcPr>
          <w:p>
            <w:pPr>
              <w:ind w:left="52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c>
          <w:tcPr>
            <w:tcW w:w="220" w:type="dxa"/>
            <w:vAlign w:val="bottom"/>
          </w:tcPr>
          <w:p>
            <w:pPr>
              <w:spacing w:after="0"/>
              <w:rPr>
                <w:sz w:val="24"/>
                <w:szCs w:val="24"/>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of 2002.</w:t>
            </w:r>
          </w:p>
        </w:tc>
        <w:tc>
          <w:tcPr>
            <w:tcW w:w="220" w:type="dxa"/>
            <w:vAlign w:val="bottom"/>
          </w:tcPr>
          <w:p>
            <w:pPr>
              <w:spacing w:after="0"/>
              <w:rPr>
                <w:sz w:val="19"/>
                <w:szCs w:val="19"/>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10580" w:type="dxa"/>
            <w:vAlign w:val="bottom"/>
          </w:tcPr>
          <w:p>
            <w:pPr>
              <w:ind w:left="5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c>
          <w:tcPr>
            <w:tcW w:w="22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0580" w:type="dxa"/>
            <w:vAlign w:val="bottom"/>
          </w:tcPr>
          <w:p>
            <w:pPr>
              <w:ind w:left="520"/>
              <w:spacing w:after="0"/>
              <w:rPr>
                <w:sz w:val="20"/>
                <w:szCs w:val="20"/>
                <w:color w:val="auto"/>
              </w:rPr>
            </w:pPr>
            <w:r>
              <w:rPr>
                <w:rFonts w:ascii="Arial" w:cs="Arial" w:eastAsia="Arial" w:hAnsi="Arial"/>
                <w:sz w:val="18"/>
                <w:szCs w:val="18"/>
                <w:color w:val="auto"/>
              </w:rPr>
              <w:t>of 2002.</w:t>
            </w:r>
          </w:p>
        </w:tc>
        <w:tc>
          <w:tcPr>
            <w:tcW w:w="220" w:type="dxa"/>
            <w:vAlign w:val="bottom"/>
          </w:tcPr>
          <w:p>
            <w:pPr>
              <w:spacing w:after="0"/>
              <w:rPr>
                <w:sz w:val="19"/>
                <w:szCs w:val="19"/>
                <w:color w:val="auto"/>
              </w:rPr>
            </w:pPr>
          </w:p>
        </w:tc>
      </w:tr>
    </w:tbl>
    <w:p>
      <w:pPr>
        <w:spacing w:after="0" w:line="102" w:lineRule="exact"/>
        <w:rPr>
          <w:sz w:val="20"/>
          <w:szCs w:val="20"/>
          <w:color w:val="auto"/>
        </w:rPr>
      </w:pPr>
    </w:p>
    <w:p>
      <w:pPr>
        <w:ind w:left="1040" w:right="500" w:hanging="782"/>
        <w:spacing w:after="0" w:line="256"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following materials from the Company’s Annual Report on Form 10-K for the year ended February 1, 2014,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6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 with the Securities and Exchange Commission.</w:t>
      </w:r>
    </w:p>
    <w:p>
      <w:pPr>
        <w:spacing w:after="0" w:line="15" w:lineRule="exact"/>
        <w:rPr>
          <w:sz w:val="20"/>
          <w:szCs w:val="20"/>
          <w:color w:val="auto"/>
        </w:rPr>
      </w:pPr>
    </w:p>
    <w:p>
      <w:pPr>
        <w:ind w:left="5620" w:right="4720" w:hanging="5612"/>
        <w:spacing w:after="0" w:line="517" w:lineRule="auto"/>
        <w:tabs>
          <w:tab w:leader="none" w:pos="4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grant of confidential treatment. 84</w:t>
      </w:r>
    </w:p>
    <w:p>
      <w:pPr>
        <w:sectPr>
          <w:pgSz w:w="11900" w:h="16838" w:orient="portrait"/>
          <w:cols w:equalWidth="0" w:num="1">
            <w:col w:w="11320"/>
          </w:cols>
          <w:pgMar w:left="24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w:t>
      </w:r>
      <w:r>
        <w:rPr>
          <w:rFonts w:ascii="Arial" w:cs="Arial" w:eastAsia="Arial" w:hAnsi="Arial"/>
          <w:sz w:val="14"/>
          <w:szCs w:val="14"/>
          <w:color w:val="auto"/>
        </w:rPr>
        <w:t>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17, 2014</w:t>
      </w:r>
    </w:p>
    <w:p>
      <w:pPr>
        <w:spacing w:after="0" w:line="219" w:lineRule="exact"/>
        <w:rPr>
          <w:sz w:val="20"/>
          <w:szCs w:val="20"/>
          <w:color w:val="auto"/>
        </w:rPr>
      </w:pPr>
    </w:p>
    <w:p>
      <w:pPr>
        <w:ind w:left="5580"/>
        <w:spacing w:after="0"/>
        <w:tabs>
          <w:tab w:leader="none" w:pos="7780" w:val="left"/>
          <w:tab w:leader="none" w:pos="8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168" w:lineRule="exact"/>
        <w:rPr>
          <w:sz w:val="20"/>
          <w:szCs w:val="20"/>
          <w:color w:val="auto"/>
        </w:rPr>
      </w:pPr>
    </w:p>
    <w:p>
      <w:pPr>
        <w:ind w:left="2140"/>
        <w:spacing w:after="0"/>
        <w:tabs>
          <w:tab w:leader="none" w:pos="7080" w:val="left"/>
          <w:tab w:leader="none" w:pos="1040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380"/>
          </w:cols>
          <w:pgMar w:left="240" w:top="459" w:right="27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605"/>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5"/>
              <w:spacing w:after="0"/>
              <w:rPr>
                <w:sz w:val="20"/>
                <w:szCs w:val="20"/>
                <w:color w:val="auto"/>
              </w:rPr>
            </w:pPr>
            <w:r>
              <w:rPr>
                <w:rFonts w:ascii="Arial" w:cs="Arial" w:eastAsia="Arial" w:hAnsi="Arial"/>
                <w:sz w:val="14"/>
                <w:szCs w:val="14"/>
                <w:b w:val="1"/>
                <w:bCs w:val="1"/>
                <w:color w:val="auto"/>
                <w:w w:val="91"/>
              </w:rPr>
              <w:t>David A. Levin</w:t>
            </w:r>
          </w:p>
        </w:tc>
      </w:tr>
      <w:tr>
        <w:trPr>
          <w:trHeight w:val="351"/>
        </w:trPr>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3120" w:type="dxa"/>
            <w:vAlign w:val="bottom"/>
            <w:tcBorders>
              <w:bottom w:val="single" w:sz="8" w:color="auto"/>
            </w:tcBorders>
          </w:tcPr>
          <w:p>
            <w:pPr>
              <w:jc w:val="center"/>
              <w:ind w:right="1605"/>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OHN</w:t>
            </w:r>
            <w:r>
              <w:rPr>
                <w:rFonts w:ascii="Arial" w:cs="Arial" w:eastAsia="Arial" w:hAnsi="Arial"/>
                <w:sz w:val="18"/>
                <w:szCs w:val="18"/>
                <w:color w:val="auto"/>
                <w:w w:val="96"/>
              </w:rPr>
              <w:t xml:space="preserve"> E. K</w:t>
            </w:r>
            <w:r>
              <w:rPr>
                <w:rFonts w:ascii="Arial" w:cs="Arial" w:eastAsia="Arial" w:hAnsi="Arial"/>
                <w:sz w:val="14"/>
                <w:szCs w:val="14"/>
                <w:color w:val="auto"/>
                <w:w w:val="96"/>
              </w:rPr>
              <w:t>YEES</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65"/>
              <w:spacing w:after="0"/>
              <w:rPr>
                <w:sz w:val="20"/>
                <w:szCs w:val="20"/>
                <w:color w:val="auto"/>
              </w:rPr>
            </w:pPr>
            <w:r>
              <w:rPr>
                <w:rFonts w:ascii="Arial" w:cs="Arial" w:eastAsia="Arial" w:hAnsi="Arial"/>
                <w:sz w:val="14"/>
                <w:szCs w:val="14"/>
                <w:b w:val="1"/>
                <w:bCs w:val="1"/>
                <w:color w:val="auto"/>
                <w:w w:val="85"/>
              </w:rPr>
              <w:t>John E. Kyees</w:t>
            </w:r>
          </w:p>
        </w:tc>
      </w:tr>
      <w:tr>
        <w:trPr>
          <w:trHeight w:val="351"/>
        </w:trPr>
        <w:tc>
          <w:tcPr>
            <w:tcW w:w="15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H. S</w:t>
            </w:r>
            <w:r>
              <w:rPr>
                <w:rFonts w:ascii="Arial" w:cs="Arial" w:eastAsia="Arial" w:hAnsi="Arial"/>
                <w:sz w:val="14"/>
                <w:szCs w:val="14"/>
                <w:color w:val="auto"/>
              </w:rPr>
              <w:t>TRATTON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5"/>
              <w:spacing w:after="0"/>
              <w:rPr>
                <w:sz w:val="20"/>
                <w:szCs w:val="20"/>
                <w:color w:val="auto"/>
              </w:rPr>
            </w:pPr>
            <w:r>
              <w:rPr>
                <w:rFonts w:ascii="Arial" w:cs="Arial" w:eastAsia="Arial" w:hAnsi="Arial"/>
                <w:sz w:val="14"/>
                <w:szCs w:val="14"/>
                <w:b w:val="1"/>
                <w:bCs w:val="1"/>
                <w:color w:val="auto"/>
                <w:w w:val="88"/>
              </w:rPr>
              <w:t>Peter H. Stratton, Jr.</w:t>
            </w:r>
          </w:p>
        </w:tc>
      </w:tr>
      <w:tr>
        <w:trPr>
          <w:trHeight w:val="351"/>
        </w:trPr>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73"/>
              </w:rPr>
              <w:t>/s/</w:t>
            </w:r>
          </w:p>
        </w:tc>
        <w:tc>
          <w:tcPr>
            <w:tcW w:w="3340" w:type="dxa"/>
            <w:vAlign w:val="bottom"/>
            <w:tcBorders>
              <w:bottom w:val="single" w:sz="8" w:color="auto"/>
            </w:tcBorders>
            <w:gridSpan w:val="2"/>
          </w:tcPr>
          <w:p>
            <w:pPr>
              <w:jc w:val="center"/>
              <w:ind w:right="1305"/>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5"/>
              <w:spacing w:after="0"/>
              <w:rPr>
                <w:sz w:val="20"/>
                <w:szCs w:val="20"/>
                <w:color w:val="auto"/>
              </w:rPr>
            </w:pPr>
            <w:r>
              <w:rPr>
                <w:rFonts w:ascii="Arial" w:cs="Arial" w:eastAsia="Arial" w:hAnsi="Arial"/>
                <w:sz w:val="14"/>
                <w:szCs w:val="14"/>
                <w:b w:val="1"/>
                <w:bCs w:val="1"/>
                <w:color w:val="auto"/>
                <w:w w:val="88"/>
              </w:rPr>
              <w:t>Seymour Holtzman</w:t>
            </w:r>
          </w:p>
        </w:tc>
      </w:tr>
      <w:tr>
        <w:trPr>
          <w:trHeight w:val="311"/>
        </w:trPr>
        <w:tc>
          <w:tcPr>
            <w:tcW w:w="174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545"/>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5"/>
              <w:spacing w:after="0"/>
              <w:rPr>
                <w:sz w:val="20"/>
                <w:szCs w:val="20"/>
                <w:color w:val="auto"/>
              </w:rPr>
            </w:pPr>
            <w:r>
              <w:rPr>
                <w:rFonts w:ascii="Arial" w:cs="Arial" w:eastAsia="Arial" w:hAnsi="Arial"/>
                <w:sz w:val="14"/>
                <w:szCs w:val="14"/>
                <w:b w:val="1"/>
                <w:bCs w:val="1"/>
                <w:color w:val="auto"/>
                <w:w w:val="87"/>
              </w:rPr>
              <w:t>Alan S. Bernikow</w:t>
            </w:r>
          </w:p>
        </w:tc>
      </w:tr>
      <w:tr>
        <w:trPr>
          <w:trHeight w:val="311"/>
        </w:trPr>
        <w:tc>
          <w:tcPr>
            <w:tcW w:w="174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585"/>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ESSE</w:t>
            </w:r>
            <w:r>
              <w:rPr>
                <w:rFonts w:ascii="Arial" w:cs="Arial" w:eastAsia="Arial" w:hAnsi="Arial"/>
                <w:sz w:val="18"/>
                <w:szCs w:val="18"/>
                <w:color w:val="auto"/>
                <w:w w:val="91"/>
              </w:rPr>
              <w:t xml:space="preserve"> H. C</w:t>
            </w:r>
            <w:r>
              <w:rPr>
                <w:rFonts w:ascii="Arial" w:cs="Arial" w:eastAsia="Arial" w:hAnsi="Arial"/>
                <w:sz w:val="14"/>
                <w:szCs w:val="14"/>
                <w:color w:val="auto"/>
                <w:w w:val="91"/>
              </w:rPr>
              <w:t>HOPER</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5"/>
              <w:spacing w:after="0"/>
              <w:rPr>
                <w:sz w:val="20"/>
                <w:szCs w:val="20"/>
                <w:color w:val="auto"/>
              </w:rPr>
            </w:pPr>
            <w:r>
              <w:rPr>
                <w:rFonts w:ascii="Arial" w:cs="Arial" w:eastAsia="Arial" w:hAnsi="Arial"/>
                <w:sz w:val="14"/>
                <w:szCs w:val="14"/>
                <w:b w:val="1"/>
                <w:bCs w:val="1"/>
                <w:color w:val="auto"/>
                <w:w w:val="83"/>
              </w:rPr>
              <w:t>Jesse H. Choper</w:t>
            </w:r>
          </w:p>
        </w:tc>
      </w:tr>
      <w:tr>
        <w:trPr>
          <w:trHeight w:val="311"/>
        </w:trPr>
        <w:tc>
          <w:tcPr>
            <w:tcW w:w="174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585"/>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ILLEM</w:t>
            </w:r>
            <w:r>
              <w:rPr>
                <w:rFonts w:ascii="Arial" w:cs="Arial" w:eastAsia="Arial" w:hAnsi="Arial"/>
                <w:sz w:val="18"/>
                <w:szCs w:val="18"/>
                <w:color w:val="auto"/>
              </w:rPr>
              <w:t xml:space="preserve"> M</w:t>
            </w:r>
            <w:r>
              <w:rPr>
                <w:rFonts w:ascii="Arial" w:cs="Arial" w:eastAsia="Arial" w:hAnsi="Arial"/>
                <w:sz w:val="14"/>
                <w:szCs w:val="14"/>
                <w:color w:val="auto"/>
              </w:rPr>
              <w:t>ESDAG</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65"/>
              <w:spacing w:after="0"/>
              <w:rPr>
                <w:sz w:val="20"/>
                <w:szCs w:val="20"/>
                <w:color w:val="auto"/>
              </w:rPr>
            </w:pPr>
            <w:r>
              <w:rPr>
                <w:rFonts w:ascii="Arial" w:cs="Arial" w:eastAsia="Arial" w:hAnsi="Arial"/>
                <w:sz w:val="14"/>
                <w:szCs w:val="14"/>
                <w:b w:val="1"/>
                <w:bCs w:val="1"/>
                <w:color w:val="auto"/>
                <w:w w:val="88"/>
              </w:rPr>
              <w:t>Willem Mesdag</w:t>
            </w:r>
          </w:p>
        </w:tc>
      </w:tr>
      <w:tr>
        <w:trPr>
          <w:trHeight w:val="311"/>
        </w:trPr>
        <w:tc>
          <w:tcPr>
            <w:tcW w:w="174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605"/>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5"/>
              <w:spacing w:after="0"/>
              <w:rPr>
                <w:sz w:val="20"/>
                <w:szCs w:val="20"/>
                <w:color w:val="auto"/>
              </w:rPr>
            </w:pPr>
            <w:r>
              <w:rPr>
                <w:rFonts w:ascii="Arial" w:cs="Arial" w:eastAsia="Arial" w:hAnsi="Arial"/>
                <w:sz w:val="14"/>
                <w:szCs w:val="14"/>
                <w:b w:val="1"/>
                <w:bCs w:val="1"/>
                <w:color w:val="auto"/>
                <w:w w:val="91"/>
              </w:rPr>
              <w:t>Ward K. Mooney</w:t>
            </w:r>
          </w:p>
        </w:tc>
      </w:tr>
      <w:tr>
        <w:trPr>
          <w:trHeight w:val="311"/>
        </w:trPr>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EORGE</w:t>
            </w:r>
            <w:r>
              <w:rPr>
                <w:rFonts w:ascii="Arial" w:cs="Arial" w:eastAsia="Arial" w:hAnsi="Arial"/>
                <w:sz w:val="18"/>
                <w:szCs w:val="18"/>
                <w:color w:val="auto"/>
              </w:rPr>
              <w:t xml:space="preserve"> T. P</w:t>
            </w:r>
            <w:r>
              <w:rPr>
                <w:rFonts w:ascii="Arial" w:cs="Arial" w:eastAsia="Arial" w:hAnsi="Arial"/>
                <w:sz w:val="14"/>
                <w:szCs w:val="14"/>
                <w:color w:val="auto"/>
              </w:rPr>
              <w:t>ORTER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65"/>
              <w:spacing w:after="0"/>
              <w:rPr>
                <w:sz w:val="20"/>
                <w:szCs w:val="20"/>
                <w:color w:val="auto"/>
              </w:rPr>
            </w:pPr>
            <w:r>
              <w:rPr>
                <w:rFonts w:ascii="Arial" w:cs="Arial" w:eastAsia="Arial" w:hAnsi="Arial"/>
                <w:sz w:val="14"/>
                <w:szCs w:val="14"/>
                <w:b w:val="1"/>
                <w:bCs w:val="1"/>
                <w:color w:val="auto"/>
                <w:w w:val="87"/>
              </w:rPr>
              <w:t>George T. Porter, Jr.</w:t>
            </w:r>
          </w:p>
        </w:tc>
      </w:tr>
      <w:tr>
        <w:trPr>
          <w:trHeight w:val="311"/>
        </w:trPr>
        <w:tc>
          <w:tcPr>
            <w:tcW w:w="15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2"/>
          </w:tcPr>
          <w:p>
            <w:pPr>
              <w:jc w:val="center"/>
              <w:ind w:right="1385"/>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ITCHELL</w:t>
            </w:r>
            <w:r>
              <w:rPr>
                <w:rFonts w:ascii="Arial" w:cs="Arial" w:eastAsia="Arial" w:hAnsi="Arial"/>
                <w:sz w:val="18"/>
                <w:szCs w:val="18"/>
                <w:color w:val="auto"/>
                <w:w w:val="96"/>
              </w:rPr>
              <w:t xml:space="preserve"> S. P</w:t>
            </w:r>
            <w:r>
              <w:rPr>
                <w:rFonts w:ascii="Arial" w:cs="Arial" w:eastAsia="Arial" w:hAnsi="Arial"/>
                <w:sz w:val="14"/>
                <w:szCs w:val="14"/>
                <w:color w:val="auto"/>
                <w:w w:val="96"/>
              </w:rPr>
              <w:t>RESSER</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jc w:val="center"/>
              <w:ind w:right="1645"/>
              <w:spacing w:after="0"/>
              <w:rPr>
                <w:sz w:val="20"/>
                <w:szCs w:val="20"/>
                <w:color w:val="auto"/>
              </w:rPr>
            </w:pPr>
            <w:r>
              <w:rPr>
                <w:rFonts w:ascii="Arial" w:cs="Arial" w:eastAsia="Arial" w:hAnsi="Arial"/>
                <w:sz w:val="14"/>
                <w:szCs w:val="14"/>
                <w:b w:val="1"/>
                <w:bCs w:val="1"/>
                <w:color w:val="auto"/>
                <w:w w:val="86"/>
              </w:rPr>
              <w:t>Mitchell S. Presser</w:t>
            </w:r>
          </w:p>
        </w:tc>
      </w:tr>
    </w:tbl>
    <w:p>
      <w:pPr>
        <w:spacing w:after="0" w:line="87" w:lineRule="exact"/>
        <w:rPr>
          <w:sz w:val="20"/>
          <w:szCs w:val="20"/>
          <w:color w:val="auto"/>
        </w:rPr>
      </w:pPr>
    </w:p>
    <w:p>
      <w:pPr>
        <w:ind w:left="1780"/>
        <w:spacing w:after="0"/>
        <w:tabs>
          <w:tab w:leader="none" w:pos="2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VY</w:t>
      </w:r>
      <w:r>
        <w:rPr>
          <w:rFonts w:ascii="Arial" w:cs="Arial" w:eastAsia="Arial" w:hAnsi="Arial"/>
          <w:sz w:val="16"/>
          <w:szCs w:val="16"/>
          <w:color w:val="auto"/>
        </w:rPr>
        <w:t xml:space="preserve"> R</w:t>
      </w:r>
      <w:r>
        <w:rPr>
          <w:rFonts w:ascii="Arial" w:cs="Arial" w:eastAsia="Arial" w:hAnsi="Arial"/>
          <w:sz w:val="13"/>
          <w:szCs w:val="13"/>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873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jc w:val="center"/>
        <w:ind w:left="20"/>
        <w:spacing w:after="0"/>
        <w:rPr>
          <w:sz w:val="20"/>
          <w:szCs w:val="20"/>
          <w:color w:val="auto"/>
        </w:rPr>
      </w:pPr>
      <w:r>
        <w:rPr>
          <w:rFonts w:ascii="Arial" w:cs="Arial" w:eastAsia="Arial" w:hAnsi="Arial"/>
          <w:sz w:val="14"/>
          <w:szCs w:val="14"/>
          <w:b w:val="1"/>
          <w:bCs w:val="1"/>
          <w:color w:val="auto"/>
        </w:rPr>
        <w:t>Ivy Ross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5"/>
              </w:rPr>
              <w:t>President and Chief Executive Officer (Principal Executive</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17, 2014</w:t>
            </w:r>
          </w:p>
        </w:tc>
        <w:tc>
          <w:tcPr>
            <w:tcW w:w="0" w:type="dxa"/>
            <w:vAlign w:val="bottom"/>
          </w:tcPr>
          <w:p>
            <w:pPr>
              <w:spacing w:after="0"/>
              <w:rPr>
                <w:sz w:val="1"/>
                <w:szCs w:val="1"/>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Officer) and Director</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tcPr>
          <w:p>
            <w:pPr>
              <w:spacing w:after="0"/>
              <w:rPr>
                <w:sz w:val="20"/>
                <w:szCs w:val="20"/>
                <w:color w:val="auto"/>
              </w:rPr>
            </w:pPr>
            <w:r>
              <w:rPr>
                <w:rFonts w:ascii="Arial" w:cs="Arial" w:eastAsia="Arial" w:hAnsi="Arial"/>
                <w:sz w:val="18"/>
                <w:szCs w:val="18"/>
                <w:color w:val="auto"/>
                <w:w w:val="96"/>
              </w:rPr>
              <w:t>Interim Chief Financial Officer (Principal Financial Officer)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17, 2014</w:t>
            </w:r>
          </w:p>
        </w:tc>
        <w:tc>
          <w:tcPr>
            <w:tcW w:w="0" w:type="dxa"/>
            <w:vAlign w:val="bottom"/>
          </w:tcPr>
          <w:p>
            <w:pPr>
              <w:spacing w:after="0"/>
              <w:rPr>
                <w:sz w:val="1"/>
                <w:szCs w:val="1"/>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and Director</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tcPr>
          <w:p>
            <w:pPr>
              <w:spacing w:after="0"/>
              <w:rPr>
                <w:sz w:val="20"/>
                <w:szCs w:val="20"/>
                <w:color w:val="auto"/>
              </w:rPr>
            </w:pPr>
            <w:r>
              <w:rPr>
                <w:rFonts w:ascii="Arial" w:cs="Arial" w:eastAsia="Arial" w:hAnsi="Arial"/>
                <w:sz w:val="18"/>
                <w:szCs w:val="18"/>
                <w:color w:val="auto"/>
                <w:w w:val="94"/>
              </w:rPr>
              <w:t>Senior Vice President of Finance and Corporate Controller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17, 2014</w:t>
            </w:r>
          </w:p>
        </w:tc>
        <w:tc>
          <w:tcPr>
            <w:tcW w:w="0" w:type="dxa"/>
            <w:vAlign w:val="bottom"/>
          </w:tcPr>
          <w:p>
            <w:pPr>
              <w:spacing w:after="0"/>
              <w:rPr>
                <w:sz w:val="1"/>
                <w:szCs w:val="1"/>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Chairman of the Board of Directors</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4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March 14, 2014</w:t>
            </w: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420" w:type="dxa"/>
            <w:vAlign w:val="bottom"/>
          </w:tcPr>
          <w:p>
            <w:pPr>
              <w:ind w:left="520"/>
              <w:spacing w:after="0"/>
              <w:rPr>
                <w:sz w:val="20"/>
                <w:szCs w:val="20"/>
                <w:color w:val="auto"/>
              </w:rPr>
            </w:pPr>
            <w:r>
              <w:rPr>
                <w:rFonts w:ascii="Arial" w:cs="Arial" w:eastAsia="Arial" w:hAnsi="Arial"/>
                <w:sz w:val="18"/>
                <w:szCs w:val="18"/>
                <w:color w:val="auto"/>
              </w:rPr>
              <w:t>85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860" w:space="240"/>
            <w:col w:w="6280"/>
          </w:cols>
          <w:pgMar w:left="240" w:top="459" w:right="27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2006 INCENTIVE COMPENSATION PLAN</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(as amended and restated effective as of August 1, 2013)</w:t>
      </w:r>
    </w:p>
    <w:p>
      <w:pPr>
        <w:sectPr>
          <w:pgSz w:w="11900" w:h="16838" w:orient="portrait"/>
          <w:cols w:equalWidth="0" w:num="1">
            <w:col w:w="10220"/>
          </w:cols>
          <w:pgMar w:left="1440" w:top="12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860" w:type="dxa"/>
            <w:vAlign w:val="bottom"/>
          </w:tcPr>
          <w:p>
            <w:pPr>
              <w:jc w:val="center"/>
              <w:ind w:right="3250"/>
              <w:spacing w:after="0"/>
              <w:rPr>
                <w:sz w:val="20"/>
                <w:szCs w:val="20"/>
                <w:color w:val="auto"/>
              </w:rPr>
            </w:pPr>
            <w:r>
              <w:rPr>
                <w:rFonts w:ascii="Arial" w:cs="Arial" w:eastAsia="Arial" w:hAnsi="Arial"/>
                <w:sz w:val="18"/>
                <w:szCs w:val="18"/>
                <w:b w:val="1"/>
                <w:bCs w:val="1"/>
                <w:color w:val="auto"/>
              </w:rPr>
              <w:t>DESTINATION XL GROUP, INC.</w:t>
            </w:r>
          </w:p>
        </w:tc>
      </w:tr>
      <w:tr>
        <w:trPr>
          <w:trHeight w:val="432"/>
        </w:trPr>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60" w:type="dxa"/>
            <w:vAlign w:val="bottom"/>
          </w:tcPr>
          <w:p>
            <w:pPr>
              <w:jc w:val="center"/>
              <w:ind w:right="3250"/>
              <w:spacing w:after="0"/>
              <w:rPr>
                <w:sz w:val="20"/>
                <w:szCs w:val="20"/>
                <w:color w:val="auto"/>
              </w:rPr>
            </w:pPr>
            <w:r>
              <w:rPr>
                <w:rFonts w:ascii="Arial" w:cs="Arial" w:eastAsia="Arial" w:hAnsi="Arial"/>
                <w:sz w:val="18"/>
                <w:szCs w:val="18"/>
                <w:b w:val="1"/>
                <w:bCs w:val="1"/>
                <w:color w:val="auto"/>
              </w:rPr>
              <w:t>2006 INCENTIVE COMPENSATION PLAN</w:t>
            </w:r>
          </w:p>
        </w:tc>
      </w:tr>
      <w:tr>
        <w:trPr>
          <w:trHeight w:val="432"/>
        </w:trPr>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60" w:type="dxa"/>
            <w:vAlign w:val="bottom"/>
          </w:tcPr>
          <w:p>
            <w:pPr>
              <w:jc w:val="center"/>
              <w:ind w:right="3250"/>
              <w:spacing w:after="0"/>
              <w:rPr>
                <w:sz w:val="20"/>
                <w:szCs w:val="20"/>
                <w:color w:val="auto"/>
              </w:rPr>
            </w:pPr>
            <w:r>
              <w:rPr>
                <w:rFonts w:ascii="Arial" w:cs="Arial" w:eastAsia="Arial" w:hAnsi="Arial"/>
                <w:sz w:val="18"/>
                <w:szCs w:val="18"/>
                <w:b w:val="1"/>
                <w:bCs w:val="1"/>
                <w:color w:val="auto"/>
                <w:w w:val="88"/>
              </w:rPr>
              <w:t>(as amended and restated effective as of August 1, 2013)</w:t>
            </w:r>
          </w:p>
        </w:tc>
      </w:tr>
      <w:tr>
        <w:trPr>
          <w:trHeight w:val="567"/>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1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Purpose</w:t>
            </w:r>
          </w:p>
        </w:tc>
        <w:tc>
          <w:tcPr>
            <w:tcW w:w="7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rPr>
              <w:t>Definitions</w:t>
            </w:r>
          </w:p>
        </w:tc>
        <w:tc>
          <w:tcPr>
            <w:tcW w:w="7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rPr>
              <w:t>Administration</w:t>
            </w:r>
          </w:p>
        </w:tc>
        <w:tc>
          <w:tcPr>
            <w:tcW w:w="7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rPr>
              <w:t>Shares Subject to Plan</w:t>
            </w:r>
          </w:p>
        </w:tc>
        <w:tc>
          <w:tcPr>
            <w:tcW w:w="7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w w:val="97"/>
              </w:rPr>
              <w:t>Eligibility; Per-Person Award Limitations</w:t>
            </w:r>
          </w:p>
        </w:tc>
        <w:tc>
          <w:tcPr>
            <w:tcW w:w="7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rPr>
              <w:t>Specific Terms of Awards</w:t>
            </w:r>
          </w:p>
        </w:tc>
        <w:tc>
          <w:tcPr>
            <w:tcW w:w="7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w w:val="97"/>
              </w:rPr>
              <w:t>Certain Provisions Applicable to Awards</w:t>
            </w:r>
          </w:p>
        </w:tc>
        <w:tc>
          <w:tcPr>
            <w:tcW w:w="7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rPr>
              <w:t>Code Section 162(m) Provisions</w:t>
            </w:r>
          </w:p>
        </w:tc>
        <w:tc>
          <w:tcPr>
            <w:tcW w:w="7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rPr>
              <w:t>Change in Control</w:t>
            </w:r>
          </w:p>
        </w:tc>
        <w:tc>
          <w:tcPr>
            <w:tcW w:w="7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3180" w:type="dxa"/>
            <w:vAlign w:val="bottom"/>
          </w:tcPr>
          <w:p>
            <w:pPr>
              <w:ind w:left="60"/>
              <w:spacing w:after="0"/>
              <w:rPr>
                <w:sz w:val="20"/>
                <w:szCs w:val="20"/>
                <w:color w:val="auto"/>
              </w:rPr>
            </w:pPr>
            <w:r>
              <w:rPr>
                <w:rFonts w:ascii="Arial" w:cs="Arial" w:eastAsia="Arial" w:hAnsi="Arial"/>
                <w:sz w:val="18"/>
                <w:szCs w:val="18"/>
                <w:i w:val="1"/>
                <w:iCs w:val="1"/>
                <w:color w:val="auto"/>
              </w:rPr>
              <w:t>General Provisions</w:t>
            </w:r>
          </w:p>
        </w:tc>
        <w:tc>
          <w:tcPr>
            <w:tcW w:w="7860" w:type="dxa"/>
            <w:vAlign w:val="bottom"/>
          </w:tcPr>
          <w:p>
            <w:pPr>
              <w:jc w:val="right"/>
              <w:spacing w:after="0"/>
              <w:rPr>
                <w:sz w:val="20"/>
                <w:szCs w:val="20"/>
                <w:color w:val="auto"/>
              </w:rPr>
            </w:pPr>
            <w:r>
              <w:rPr>
                <w:rFonts w:ascii="Arial" w:cs="Arial" w:eastAsia="Arial" w:hAnsi="Arial"/>
                <w:sz w:val="18"/>
                <w:szCs w:val="18"/>
                <w:color w:val="auto"/>
              </w:rPr>
              <w:t>19</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7" w:name="page88"/>
    <w:bookmarkEnd w:id="87"/>
    <w:p>
      <w:pPr>
        <w:ind w:left="4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INCENTIVE COMPENSATION PLAN</w:t>
      </w:r>
    </w:p>
    <w:p>
      <w:pPr>
        <w:spacing w:after="0" w:line="229" w:lineRule="exact"/>
        <w:rPr>
          <w:sz w:val="20"/>
          <w:szCs w:val="20"/>
          <w:color w:val="auto"/>
        </w:rPr>
      </w:pPr>
    </w:p>
    <w:p>
      <w:pPr>
        <w:ind w:left="-40" w:right="40" w:firstLine="464"/>
        <w:spacing w:after="0" w:line="255" w:lineRule="auto"/>
        <w:tabs>
          <w:tab w:leader="none" w:pos="596"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this DESTINATION XL GROUP, INC. 2006 INCENTIVE COMPENSATION PLAN (the “Plan”) is to assist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was originally adopted effective as of July 31, 2006, was amended effective as of August 27, 2009, August 5, 2010, and was further amended effective as of August 1, 2013.</w:t>
      </w:r>
    </w:p>
    <w:p>
      <w:pPr>
        <w:spacing w:after="0" w:line="189" w:lineRule="exact"/>
        <w:rPr>
          <w:rFonts w:ascii="Arial" w:cs="Arial" w:eastAsia="Arial" w:hAnsi="Arial"/>
          <w:sz w:val="18"/>
          <w:szCs w:val="18"/>
          <w:color w:val="auto"/>
        </w:rPr>
      </w:pPr>
    </w:p>
    <w:p>
      <w:pPr>
        <w:ind w:left="600" w:hanging="176"/>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For purposes of the Plan, the following terms shall be defined as set forth below, in addition to such terms defined in Section 1 hereof.</w:t>
      </w:r>
    </w:p>
    <w:p>
      <w:pPr>
        <w:spacing w:after="0" w:line="248" w:lineRule="exact"/>
        <w:rPr>
          <w:rFonts w:ascii="Arial" w:cs="Arial" w:eastAsia="Arial" w:hAnsi="Arial"/>
          <w:sz w:val="16"/>
          <w:szCs w:val="16"/>
          <w:color w:val="auto"/>
        </w:rPr>
      </w:pPr>
    </w:p>
    <w:p>
      <w:pPr>
        <w:ind w:left="-40" w:right="20" w:firstLine="921"/>
        <w:spacing w:after="0" w:line="264" w:lineRule="auto"/>
        <w:tabs>
          <w:tab w:leader="none" w:pos="11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81" w:lineRule="exact"/>
        <w:rPr>
          <w:rFonts w:ascii="Arial" w:cs="Arial" w:eastAsia="Arial" w:hAnsi="Arial"/>
          <w:sz w:val="18"/>
          <w:szCs w:val="18"/>
          <w:color w:val="auto"/>
        </w:rPr>
      </w:pPr>
    </w:p>
    <w:p>
      <w:pPr>
        <w:ind w:left="-40" w:right="780" w:firstLine="921"/>
        <w:spacing w:after="0" w:line="277" w:lineRule="auto"/>
        <w:tabs>
          <w:tab w:leader="none" w:pos="11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left="-40" w:right="140" w:firstLine="921"/>
        <w:spacing w:after="0" w:line="257" w:lineRule="auto"/>
        <w:tabs>
          <w:tab w:leader="none" w:pos="11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88" w:lineRule="exact"/>
        <w:rPr>
          <w:rFonts w:ascii="Arial" w:cs="Arial" w:eastAsia="Arial" w:hAnsi="Arial"/>
          <w:sz w:val="18"/>
          <w:szCs w:val="18"/>
          <w:color w:val="auto"/>
        </w:rPr>
      </w:pPr>
    </w:p>
    <w:p>
      <w:pPr>
        <w:ind w:left="1140" w:hanging="259"/>
        <w:spacing w:after="0"/>
        <w:tabs>
          <w:tab w:leader="none" w:pos="1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248" w:lineRule="exact"/>
        <w:rPr>
          <w:rFonts w:ascii="Arial" w:cs="Arial" w:eastAsia="Arial" w:hAnsi="Arial"/>
          <w:sz w:val="16"/>
          <w:szCs w:val="16"/>
          <w:color w:val="auto"/>
        </w:rPr>
      </w:pPr>
    </w:p>
    <w:p>
      <w:pPr>
        <w:ind w:left="1120" w:hanging="239"/>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40" w:firstLine="921"/>
        <w:spacing w:after="0" w:line="257" w:lineRule="auto"/>
        <w:tabs>
          <w:tab w:leader="none" w:pos="10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80" w:top="270" w:right="279" w:bottom="1440" w:gutter="0" w:footer="0" w:header="0"/>
        </w:sectPr>
      </w:pPr>
    </w:p>
    <w:bookmarkStart w:id="88" w:name="page89"/>
    <w:bookmarkEnd w:id="8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65" w:lineRule="exact"/>
        <w:rPr>
          <w:sz w:val="20"/>
          <w:szCs w:val="20"/>
          <w:color w:val="auto"/>
        </w:rPr>
      </w:pPr>
    </w:p>
    <w:p>
      <w:pPr>
        <w:ind w:left="1180" w:hanging="259"/>
        <w:spacing w:after="0"/>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right="120" w:firstLine="921"/>
        <w:spacing w:after="0" w:line="297" w:lineRule="auto"/>
        <w:tabs>
          <w:tab w:leader="none" w:pos="1128"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w:t>
      </w:r>
    </w:p>
    <w:p>
      <w:pPr>
        <w:spacing w:after="0" w:line="158" w:lineRule="exact"/>
        <w:rPr>
          <w:rFonts w:ascii="Arial" w:cs="Arial" w:eastAsia="Arial" w:hAnsi="Arial"/>
          <w:sz w:val="16"/>
          <w:szCs w:val="16"/>
          <w:color w:val="auto"/>
        </w:rPr>
      </w:pPr>
    </w:p>
    <w:p>
      <w:pPr>
        <w:ind w:right="40" w:firstLine="921"/>
        <w:spacing w:after="0" w:line="342" w:lineRule="auto"/>
        <w:tabs>
          <w:tab w:leader="none" w:pos="1128"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23" w:lineRule="exact"/>
        <w:rPr>
          <w:rFonts w:ascii="Arial" w:cs="Arial" w:eastAsia="Arial" w:hAnsi="Arial"/>
          <w:sz w:val="16"/>
          <w:szCs w:val="16"/>
          <w:color w:val="auto"/>
        </w:rPr>
      </w:pPr>
    </w:p>
    <w:p>
      <w:pPr>
        <w:ind w:right="180" w:firstLine="921"/>
        <w:spacing w:after="0" w:line="291" w:lineRule="auto"/>
        <w:tabs>
          <w:tab w:leader="none" w:pos="11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right="60" w:firstLine="8"/>
        <w:spacing w:after="0" w:line="254"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89" w:lineRule="exact"/>
        <w:rPr>
          <w:rFonts w:ascii="Arial" w:cs="Arial" w:eastAsia="Arial" w:hAnsi="Arial"/>
          <w:sz w:val="18"/>
          <w:szCs w:val="18"/>
          <w:color w:val="auto"/>
        </w:rPr>
      </w:pPr>
    </w:p>
    <w:p>
      <w:pPr>
        <w:ind w:right="280" w:firstLine="921"/>
        <w:spacing w:after="0" w:line="277" w:lineRule="auto"/>
        <w:tabs>
          <w:tab w:leader="none" w:pos="1128"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9" w:name="page90"/>
    <w:bookmarkEnd w:id="89"/>
    <w:p>
      <w:pPr>
        <w:ind w:left="-20" w:right="860" w:firstLine="921"/>
        <w:spacing w:after="0" w:line="277" w:lineRule="auto"/>
        <w:tabs>
          <w:tab w:leader="none" w:pos="1198"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70" w:lineRule="exact"/>
        <w:rPr>
          <w:rFonts w:ascii="Arial" w:cs="Arial" w:eastAsia="Arial" w:hAnsi="Arial"/>
          <w:sz w:val="18"/>
          <w:szCs w:val="18"/>
          <w:color w:val="auto"/>
        </w:rPr>
      </w:pPr>
    </w:p>
    <w:p>
      <w:pPr>
        <w:ind w:left="1160" w:hanging="25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225" w:lineRule="exact"/>
        <w:rPr>
          <w:rFonts w:ascii="Arial" w:cs="Arial" w:eastAsia="Arial" w:hAnsi="Arial"/>
          <w:sz w:val="18"/>
          <w:szCs w:val="18"/>
          <w:color w:val="auto"/>
        </w:rPr>
      </w:pPr>
    </w:p>
    <w:p>
      <w:pPr>
        <w:ind w:left="1160" w:hanging="25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left="-20" w:right="320" w:firstLine="921"/>
        <w:spacing w:after="0" w:line="277" w:lineRule="auto"/>
        <w:tabs>
          <w:tab w:leader="none" w:pos="11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left="-20" w:right="480" w:firstLine="921"/>
        <w:spacing w:after="0" w:line="277" w:lineRule="auto"/>
        <w:tabs>
          <w:tab w:leader="none" w:pos="11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70" w:lineRule="exact"/>
        <w:rPr>
          <w:rFonts w:ascii="Arial" w:cs="Arial" w:eastAsia="Arial" w:hAnsi="Arial"/>
          <w:sz w:val="18"/>
          <w:szCs w:val="18"/>
          <w:color w:val="auto"/>
        </w:rPr>
      </w:pPr>
    </w:p>
    <w:p>
      <w:pPr>
        <w:ind w:left="1120" w:hanging="219"/>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ind w:left="-20" w:firstLine="921"/>
        <w:spacing w:after="0" w:line="257" w:lineRule="auto"/>
        <w:tabs>
          <w:tab w:leader="none" w:pos="11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188" w:lineRule="exact"/>
        <w:rPr>
          <w:rFonts w:ascii="Arial" w:cs="Arial" w:eastAsia="Arial" w:hAnsi="Arial"/>
          <w:sz w:val="18"/>
          <w:szCs w:val="18"/>
          <w:color w:val="auto"/>
        </w:rPr>
      </w:pPr>
    </w:p>
    <w:p>
      <w:pPr>
        <w:ind w:left="-20" w:right="40" w:firstLine="921"/>
        <w:spacing w:after="0" w:line="277" w:lineRule="auto"/>
        <w:tabs>
          <w:tab w:leader="none" w:pos="11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70" w:lineRule="exact"/>
        <w:rPr>
          <w:rFonts w:ascii="Arial" w:cs="Arial" w:eastAsia="Arial" w:hAnsi="Arial"/>
          <w:sz w:val="18"/>
          <w:szCs w:val="18"/>
          <w:color w:val="auto"/>
        </w:rPr>
      </w:pPr>
    </w:p>
    <w:p>
      <w:pPr>
        <w:ind w:left="-20" w:right="580" w:firstLine="921"/>
        <w:spacing w:after="0" w:line="277" w:lineRule="auto"/>
        <w:tabs>
          <w:tab w:leader="none" w:pos="11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jc w:val="both"/>
        <w:ind w:left="-20" w:firstLine="921"/>
        <w:spacing w:after="0" w:line="302" w:lineRule="auto"/>
        <w:tabs>
          <w:tab w:leader="none" w:pos="11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54" w:lineRule="exact"/>
        <w:rPr>
          <w:rFonts w:ascii="Arial" w:cs="Arial" w:eastAsia="Arial" w:hAnsi="Arial"/>
          <w:sz w:val="16"/>
          <w:szCs w:val="16"/>
          <w:color w:val="auto"/>
        </w:rPr>
      </w:pPr>
    </w:p>
    <w:p>
      <w:pPr>
        <w:ind w:left="-20" w:right="20" w:firstLine="921"/>
        <w:spacing w:after="0" w:line="259" w:lineRule="auto"/>
        <w:tabs>
          <w:tab w:leader="none" w:pos="11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90" w:name="page91"/>
    <w:bookmarkEnd w:id="9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66" w:lineRule="exact"/>
        <w:rPr>
          <w:sz w:val="20"/>
          <w:szCs w:val="20"/>
          <w:color w:val="auto"/>
        </w:rPr>
      </w:pPr>
    </w:p>
    <w:p>
      <w:pPr>
        <w:ind w:right="100" w:firstLine="921"/>
        <w:spacing w:after="0" w:line="277"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ind w:right="240" w:firstLine="921"/>
        <w:spacing w:after="0" w:line="264"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225" w:lineRule="exact"/>
        <w:rPr>
          <w:sz w:val="20"/>
          <w:szCs w:val="20"/>
          <w:color w:val="auto"/>
        </w:rPr>
      </w:pPr>
    </w:p>
    <w:p>
      <w:pPr>
        <w:ind w:right="320" w:firstLine="921"/>
        <w:spacing w:after="0" w:line="308" w:lineRule="auto"/>
        <w:tabs>
          <w:tab w:leader="none" w:pos="12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 right granted to a Participant under Section 6(b) hereof, to purchase Shares or other Awards at a specified price during specified time periods.</w:t>
      </w:r>
    </w:p>
    <w:p>
      <w:pPr>
        <w:spacing w:after="0" w:line="146" w:lineRule="exact"/>
        <w:rPr>
          <w:rFonts w:ascii="Arial" w:cs="Arial" w:eastAsia="Arial" w:hAnsi="Arial"/>
          <w:sz w:val="17"/>
          <w:szCs w:val="17"/>
          <w:color w:val="auto"/>
        </w:rPr>
      </w:pPr>
    </w:p>
    <w:p>
      <w:pPr>
        <w:ind w:left="1260" w:hanging="339"/>
        <w:spacing w:after="0"/>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1240" w:hanging="319"/>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225" w:lineRule="exact"/>
        <w:rPr>
          <w:rFonts w:ascii="Arial" w:cs="Arial" w:eastAsia="Arial" w:hAnsi="Arial"/>
          <w:sz w:val="18"/>
          <w:szCs w:val="18"/>
          <w:color w:val="auto"/>
        </w:rPr>
      </w:pPr>
    </w:p>
    <w:p>
      <w:pPr>
        <w:ind w:right="420" w:firstLine="921"/>
        <w:spacing w:after="0" w:line="277" w:lineRule="auto"/>
        <w:tabs>
          <w:tab w:leader="none" w:pos="1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shall mean any Award of Performance Shares or Performance Units granted pursuant to Section 6(h).</w:t>
      </w:r>
    </w:p>
    <w:p>
      <w:pPr>
        <w:spacing w:after="0" w:line="236" w:lineRule="exact"/>
        <w:rPr>
          <w:rFonts w:ascii="Arial" w:cs="Arial" w:eastAsia="Arial" w:hAnsi="Arial"/>
          <w:sz w:val="17"/>
          <w:szCs w:val="17"/>
          <w:color w:val="auto"/>
        </w:rPr>
      </w:pPr>
    </w:p>
    <w:p>
      <w:pPr>
        <w:ind w:right="640" w:firstLine="921"/>
        <w:spacing w:after="0" w:line="308" w:lineRule="auto"/>
        <w:tabs>
          <w:tab w:leader="none" w:pos="11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ind w:firstLine="921"/>
        <w:spacing w:after="0" w:line="277" w:lineRule="auto"/>
        <w:tabs>
          <w:tab w:leader="none" w:pos="1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of a unit valued by reference to a designated number of Shares, which value may be paid to the Participant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1" w:name="page92"/>
    <w:bookmarkEnd w:id="91"/>
    <w:p>
      <w:pPr>
        <w:ind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47" w:lineRule="exact"/>
        <w:rPr>
          <w:sz w:val="20"/>
          <w:szCs w:val="20"/>
          <w:color w:val="auto"/>
        </w:rPr>
      </w:pPr>
    </w:p>
    <w:p>
      <w:pPr>
        <w:ind w:right="160" w:firstLine="921"/>
        <w:spacing w:after="0" w:line="259" w:lineRule="auto"/>
        <w:tabs>
          <w:tab w:leader="none" w:pos="1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100" w:firstLine="921"/>
        <w:spacing w:after="0" w:line="277" w:lineRule="auto"/>
        <w:tabs>
          <w:tab w:leader="none" w:pos="11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225" w:lineRule="exact"/>
        <w:rPr>
          <w:rFonts w:ascii="Arial" w:cs="Arial" w:eastAsia="Arial" w:hAnsi="Arial"/>
          <w:sz w:val="18"/>
          <w:szCs w:val="18"/>
          <w:color w:val="auto"/>
        </w:rPr>
      </w:pPr>
    </w:p>
    <w:p>
      <w:pPr>
        <w:ind w:right="140" w:firstLine="921"/>
        <w:spacing w:after="0" w:line="277" w:lineRule="auto"/>
        <w:tabs>
          <w:tab w:leader="none" w:pos="1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70" w:lineRule="exact"/>
        <w:rPr>
          <w:rFonts w:ascii="Arial" w:cs="Arial" w:eastAsia="Arial" w:hAnsi="Arial"/>
          <w:sz w:val="18"/>
          <w:szCs w:val="18"/>
          <w:color w:val="auto"/>
        </w:rPr>
      </w:pPr>
    </w:p>
    <w:p>
      <w:pPr>
        <w:jc w:val="both"/>
        <w:ind w:right="220" w:firstLine="921"/>
        <w:spacing w:after="0" w:line="259" w:lineRule="auto"/>
        <w:tabs>
          <w:tab w:leader="none" w:pos="11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86" w:lineRule="exact"/>
        <w:rPr>
          <w:rFonts w:ascii="Arial" w:cs="Arial" w:eastAsia="Arial" w:hAnsi="Arial"/>
          <w:sz w:val="18"/>
          <w:szCs w:val="18"/>
          <w:color w:val="auto"/>
        </w:rPr>
      </w:pPr>
    </w:p>
    <w:p>
      <w:pPr>
        <w:ind w:left="1360" w:hanging="439"/>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225" w:lineRule="exact"/>
        <w:rPr>
          <w:rFonts w:ascii="Arial" w:cs="Arial" w:eastAsia="Arial" w:hAnsi="Arial"/>
          <w:sz w:val="18"/>
          <w:szCs w:val="18"/>
          <w:color w:val="auto"/>
        </w:rPr>
      </w:pPr>
    </w:p>
    <w:p>
      <w:pPr>
        <w:ind w:right="260" w:firstLine="921"/>
        <w:spacing w:after="0" w:line="277" w:lineRule="auto"/>
        <w:tabs>
          <w:tab w:leader="none" w:pos="1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firstLine="921"/>
        <w:spacing w:after="0" w:line="259" w:lineRule="auto"/>
        <w:tabs>
          <w:tab w:leader="none" w:pos="1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86" w:lineRule="exact"/>
        <w:rPr>
          <w:rFonts w:ascii="Arial" w:cs="Arial" w:eastAsia="Arial" w:hAnsi="Arial"/>
          <w:sz w:val="18"/>
          <w:szCs w:val="18"/>
          <w:color w:val="auto"/>
        </w:rPr>
      </w:pPr>
    </w:p>
    <w:p>
      <w:pPr>
        <w:ind w:right="160" w:firstLine="921"/>
        <w:spacing w:after="0" w:line="277" w:lineRule="auto"/>
        <w:tabs>
          <w:tab w:leader="none" w:pos="1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170" w:lineRule="exact"/>
        <w:rPr>
          <w:rFonts w:ascii="Arial" w:cs="Arial" w:eastAsia="Arial" w:hAnsi="Arial"/>
          <w:sz w:val="18"/>
          <w:szCs w:val="18"/>
          <w:color w:val="auto"/>
        </w:rPr>
      </w:pPr>
    </w:p>
    <w:p>
      <w:pPr>
        <w:ind w:left="1260" w:hanging="339"/>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92" w:name="page93"/>
    <w:bookmarkEnd w:id="92"/>
    <w:p>
      <w:pPr>
        <w:ind w:left="-20" w:right="180" w:firstLine="921"/>
        <w:spacing w:after="0" w:line="259" w:lineRule="auto"/>
        <w:tabs>
          <w:tab w:leader="none" w:pos="1178"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ind w:left="-20" w:right="40" w:firstLine="921"/>
        <w:spacing w:after="0" w:line="286" w:lineRule="auto"/>
        <w:tabs>
          <w:tab w:leader="none" w:pos="1198" w:val="left"/>
        </w:tabs>
        <w:numPr>
          <w:ilvl w:val="1"/>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 Awards</w:t>
      </w:r>
      <w:r>
        <w:rPr>
          <w:rFonts w:ascii="Arial" w:cs="Arial" w:eastAsia="Arial" w:hAnsi="Arial"/>
          <w:sz w:val="17"/>
          <w:szCs w:val="17"/>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65" w:lineRule="exact"/>
        <w:rPr>
          <w:rFonts w:ascii="Arial" w:cs="Arial" w:eastAsia="Arial" w:hAnsi="Arial"/>
          <w:sz w:val="17"/>
          <w:szCs w:val="17"/>
          <w:color w:val="auto"/>
        </w:rPr>
      </w:pPr>
    </w:p>
    <w:p>
      <w:pPr>
        <w:ind w:left="620" w:hanging="176"/>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492"/>
        <w:spacing w:after="0" w:line="289" w:lineRule="auto"/>
        <w:tabs>
          <w:tab w:leader="none" w:pos="1708" w:val="left"/>
        </w:tabs>
        <w:numPr>
          <w:ilvl w:val="2"/>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the Board elects to administer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66" w:lineRule="exact"/>
        <w:rPr>
          <w:rFonts w:ascii="Arial" w:cs="Arial" w:eastAsia="Arial" w:hAnsi="Arial"/>
          <w:sz w:val="16"/>
          <w:szCs w:val="16"/>
          <w:color w:val="auto"/>
        </w:rPr>
      </w:pPr>
    </w:p>
    <w:p>
      <w:pPr>
        <w:ind w:left="-20" w:firstLine="1492"/>
        <w:spacing w:after="0" w:line="288" w:lineRule="auto"/>
        <w:tabs>
          <w:tab w:leader="none" w:pos="1718" w:val="left"/>
        </w:tabs>
        <w:numPr>
          <w:ilvl w:val="2"/>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inrespect of the Company and will not cause Awards intended to qualify as “performance-based compensation” under Code Section 162(m) to fail to so qualify. The Committee may appoint agents to assist it in administering the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93" w:name="page94"/>
    <w:bookmarkEnd w:id="93"/>
    <w:p>
      <w:pPr>
        <w:ind w:left="-60" w:right="120" w:firstLine="1492"/>
        <w:spacing w:after="0" w:line="297" w:lineRule="auto"/>
        <w:tabs>
          <w:tab w:leader="none" w:pos="1668"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of Liability</w:t>
      </w:r>
      <w:r>
        <w:rPr>
          <w:rFonts w:ascii="Arial" w:cs="Arial" w:eastAsia="Arial" w:hAnsi="Arial"/>
          <w:sz w:val="16"/>
          <w:szCs w:val="16"/>
          <w:color w:val="auto"/>
        </w:rPr>
        <w:t>. The Committee and the Board, and each member thereof, shall be entitled to, in good faith, rely or act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58" w:lineRule="exact"/>
        <w:rPr>
          <w:rFonts w:ascii="Arial" w:cs="Arial" w:eastAsia="Arial" w:hAnsi="Arial"/>
          <w:sz w:val="16"/>
          <w:szCs w:val="16"/>
          <w:color w:val="auto"/>
        </w:rPr>
      </w:pPr>
    </w:p>
    <w:p>
      <w:pPr>
        <w:ind w:left="580" w:hanging="176"/>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 w:right="140" w:firstLine="1492"/>
        <w:spacing w:after="0" w:line="279" w:lineRule="auto"/>
        <w:tabs>
          <w:tab w:leader="none" w:pos="1668" w:val="left"/>
        </w:tabs>
        <w:numPr>
          <w:ilvl w:val="1"/>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on Overall Number of Shares Available for Delivery Under Plan</w:t>
      </w:r>
      <w:r>
        <w:rPr>
          <w:rFonts w:ascii="Arial" w:cs="Arial" w:eastAsia="Arial" w:hAnsi="Arial"/>
          <w:sz w:val="17"/>
          <w:szCs w:val="17"/>
          <w:color w:val="auto"/>
        </w:rPr>
        <w:t>. Subject to adjustment as provided in Section 10(c)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hereof, the total number of Shares reserved and available for delivery under the Plan shall be 7,250,000; provided, however, that the maximum number of Shares issued or available for issuance under the Plan with respect to Awards other than Options and Stock Appreciation Rights shall not exceed 4,250,000</w:t>
      </w:r>
      <w:r>
        <w:rPr>
          <w:rFonts w:ascii="Arial" w:cs="Arial" w:eastAsia="Arial" w:hAnsi="Arial"/>
          <w:sz w:val="17"/>
          <w:szCs w:val="17"/>
          <w:b w:val="1"/>
          <w:bCs w:val="1"/>
          <w:color w:val="auto"/>
        </w:rPr>
        <w:t>.</w:t>
      </w:r>
      <w:r>
        <w:rPr>
          <w:rFonts w:ascii="Arial" w:cs="Arial" w:eastAsia="Arial" w:hAnsi="Arial"/>
          <w:sz w:val="17"/>
          <w:szCs w:val="17"/>
          <w:color w:val="auto"/>
        </w:rPr>
        <w:t xml:space="preserve"> Any Shares delivered under the Plan may consist, in whole or in part, of authorized and unissued shares or treasury shares.</w:t>
      </w:r>
    </w:p>
    <w:p>
      <w:pPr>
        <w:spacing w:after="0" w:line="171" w:lineRule="exact"/>
        <w:rPr>
          <w:rFonts w:ascii="Arial" w:cs="Arial" w:eastAsia="Arial" w:hAnsi="Arial"/>
          <w:sz w:val="17"/>
          <w:szCs w:val="17"/>
          <w:color w:val="auto"/>
        </w:rPr>
      </w:pPr>
    </w:p>
    <w:p>
      <w:pPr>
        <w:ind w:left="-60" w:right="20" w:firstLine="1492"/>
        <w:spacing w:after="0" w:line="273" w:lineRule="auto"/>
        <w:tabs>
          <w:tab w:leader="none" w:pos="1678" w:val="left"/>
        </w:tabs>
        <w:numPr>
          <w:ilvl w:val="1"/>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Application of Limitation to Grants of Award</w:t>
      </w:r>
      <w:r>
        <w:rPr>
          <w:rFonts w:ascii="Arial" w:cs="Arial" w:eastAsia="Arial" w:hAnsi="Arial"/>
          <w:sz w:val="17"/>
          <w:szCs w:val="17"/>
          <w:color w:val="auto"/>
        </w:rPr>
        <w:t>. No Award may be granted if the number of Shares to be delivered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an 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78" w:lineRule="exact"/>
        <w:rPr>
          <w:rFonts w:ascii="Arial" w:cs="Arial" w:eastAsia="Arial" w:hAnsi="Arial"/>
          <w:sz w:val="17"/>
          <w:szCs w:val="17"/>
          <w:color w:val="auto"/>
        </w:rPr>
      </w:pPr>
    </w:p>
    <w:p>
      <w:pPr>
        <w:ind w:left="1680" w:hanging="248"/>
        <w:spacing w:after="0"/>
        <w:tabs>
          <w:tab w:leader="none" w:pos="1680"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20" w:firstLine="2404"/>
        <w:spacing w:after="0" w:line="312" w:lineRule="auto"/>
        <w:tabs>
          <w:tab w:leader="none" w:pos="2551" w:val="left"/>
        </w:tabs>
        <w:numPr>
          <w:ilvl w:val="2"/>
          <w:numId w:val="44"/>
        </w:numPr>
        <w:rPr>
          <w:rFonts w:ascii="Arial" w:cs="Arial" w:eastAsia="Arial" w:hAnsi="Arial"/>
          <w:sz w:val="16"/>
          <w:szCs w:val="16"/>
          <w:color w:val="auto"/>
        </w:rPr>
      </w:pPr>
      <w:r>
        <w:rPr>
          <w:rFonts w:ascii="Arial" w:cs="Arial" w:eastAsia="Arial" w:hAnsi="Arial"/>
          <w:sz w:val="16"/>
          <w:szCs w:val="16"/>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146" w:lineRule="exact"/>
        <w:rPr>
          <w:rFonts w:ascii="Arial" w:cs="Arial" w:eastAsia="Arial" w:hAnsi="Arial"/>
          <w:sz w:val="16"/>
          <w:szCs w:val="16"/>
          <w:color w:val="auto"/>
        </w:rPr>
      </w:pPr>
    </w:p>
    <w:p>
      <w:pPr>
        <w:ind w:left="-60" w:right="40" w:firstLine="2404"/>
        <w:spacing w:after="0" w:line="308" w:lineRule="auto"/>
        <w:tabs>
          <w:tab w:leader="none" w:pos="2601" w:val="left"/>
        </w:tabs>
        <w:numPr>
          <w:ilvl w:val="2"/>
          <w:numId w:val="44"/>
        </w:numPr>
        <w:rPr>
          <w:rFonts w:ascii="Arial" w:cs="Arial" w:eastAsia="Arial" w:hAnsi="Arial"/>
          <w:sz w:val="17"/>
          <w:szCs w:val="17"/>
          <w:color w:val="auto"/>
        </w:rPr>
      </w:pPr>
      <w:r>
        <w:rPr>
          <w:rFonts w:ascii="Arial" w:cs="Arial" w:eastAsia="Arial" w:hAnsi="Arial"/>
          <w:sz w:val="17"/>
          <w:szCs w:val="17"/>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146" w:lineRule="exact"/>
        <w:rPr>
          <w:rFonts w:ascii="Arial" w:cs="Arial" w:eastAsia="Arial" w:hAnsi="Arial"/>
          <w:sz w:val="17"/>
          <w:szCs w:val="17"/>
          <w:color w:val="auto"/>
        </w:rPr>
      </w:pPr>
    </w:p>
    <w:p>
      <w:pPr>
        <w:ind w:left="-60" w:firstLine="2404"/>
        <w:spacing w:after="0" w:line="259" w:lineRule="auto"/>
        <w:tabs>
          <w:tab w:leader="none" w:pos="2651" w:val="left"/>
        </w:tabs>
        <w:numPr>
          <w:ilvl w:val="2"/>
          <w:numId w:val="44"/>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300" w:top="274" w:right="299" w:bottom="1440" w:gutter="0" w:footer="0" w:header="0"/>
        </w:sectPr>
      </w:pPr>
    </w:p>
    <w:bookmarkStart w:id="94" w:name="page95"/>
    <w:bookmarkEnd w:id="94"/>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58" w:lineRule="exact"/>
        <w:rPr>
          <w:sz w:val="20"/>
          <w:szCs w:val="20"/>
          <w:color w:val="auto"/>
        </w:rPr>
      </w:pPr>
    </w:p>
    <w:p>
      <w:pPr>
        <w:ind w:left="2700" w:hanging="296"/>
        <w:spacing w:after="0"/>
        <w:tabs>
          <w:tab w:leader="none" w:pos="2700" w:val="left"/>
        </w:tabs>
        <w:numPr>
          <w:ilvl w:val="4"/>
          <w:numId w:val="45"/>
        </w:numPr>
        <w:rPr>
          <w:rFonts w:ascii="Arial" w:cs="Arial" w:eastAsia="Arial" w:hAnsi="Arial"/>
          <w:sz w:val="16"/>
          <w:szCs w:val="16"/>
          <w:color w:val="auto"/>
        </w:rPr>
      </w:pPr>
      <w:r>
        <w:rPr>
          <w:rFonts w:ascii="Arial" w:cs="Arial" w:eastAsia="Arial" w:hAnsi="Arial"/>
          <w:sz w:val="16"/>
          <w:szCs w:val="16"/>
          <w:color w:val="auto"/>
        </w:rPr>
        <w:t>Any Share that again becomes available for delivery pursuant to this Section 4(c) shall be added back as one (1) Share.</w:t>
      </w:r>
    </w:p>
    <w:p>
      <w:pPr>
        <w:spacing w:after="0" w:line="248" w:lineRule="exact"/>
        <w:rPr>
          <w:rFonts w:ascii="Arial" w:cs="Arial" w:eastAsia="Arial" w:hAnsi="Arial"/>
          <w:sz w:val="16"/>
          <w:szCs w:val="16"/>
          <w:color w:val="auto"/>
        </w:rPr>
      </w:pPr>
    </w:p>
    <w:p>
      <w:pPr>
        <w:ind w:right="140" w:firstLine="2404"/>
        <w:spacing w:after="0" w:line="259" w:lineRule="auto"/>
        <w:tabs>
          <w:tab w:leader="none" w:pos="2651" w:val="left"/>
        </w:tabs>
        <w:numPr>
          <w:ilvl w:val="4"/>
          <w:numId w:val="45"/>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that the Plan designate a maximum aggregate number of shares that may be issued.</w:t>
      </w:r>
    </w:p>
    <w:p>
      <w:pPr>
        <w:spacing w:after="0" w:line="186" w:lineRule="exact"/>
        <w:rPr>
          <w:rFonts w:ascii="Arial" w:cs="Arial" w:eastAsia="Arial" w:hAnsi="Arial"/>
          <w:sz w:val="18"/>
          <w:szCs w:val="18"/>
          <w:color w:val="auto"/>
        </w:rPr>
      </w:pPr>
    </w:p>
    <w:p>
      <w:pPr>
        <w:ind w:left="1740" w:hanging="248"/>
        <w:spacing w:after="0"/>
        <w:tabs>
          <w:tab w:leader="none" w:pos="1740" w:val="left"/>
        </w:tabs>
        <w:numPr>
          <w:ilvl w:val="2"/>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No Further Awards Under Prior Plan</w:t>
      </w:r>
      <w:r>
        <w:rPr>
          <w:rFonts w:ascii="Arial" w:cs="Arial" w:eastAsia="Arial" w:hAnsi="Arial"/>
          <w:sz w:val="16"/>
          <w:szCs w:val="16"/>
          <w:color w:val="auto"/>
        </w:rPr>
        <w:t>. In light of the adoption of this Plan, no further awards shall be made under the Prior Plan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Effective Date.</w:t>
      </w:r>
    </w:p>
    <w:p>
      <w:pPr>
        <w:spacing w:after="0" w:line="210" w:lineRule="exact"/>
        <w:rPr>
          <w:rFonts w:ascii="Arial" w:cs="Arial" w:eastAsia="Arial" w:hAnsi="Arial"/>
          <w:sz w:val="16"/>
          <w:szCs w:val="16"/>
          <w:color w:val="auto"/>
        </w:rPr>
      </w:pPr>
    </w:p>
    <w:p>
      <w:pPr>
        <w:ind w:firstLine="464"/>
        <w:spacing w:after="0" w:line="288" w:lineRule="auto"/>
        <w:tabs>
          <w:tab w:leader="none" w:pos="636"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Awards that are not Performance Units with respect to more than 1,000,000 Shares. In addition, the maximum dollar value payable to any one Participant with respect to Performance Units is</w:t>
      </w:r>
    </w:p>
    <w:p>
      <w:pPr>
        <w:ind w:right="20" w:firstLine="8"/>
        <w:spacing w:after="0" w:line="255"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 periods that are in the Performance Period.</w:t>
      </w:r>
    </w:p>
    <w:p>
      <w:pPr>
        <w:spacing w:after="0" w:line="190" w:lineRule="exact"/>
        <w:rPr>
          <w:rFonts w:ascii="Arial" w:cs="Arial" w:eastAsia="Arial" w:hAnsi="Arial"/>
          <w:sz w:val="18"/>
          <w:szCs w:val="18"/>
          <w:color w:val="auto"/>
        </w:rPr>
      </w:pPr>
    </w:p>
    <w:p>
      <w:pPr>
        <w:ind w:left="640" w:hanging="176"/>
        <w:spacing w:after="0"/>
        <w:tabs>
          <w:tab w:leader="none" w:pos="640"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48"/>
        <w:spacing w:after="0" w:line="291" w:lineRule="auto"/>
        <w:tabs>
          <w:tab w:leader="none" w:pos="2185" w:val="left"/>
        </w:tabs>
        <w:numPr>
          <w:ilvl w:val="3"/>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Awards may be granted on the terms and conditions set forth in this Section 6. In addition, the Committee may impose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5" w:name="page96"/>
    <w:bookmarkEnd w:id="95"/>
    <w:p>
      <w:pPr>
        <w:ind w:left="2192" w:hanging="252"/>
        <w:spacing w:after="0"/>
        <w:tabs>
          <w:tab w:leader="none" w:pos="2192" w:val="left"/>
        </w:tabs>
        <w:numPr>
          <w:ilvl w:val="1"/>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ind w:left="-8" w:firstLine="2404"/>
        <w:spacing w:after="0" w:line="283" w:lineRule="auto"/>
        <w:tabs>
          <w:tab w:leader="none" w:pos="2603" w:val="left"/>
        </w:tabs>
        <w:numPr>
          <w:ilvl w:val="2"/>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w:t>
      </w:r>
    </w:p>
    <w:p>
      <w:pPr>
        <w:spacing w:after="0" w:line="5" w:lineRule="exact"/>
        <w:rPr>
          <w:rFonts w:ascii="Arial" w:cs="Arial" w:eastAsia="Arial" w:hAnsi="Arial"/>
          <w:sz w:val="16"/>
          <w:szCs w:val="16"/>
          <w:color w:val="auto"/>
        </w:rPr>
      </w:pPr>
    </w:p>
    <w:p>
      <w:pPr>
        <w:ind w:left="-8" w:right="120" w:firstLine="8"/>
        <w:spacing w:after="0" w:line="323" w:lineRule="auto"/>
        <w:tabs>
          <w:tab w:leader="none" w:pos="2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38" w:lineRule="exact"/>
        <w:rPr>
          <w:rFonts w:ascii="Arial" w:cs="Arial" w:eastAsia="Arial" w:hAnsi="Arial"/>
          <w:sz w:val="16"/>
          <w:szCs w:val="16"/>
          <w:color w:val="auto"/>
        </w:rPr>
      </w:pPr>
    </w:p>
    <w:p>
      <w:pPr>
        <w:ind w:left="-8" w:right="40" w:firstLine="2404"/>
        <w:spacing w:after="0" w:line="290" w:lineRule="auto"/>
        <w:tabs>
          <w:tab w:leader="none" w:pos="2653" w:val="left"/>
        </w:tabs>
        <w:numPr>
          <w:ilvl w:val="2"/>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 Subject to the maximum term of any Option set forth in Section 7(b),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determine the time or times at which or the circumstances under which an 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 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166" w:lineRule="exact"/>
        <w:rPr>
          <w:rFonts w:ascii="Arial" w:cs="Arial" w:eastAsia="Arial" w:hAnsi="Arial"/>
          <w:sz w:val="16"/>
          <w:szCs w:val="16"/>
          <w:color w:val="auto"/>
        </w:rPr>
      </w:pPr>
    </w:p>
    <w:p>
      <w:pPr>
        <w:ind w:left="-8" w:right="140" w:firstLine="2404"/>
        <w:spacing w:after="0" w:line="279" w:lineRule="auto"/>
        <w:tabs>
          <w:tab w:leader="none" w:pos="2703" w:val="left"/>
        </w:tabs>
        <w:numPr>
          <w:ilvl w:val="2"/>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Incentive Stock Options</w:t>
      </w:r>
      <w:r>
        <w:rPr>
          <w:rFonts w:ascii="Arial" w:cs="Arial" w:eastAsia="Arial" w:hAnsi="Arial"/>
          <w:sz w:val="17"/>
          <w:szCs w:val="17"/>
          <w:color w:val="auto"/>
        </w:rPr>
        <w:t>. The terms of any Incentive Stock Option granted under the Plan shall comply in all respects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96" w:name="page97"/>
    <w:bookmarkEnd w:id="96"/>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24" w:lineRule="exact"/>
        <w:rPr>
          <w:sz w:val="20"/>
          <w:szCs w:val="20"/>
          <w:color w:val="auto"/>
        </w:rPr>
      </w:pPr>
    </w:p>
    <w:p>
      <w:pPr>
        <w:ind w:right="280" w:firstLine="2975"/>
        <w:spacing w:after="0" w:line="297" w:lineRule="auto"/>
        <w:tabs>
          <w:tab w:leader="none" w:pos="3262"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58" w:lineRule="exact"/>
        <w:rPr>
          <w:rFonts w:ascii="Arial" w:cs="Arial" w:eastAsia="Arial" w:hAnsi="Arial"/>
          <w:sz w:val="16"/>
          <w:szCs w:val="16"/>
          <w:color w:val="auto"/>
        </w:rPr>
      </w:pPr>
    </w:p>
    <w:p>
      <w:pPr>
        <w:ind w:right="60" w:firstLine="2975"/>
        <w:spacing w:after="0" w:line="302" w:lineRule="auto"/>
        <w:tabs>
          <w:tab w:leader="none" w:pos="3252"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54" w:lineRule="exact"/>
        <w:rPr>
          <w:rFonts w:ascii="Arial" w:cs="Arial" w:eastAsia="Arial" w:hAnsi="Arial"/>
          <w:sz w:val="16"/>
          <w:szCs w:val="16"/>
          <w:color w:val="auto"/>
        </w:rPr>
      </w:pPr>
    </w:p>
    <w:p>
      <w:pPr>
        <w:ind w:firstLine="1948"/>
        <w:spacing w:after="0" w:line="259" w:lineRule="auto"/>
        <w:tabs>
          <w:tab w:leader="none" w:pos="218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part of any 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86" w:lineRule="exact"/>
        <w:rPr>
          <w:rFonts w:ascii="Arial" w:cs="Arial" w:eastAsia="Arial" w:hAnsi="Arial"/>
          <w:sz w:val="18"/>
          <w:szCs w:val="18"/>
          <w:color w:val="auto"/>
        </w:rPr>
      </w:pPr>
    </w:p>
    <w:p>
      <w:pPr>
        <w:ind w:firstLine="2404"/>
        <w:spacing w:after="0" w:line="253" w:lineRule="auto"/>
        <w:tabs>
          <w:tab w:leader="none" w:pos="2611"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exercise thereof, the excess of (A) the Fair Market Value of one Share 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exercise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exercise price of such Stock Appreciation Right or (ii) Stock Appreciation Rights with an exercise price per Share that is less than the exercise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97" w:name="page98"/>
    <w:bookmarkEnd w:id="97"/>
    <w:p>
      <w:pPr>
        <w:ind w:left="-20" w:right="80" w:firstLine="2404"/>
        <w:spacing w:after="0" w:line="255" w:lineRule="auto"/>
        <w:tabs>
          <w:tab w:leader="none" w:pos="2641" w:val="left"/>
        </w:tabs>
        <w:numPr>
          <w:ilvl w:val="1"/>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Terms</w:t>
      </w:r>
      <w:r>
        <w:rPr>
          <w:rFonts w:ascii="Arial" w:cs="Arial" w:eastAsia="Arial" w:hAnsi="Arial"/>
          <w:sz w:val="18"/>
          <w:szCs w:val="18"/>
          <w:color w:val="auto"/>
        </w:rPr>
        <w:t>. Subject to the maximum term of any Stock Appreciation Right set forth in Section 7(b),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89" w:lineRule="exact"/>
        <w:rPr>
          <w:rFonts w:ascii="Arial" w:cs="Arial" w:eastAsia="Arial" w:hAnsi="Arial"/>
          <w:sz w:val="18"/>
          <w:szCs w:val="18"/>
          <w:color w:val="auto"/>
        </w:rPr>
      </w:pPr>
    </w:p>
    <w:p>
      <w:pPr>
        <w:ind w:left="-20" w:firstLine="2404"/>
        <w:spacing w:after="0" w:line="270" w:lineRule="auto"/>
        <w:tabs>
          <w:tab w:leader="none" w:pos="2691" w:val="left"/>
        </w:tabs>
        <w:numPr>
          <w:ilvl w:val="1"/>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Tandem Stock Appreciation Rights</w:t>
      </w:r>
      <w:r>
        <w:rPr>
          <w:rFonts w:ascii="Arial" w:cs="Arial" w:eastAsia="Arial" w:hAnsi="Arial"/>
          <w:sz w:val="17"/>
          <w:szCs w:val="17"/>
          <w:color w:val="auto"/>
        </w:rPr>
        <w:t>. Any Tandem Stock Appreciation Right may be granted at the same time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Option is 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81" w:lineRule="exact"/>
        <w:rPr>
          <w:rFonts w:ascii="Arial" w:cs="Arial" w:eastAsia="Arial" w:hAnsi="Arial"/>
          <w:sz w:val="17"/>
          <w:szCs w:val="17"/>
          <w:color w:val="auto"/>
        </w:rPr>
      </w:pPr>
    </w:p>
    <w:p>
      <w:pPr>
        <w:ind w:left="-20" w:right="680" w:firstLine="1948"/>
        <w:spacing w:after="0" w:line="277" w:lineRule="auto"/>
        <w:tabs>
          <w:tab w:leader="none" w:pos="217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The Committee is authorized to grant Restricted Stock Awards to any Eligible Person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terms and conditions:</w:t>
      </w:r>
    </w:p>
    <w:p>
      <w:pPr>
        <w:spacing w:after="0" w:line="170" w:lineRule="exact"/>
        <w:rPr>
          <w:rFonts w:ascii="Arial" w:cs="Arial" w:eastAsia="Arial" w:hAnsi="Arial"/>
          <w:sz w:val="18"/>
          <w:szCs w:val="18"/>
          <w:color w:val="auto"/>
        </w:rPr>
      </w:pPr>
    </w:p>
    <w:p>
      <w:pPr>
        <w:ind w:left="-20" w:firstLine="2404"/>
        <w:spacing w:after="0" w:line="289" w:lineRule="auto"/>
        <w:tabs>
          <w:tab w:leader="none" w:pos="259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166" w:lineRule="exact"/>
        <w:rPr>
          <w:rFonts w:ascii="Arial" w:cs="Arial" w:eastAsia="Arial" w:hAnsi="Arial"/>
          <w:sz w:val="16"/>
          <w:szCs w:val="16"/>
          <w:color w:val="auto"/>
        </w:rPr>
      </w:pPr>
    </w:p>
    <w:p>
      <w:pPr>
        <w:ind w:left="-20" w:right="200" w:firstLine="2404"/>
        <w:spacing w:after="0" w:line="277" w:lineRule="auto"/>
        <w:tabs>
          <w:tab w:leader="none" w:pos="2641" w:val="left"/>
        </w:tabs>
        <w:numPr>
          <w:ilvl w:val="1"/>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applicable Restriction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98" w:name="page99"/>
    <w:bookmarkEnd w:id="9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187" w:lineRule="exact"/>
        <w:rPr>
          <w:sz w:val="20"/>
          <w:szCs w:val="20"/>
          <w:color w:val="auto"/>
        </w:rPr>
      </w:pPr>
    </w:p>
    <w:p>
      <w:pPr>
        <w:ind w:firstLine="2404"/>
        <w:spacing w:after="0" w:line="302" w:lineRule="auto"/>
        <w:tabs>
          <w:tab w:leader="none" w:pos="2711"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4" w:lineRule="exact"/>
        <w:rPr>
          <w:rFonts w:ascii="Arial" w:cs="Arial" w:eastAsia="Arial" w:hAnsi="Arial"/>
          <w:sz w:val="16"/>
          <w:szCs w:val="16"/>
          <w:color w:val="auto"/>
        </w:rPr>
      </w:pPr>
    </w:p>
    <w:p>
      <w:pPr>
        <w:ind w:right="60" w:firstLine="2404"/>
        <w:spacing w:after="0" w:line="257" w:lineRule="auto"/>
        <w:tabs>
          <w:tab w:leader="none" w:pos="2701"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 may require or permit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to 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88" w:lineRule="exact"/>
        <w:rPr>
          <w:rFonts w:ascii="Arial" w:cs="Arial" w:eastAsia="Arial" w:hAnsi="Arial"/>
          <w:sz w:val="18"/>
          <w:szCs w:val="18"/>
          <w:color w:val="auto"/>
        </w:rPr>
      </w:pPr>
    </w:p>
    <w:p>
      <w:pPr>
        <w:ind w:left="2200" w:hanging="252"/>
        <w:spacing w:after="0"/>
        <w:tabs>
          <w:tab w:leader="none" w:pos="22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and conditions:</w:t>
      </w:r>
    </w:p>
    <w:p>
      <w:pPr>
        <w:spacing w:after="0" w:line="210" w:lineRule="exact"/>
        <w:rPr>
          <w:rFonts w:ascii="Arial" w:cs="Arial" w:eastAsia="Arial" w:hAnsi="Arial"/>
          <w:sz w:val="16"/>
          <w:szCs w:val="16"/>
          <w:color w:val="auto"/>
        </w:rPr>
      </w:pPr>
    </w:p>
    <w:p>
      <w:pPr>
        <w:ind w:right="80" w:firstLine="2404"/>
        <w:spacing w:after="0" w:line="254" w:lineRule="auto"/>
        <w:tabs>
          <w:tab w:leader="none" w:pos="2611" w:val="left"/>
        </w:tabs>
        <w:numPr>
          <w:ilvl w:val="1"/>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Award and Restrictions</w:t>
      </w:r>
      <w:r>
        <w:rPr>
          <w:rFonts w:ascii="Arial" w:cs="Arial" w:eastAsia="Arial" w:hAnsi="Arial"/>
          <w:sz w:val="18"/>
          <w:szCs w:val="18"/>
          <w:color w:val="auto"/>
        </w:rPr>
        <w:t>. Satisfaction of a Deferred Stock Award shall occur upon expiration of the deferral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for such 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92" w:lineRule="exact"/>
        <w:rPr>
          <w:rFonts w:ascii="Arial" w:cs="Arial" w:eastAsia="Arial" w:hAnsi="Arial"/>
          <w:sz w:val="18"/>
          <w:szCs w:val="18"/>
          <w:color w:val="auto"/>
        </w:rPr>
      </w:pPr>
    </w:p>
    <w:p>
      <w:pPr>
        <w:ind w:right="20" w:firstLine="2404"/>
        <w:spacing w:after="0" w:line="273" w:lineRule="auto"/>
        <w:tabs>
          <w:tab w:leader="none" w:pos="2661" w:val="left"/>
        </w:tabs>
        <w:numPr>
          <w:ilvl w:val="1"/>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78" w:lineRule="exact"/>
        <w:rPr>
          <w:rFonts w:ascii="Arial" w:cs="Arial" w:eastAsia="Arial" w:hAnsi="Arial"/>
          <w:sz w:val="17"/>
          <w:szCs w:val="17"/>
          <w:color w:val="auto"/>
        </w:rPr>
      </w:pPr>
    </w:p>
    <w:p>
      <w:pPr>
        <w:ind w:right="20" w:firstLine="2404"/>
        <w:spacing w:after="0" w:line="257" w:lineRule="auto"/>
        <w:tabs>
          <w:tab w:leader="none" w:pos="2711" w:val="left"/>
        </w:tabs>
        <w:numPr>
          <w:ilvl w:val="1"/>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Unless otherwise determined by the Committee at date of grant, any Dividend Equivalents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granted 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99" w:name="page100"/>
    <w:bookmarkEnd w:id="99"/>
    <w:p>
      <w:pPr>
        <w:ind w:left="-80" w:right="40" w:firstLine="1948"/>
        <w:spacing w:after="0" w:line="297" w:lineRule="auto"/>
        <w:tabs>
          <w:tab w:leader="none" w:pos="2085"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 Stock and Awards in Lieu of Obligations</w:t>
      </w:r>
      <w:r>
        <w:rPr>
          <w:rFonts w:ascii="Arial" w:cs="Arial" w:eastAsia="Arial" w:hAnsi="Arial"/>
          <w:sz w:val="16"/>
          <w:szCs w:val="16"/>
          <w:color w:val="auto"/>
        </w:rPr>
        <w:t>. The Committee is authorized to grant Shares to any Eligible Persons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58" w:lineRule="exact"/>
        <w:rPr>
          <w:rFonts w:ascii="Arial" w:cs="Arial" w:eastAsia="Arial" w:hAnsi="Arial"/>
          <w:sz w:val="16"/>
          <w:szCs w:val="16"/>
          <w:color w:val="auto"/>
        </w:rPr>
      </w:pPr>
    </w:p>
    <w:p>
      <w:pPr>
        <w:ind w:left="-80" w:firstLine="1948"/>
        <w:spacing w:after="0" w:line="291" w:lineRule="auto"/>
        <w:tabs>
          <w:tab w:leader="none" w:pos="2115"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Committee is authorized to grant Dividend Equivalents to any Eligible Person entitling the Eligible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 to 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67" w:lineRule="exact"/>
        <w:rPr>
          <w:rFonts w:ascii="Arial" w:cs="Arial" w:eastAsia="Arial" w:hAnsi="Arial"/>
          <w:sz w:val="16"/>
          <w:szCs w:val="16"/>
          <w:color w:val="auto"/>
        </w:rPr>
      </w:pPr>
    </w:p>
    <w:p>
      <w:pPr>
        <w:ind w:left="-80" w:right="20" w:firstLine="1948"/>
        <w:spacing w:after="0" w:line="290" w:lineRule="auto"/>
        <w:tabs>
          <w:tab w:leader="none" w:pos="2115"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320" w:top="274" w:right="299" w:bottom="1440" w:gutter="0" w:footer="0" w:header="0"/>
        </w:sectPr>
      </w:pPr>
    </w:p>
    <w:bookmarkStart w:id="100" w:name="page101"/>
    <w:bookmarkEnd w:id="100"/>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by the Committee. Performance Awards may be paid in a lump sum or in installments following the close of the Performance Period or, in accordance with procedures established by the Committee, on a deferred basis.</w:t>
      </w:r>
    </w:p>
    <w:p>
      <w:pPr>
        <w:spacing w:after="0" w:line="170" w:lineRule="exact"/>
        <w:rPr>
          <w:sz w:val="20"/>
          <w:szCs w:val="20"/>
          <w:color w:val="auto"/>
        </w:rPr>
      </w:pPr>
    </w:p>
    <w:p>
      <w:pPr>
        <w:ind w:firstLine="1948"/>
        <w:spacing w:after="0" w:line="270" w:lineRule="auto"/>
        <w:tabs>
          <w:tab w:leader="none" w:pos="2155"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The Committee is authorized, subject to limitations under applicable law, to grant to any Eligible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81" w:lineRule="exact"/>
        <w:rPr>
          <w:rFonts w:ascii="Arial" w:cs="Arial" w:eastAsia="Arial" w:hAnsi="Arial"/>
          <w:sz w:val="17"/>
          <w:szCs w:val="17"/>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48"/>
        <w:spacing w:after="0" w:line="288" w:lineRule="auto"/>
        <w:tabs>
          <w:tab w:leader="none" w:pos="2185"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69" w:lineRule="exact"/>
        <w:rPr>
          <w:rFonts w:ascii="Arial" w:cs="Arial" w:eastAsia="Arial" w:hAnsi="Arial"/>
          <w:sz w:val="16"/>
          <w:szCs w:val="16"/>
          <w:color w:val="auto"/>
        </w:rPr>
      </w:pPr>
    </w:p>
    <w:p>
      <w:pPr>
        <w:ind w:right="20" w:firstLine="1948"/>
        <w:spacing w:after="0" w:line="264" w:lineRule="auto"/>
        <w:tabs>
          <w:tab w:leader="none" w:pos="2195"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 shall the term of any Option or Stock Appreciation Right exceed a period of ten years (or in the case of an Incentive Stock Option such shorter term as may be required under Section 422 of the Code).</w:t>
      </w:r>
    </w:p>
    <w:p>
      <w:pPr>
        <w:spacing w:after="0" w:line="181" w:lineRule="exact"/>
        <w:rPr>
          <w:rFonts w:ascii="Arial" w:cs="Arial" w:eastAsia="Arial" w:hAnsi="Arial"/>
          <w:sz w:val="18"/>
          <w:szCs w:val="18"/>
          <w:color w:val="auto"/>
        </w:rPr>
      </w:pPr>
    </w:p>
    <w:p>
      <w:pPr>
        <w:ind w:right="800" w:firstLine="1948"/>
        <w:spacing w:after="0" w:line="342" w:lineRule="auto"/>
        <w:tabs>
          <w:tab w:leader="none" w:pos="2185"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payments to be made by the Company or a Related Entity upon the exercise of an Option or other Award or settlement of an Award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01" w:name="page102"/>
    <w:bookmarkEnd w:id="101"/>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3" w:lineRule="exact"/>
        <w:rPr>
          <w:sz w:val="20"/>
          <w:szCs w:val="20"/>
          <w:color w:val="auto"/>
        </w:rPr>
      </w:pPr>
    </w:p>
    <w:p>
      <w:pPr>
        <w:ind w:right="20" w:firstLine="1948"/>
        <w:spacing w:after="0" w:line="297" w:lineRule="auto"/>
        <w:tabs>
          <w:tab w:leader="none" w:pos="2195"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 transaction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58" w:lineRule="exact"/>
        <w:rPr>
          <w:rFonts w:ascii="Arial" w:cs="Arial" w:eastAsia="Arial" w:hAnsi="Arial"/>
          <w:sz w:val="16"/>
          <w:szCs w:val="16"/>
          <w:color w:val="auto"/>
        </w:rPr>
      </w:pPr>
    </w:p>
    <w:p>
      <w:pPr>
        <w:ind w:left="2200" w:hanging="252"/>
        <w:spacing w:after="0"/>
        <w:tabs>
          <w:tab w:leader="none" w:pos="22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The following provisions shall apply to any Award that is or may potentially be subject to the requirements of Section 409A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60" w:firstLine="2404"/>
        <w:spacing w:after="0" w:line="276" w:lineRule="auto"/>
        <w:tabs>
          <w:tab w:leader="none" w:pos="26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Award Agreement for any Award that the Committee reasonably determines to be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72" w:lineRule="exact"/>
        <w:rPr>
          <w:rFonts w:ascii="Arial" w:cs="Arial" w:eastAsia="Arial" w:hAnsi="Arial"/>
          <w:sz w:val="17"/>
          <w:szCs w:val="17"/>
          <w:color w:val="auto"/>
        </w:rPr>
      </w:pPr>
    </w:p>
    <w:p>
      <w:pPr>
        <w:ind w:right="140" w:firstLine="2404"/>
        <w:spacing w:after="0" w:line="277" w:lineRule="auto"/>
        <w:tabs>
          <w:tab w:leader="none" w:pos="2661"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ind w:firstLine="2975"/>
        <w:spacing w:after="0" w:line="279" w:lineRule="auto"/>
        <w:tabs>
          <w:tab w:leader="none" w:pos="3262" w:val="left"/>
        </w:tabs>
        <w:numPr>
          <w:ilvl w:val="1"/>
          <w:numId w:val="61"/>
        </w:numPr>
        <w:rPr>
          <w:rFonts w:ascii="Arial" w:cs="Arial" w:eastAsia="Arial" w:hAnsi="Arial"/>
          <w:sz w:val="17"/>
          <w:szCs w:val="17"/>
          <w:color w:val="auto"/>
        </w:rPr>
      </w:pPr>
      <w:r>
        <w:rPr>
          <w:rFonts w:ascii="Arial" w:cs="Arial" w:eastAsia="Arial" w:hAnsi="Arial"/>
          <w:sz w:val="17"/>
          <w:szCs w:val="17"/>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02" w:name="page103"/>
    <w:bookmarkEnd w:id="102"/>
    <w:p>
      <w:pPr>
        <w:ind w:left="3260" w:hanging="285"/>
        <w:spacing w:after="0"/>
        <w:tabs>
          <w:tab w:leader="none" w:pos="3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time or schedule for any payment of the deferred compensation may not be accelerated, except to the extent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right="420" w:firstLine="2975"/>
        <w:spacing w:after="0" w:line="277" w:lineRule="auto"/>
        <w:tabs>
          <w:tab w:leader="none" w:pos="32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70" w:lineRule="exact"/>
        <w:rPr>
          <w:rFonts w:ascii="Arial" w:cs="Arial" w:eastAsia="Arial" w:hAnsi="Arial"/>
          <w:sz w:val="18"/>
          <w:szCs w:val="18"/>
          <w:color w:val="auto"/>
        </w:rPr>
      </w:pPr>
    </w:p>
    <w:p>
      <w:pPr>
        <w:ind w:right="480" w:firstLine="2975"/>
        <w:spacing w:after="0" w:line="264" w:lineRule="auto"/>
        <w:tabs>
          <w:tab w:leader="none" w:pos="32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1" w:lineRule="exact"/>
        <w:rPr>
          <w:sz w:val="20"/>
          <w:szCs w:val="20"/>
          <w:color w:val="auto"/>
        </w:rPr>
      </w:pPr>
    </w:p>
    <w:p>
      <w:pPr>
        <w:ind w:right="220" w:firstLine="2404"/>
        <w:spacing w:after="0" w:line="276" w:lineRule="auto"/>
        <w:tabs>
          <w:tab w:leader="none" w:pos="2711" w:val="left"/>
        </w:tabs>
        <w:numPr>
          <w:ilvl w:val="2"/>
          <w:numId w:val="63"/>
        </w:numPr>
        <w:rPr>
          <w:rFonts w:ascii="Arial" w:cs="Arial" w:eastAsia="Arial" w:hAnsi="Arial"/>
          <w:sz w:val="17"/>
          <w:szCs w:val="17"/>
          <w:color w:val="auto"/>
        </w:rPr>
      </w:pPr>
      <w:r>
        <w:rPr>
          <w:rFonts w:ascii="Arial" w:cs="Arial" w:eastAsia="Arial" w:hAnsi="Arial"/>
          <w:sz w:val="17"/>
          <w:szCs w:val="17"/>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72" w:lineRule="exact"/>
        <w:rPr>
          <w:rFonts w:ascii="Arial" w:cs="Arial" w:eastAsia="Arial" w:hAnsi="Arial"/>
          <w:sz w:val="17"/>
          <w:szCs w:val="17"/>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48"/>
        <w:spacing w:after="0" w:line="264" w:lineRule="auto"/>
        <w:tabs>
          <w:tab w:leader="none" w:pos="2185"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or is likely to be, as of the end of the tax year in which the Company would claim a tax deduction in connection with such Award, a Covered Employee, that the provisions of this Section 8 shall be applicable to such Award.</w:t>
      </w:r>
    </w:p>
    <w:p>
      <w:pPr>
        <w:spacing w:after="0" w:line="181" w:lineRule="exact"/>
        <w:rPr>
          <w:rFonts w:ascii="Arial" w:cs="Arial" w:eastAsia="Arial" w:hAnsi="Arial"/>
          <w:sz w:val="18"/>
          <w:szCs w:val="18"/>
          <w:color w:val="auto"/>
        </w:rPr>
      </w:pPr>
    </w:p>
    <w:p>
      <w:pPr>
        <w:ind w:right="20" w:firstLine="1948"/>
        <w:spacing w:after="0" w:line="312" w:lineRule="auto"/>
        <w:tabs>
          <w:tab w:leader="none" w:pos="2195"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8, then the lapsing of restrictions thereon and the distribution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03" w:name="page104"/>
    <w:bookmarkEnd w:id="10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69" w:lineRule="exact"/>
        <w:rPr>
          <w:sz w:val="20"/>
          <w:szCs w:val="20"/>
          <w:color w:val="auto"/>
        </w:rPr>
      </w:pPr>
    </w:p>
    <w:p>
      <w:pPr>
        <w:jc w:val="both"/>
        <w:ind w:right="280" w:firstLine="1948"/>
        <w:spacing w:after="0" w:line="279" w:lineRule="auto"/>
        <w:tabs>
          <w:tab w:leader="none" w:pos="2185"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Period; Timing For Establishing Performance Goals</w:t>
      </w:r>
      <w:r>
        <w:rPr>
          <w:rFonts w:ascii="Arial" w:cs="Arial" w:eastAsia="Arial" w:hAnsi="Arial"/>
          <w:sz w:val="17"/>
          <w:szCs w:val="17"/>
          <w:color w:val="auto"/>
        </w:rPr>
        <w:t>. Achievement of performance goals in respect of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Awards 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171" w:lineRule="exact"/>
        <w:rPr>
          <w:rFonts w:ascii="Arial" w:cs="Arial" w:eastAsia="Arial" w:hAnsi="Arial"/>
          <w:sz w:val="17"/>
          <w:szCs w:val="17"/>
          <w:color w:val="auto"/>
        </w:rPr>
      </w:pPr>
    </w:p>
    <w:p>
      <w:pPr>
        <w:jc w:val="both"/>
        <w:ind w:firstLine="1948"/>
        <w:spacing w:after="0" w:line="279" w:lineRule="auto"/>
        <w:tabs>
          <w:tab w:leader="none" w:pos="2195"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subject to 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ind w:firstLine="1948"/>
        <w:spacing w:after="0" w:line="288" w:lineRule="auto"/>
        <w:tabs>
          <w:tab w:leader="none" w:pos="2185"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Committee Certification</w:t>
      </w:r>
      <w:r>
        <w:rPr>
          <w:rFonts w:ascii="Arial" w:cs="Arial" w:eastAsia="Arial" w:hAnsi="Arial"/>
          <w:sz w:val="16"/>
          <w:szCs w:val="16"/>
          <w:color w:val="auto"/>
        </w:rPr>
        <w:t>. No Participant shall receive any payment under the Plan that is subject to this Section 8 unless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w:t>
      </w:r>
    </w:p>
    <w:p>
      <w:pPr>
        <w:spacing w:after="0"/>
        <w:rPr>
          <w:rFonts w:ascii="Arial" w:cs="Arial" w:eastAsia="Arial" w:hAnsi="Arial"/>
          <w:sz w:val="16"/>
          <w:szCs w:val="16"/>
          <w:color w:val="auto"/>
        </w:rPr>
      </w:pPr>
      <w:r>
        <w:rPr>
          <w:rFonts w:ascii="Arial" w:cs="Arial" w:eastAsia="Arial" w:hAnsi="Arial"/>
          <w:sz w:val="18"/>
          <w:szCs w:val="18"/>
          <w:color w:val="auto"/>
        </w:rPr>
        <w:t>Section 162(m).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04" w:name="page105"/>
    <w:bookmarkEnd w:id="104"/>
    <w:p>
      <w:pPr>
        <w:ind w:left="632" w:hanging="176"/>
        <w:spacing w:after="0"/>
        <w:tabs>
          <w:tab w:leader="none" w:pos="632" w:val="left"/>
        </w:tabs>
        <w:numPr>
          <w:ilvl w:val="1"/>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720" w:firstLine="1948"/>
        <w:spacing w:after="0" w:line="277" w:lineRule="auto"/>
        <w:tabs>
          <w:tab w:leader="none" w:pos="2177" w:val="left"/>
        </w:tabs>
        <w:numPr>
          <w:ilvl w:val="2"/>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“Change in Control.” </w:t>
      </w:r>
      <w:r>
        <w:rPr>
          <w:rFonts w:ascii="Arial" w:cs="Arial" w:eastAsia="Arial" w:hAnsi="Arial"/>
          <w:sz w:val="18"/>
          <w:szCs w:val="18"/>
          <w:color w:val="auto"/>
        </w:rPr>
        <w:t>If and only to the extent provided in the Award Agreement, or to the extent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Committee, upon the occurrence of a “Change in Control,” as defined in Section 9(b):</w:t>
      </w:r>
    </w:p>
    <w:p>
      <w:pPr>
        <w:spacing w:after="0" w:line="170" w:lineRule="exact"/>
        <w:rPr>
          <w:rFonts w:ascii="Arial" w:cs="Arial" w:eastAsia="Arial" w:hAnsi="Arial"/>
          <w:sz w:val="18"/>
          <w:szCs w:val="18"/>
          <w:color w:val="auto"/>
        </w:rPr>
      </w:pPr>
    </w:p>
    <w:p>
      <w:pPr>
        <w:ind w:left="-8" w:right="200" w:firstLine="2404"/>
        <w:spacing w:after="0" w:line="277" w:lineRule="auto"/>
        <w:tabs>
          <w:tab w:leader="none" w:pos="2603" w:val="left"/>
        </w:tabs>
        <w:numPr>
          <w:ilvl w:val="3"/>
          <w:numId w:val="66"/>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70" w:lineRule="exact"/>
        <w:rPr>
          <w:rFonts w:ascii="Arial" w:cs="Arial" w:eastAsia="Arial" w:hAnsi="Arial"/>
          <w:sz w:val="18"/>
          <w:szCs w:val="18"/>
          <w:color w:val="auto"/>
        </w:rPr>
      </w:pPr>
    </w:p>
    <w:p>
      <w:pPr>
        <w:ind w:left="-8" w:right="60" w:firstLine="2404"/>
        <w:spacing w:after="0" w:line="259" w:lineRule="auto"/>
        <w:tabs>
          <w:tab w:leader="none" w:pos="2653" w:val="left"/>
        </w:tabs>
        <w:numPr>
          <w:ilvl w:val="3"/>
          <w:numId w:val="66"/>
        </w:numPr>
        <w:rPr>
          <w:rFonts w:ascii="Arial" w:cs="Arial" w:eastAsia="Arial" w:hAnsi="Arial"/>
          <w:sz w:val="18"/>
          <w:szCs w:val="18"/>
          <w:color w:val="auto"/>
        </w:rPr>
      </w:pPr>
      <w:r>
        <w:rPr>
          <w:rFonts w:ascii="Arial" w:cs="Arial" w:eastAsia="Arial" w:hAnsi="Arial"/>
          <w:sz w:val="18"/>
          <w:szCs w:val="18"/>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86" w:lineRule="exact"/>
        <w:rPr>
          <w:rFonts w:ascii="Arial" w:cs="Arial" w:eastAsia="Arial" w:hAnsi="Arial"/>
          <w:sz w:val="18"/>
          <w:szCs w:val="18"/>
          <w:color w:val="auto"/>
        </w:rPr>
      </w:pPr>
    </w:p>
    <w:p>
      <w:pPr>
        <w:ind w:left="-8" w:right="120" w:firstLine="2404"/>
        <w:spacing w:after="0" w:line="308" w:lineRule="auto"/>
        <w:tabs>
          <w:tab w:leader="none" w:pos="2703" w:val="left"/>
        </w:tabs>
        <w:numPr>
          <w:ilvl w:val="3"/>
          <w:numId w:val="66"/>
        </w:numPr>
        <w:rPr>
          <w:rFonts w:ascii="Arial" w:cs="Arial" w:eastAsia="Arial" w:hAnsi="Arial"/>
          <w:sz w:val="17"/>
          <w:szCs w:val="17"/>
          <w:color w:val="auto"/>
        </w:rPr>
      </w:pPr>
      <w:r>
        <w:rPr>
          <w:rFonts w:ascii="Arial" w:cs="Arial" w:eastAsia="Arial" w:hAnsi="Arial"/>
          <w:sz w:val="17"/>
          <w:szCs w:val="17"/>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46" w:lineRule="exact"/>
        <w:rPr>
          <w:rFonts w:ascii="Arial" w:cs="Arial" w:eastAsia="Arial" w:hAnsi="Arial"/>
          <w:sz w:val="17"/>
          <w:szCs w:val="17"/>
          <w:color w:val="auto"/>
        </w:rPr>
      </w:pPr>
    </w:p>
    <w:p>
      <w:pPr>
        <w:ind w:left="-8" w:right="60" w:firstLine="1948"/>
        <w:spacing w:after="0" w:line="277" w:lineRule="auto"/>
        <w:tabs>
          <w:tab w:leader="none" w:pos="2187" w:val="left"/>
        </w:tabs>
        <w:numPr>
          <w:ilvl w:val="2"/>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 Award Agreement, a “Change in Control” shall mean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w:t>
      </w:r>
    </w:p>
    <w:p>
      <w:pPr>
        <w:spacing w:after="0" w:line="170" w:lineRule="exact"/>
        <w:rPr>
          <w:rFonts w:ascii="Arial" w:cs="Arial" w:eastAsia="Arial" w:hAnsi="Arial"/>
          <w:sz w:val="18"/>
          <w:szCs w:val="18"/>
          <w:color w:val="auto"/>
        </w:rPr>
      </w:pPr>
    </w:p>
    <w:p>
      <w:pPr>
        <w:ind w:left="-8" w:right="100" w:firstLine="2404"/>
        <w:spacing w:after="0" w:line="284" w:lineRule="auto"/>
        <w:tabs>
          <w:tab w:leader="none" w:pos="2603" w:val="left"/>
        </w:tabs>
        <w:numPr>
          <w:ilvl w:val="3"/>
          <w:numId w:val="66"/>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acquisition by any corporation pursuant to a transaction which complies with clauses (A), (B) and (C) of subsection (iii) below; or</w:t>
      </w:r>
    </w:p>
    <w:p>
      <w:pPr>
        <w:spacing w:after="0" w:line="210" w:lineRule="exact"/>
        <w:rPr>
          <w:rFonts w:ascii="Arial" w:cs="Arial" w:eastAsia="Arial" w:hAnsi="Arial"/>
          <w:sz w:val="18"/>
          <w:szCs w:val="18"/>
          <w:color w:val="auto"/>
        </w:rPr>
      </w:pPr>
    </w:p>
    <w:p>
      <w:pPr>
        <w:ind w:left="-8" w:firstLine="2404"/>
        <w:spacing w:after="0" w:line="255" w:lineRule="auto"/>
        <w:tabs>
          <w:tab w:leader="none" w:pos="2653" w:val="left"/>
        </w:tabs>
        <w:numPr>
          <w:ilvl w:val="3"/>
          <w:numId w:val="67"/>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2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74" w:right="259" w:bottom="1440" w:gutter="0" w:footer="0" w:header="0"/>
        </w:sectPr>
      </w:pPr>
    </w:p>
    <w:bookmarkStart w:id="105" w:name="page106"/>
    <w:bookmarkEnd w:id="105"/>
    <w:p>
      <w:pPr>
        <w:ind w:left="-20" w:firstLine="2404"/>
        <w:spacing w:after="0" w:line="268" w:lineRule="auto"/>
        <w:tabs>
          <w:tab w:leader="none" w:pos="2691" w:val="left"/>
        </w:tabs>
        <w:numPr>
          <w:ilvl w:val="2"/>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0" w:lineRule="exact"/>
        <w:rPr>
          <w:rFonts w:ascii="Arial" w:cs="Arial" w:eastAsia="Arial" w:hAnsi="Arial"/>
          <w:sz w:val="17"/>
          <w:szCs w:val="17"/>
          <w:color w:val="auto"/>
        </w:rPr>
      </w:pPr>
    </w:p>
    <w:p>
      <w:pPr>
        <w:ind w:left="2680" w:hanging="296"/>
        <w:spacing w:after="0"/>
        <w:tabs>
          <w:tab w:leader="none" w:pos="26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720" w:hanging="27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948"/>
        <w:spacing w:after="0" w:line="272" w:lineRule="auto"/>
        <w:tabs>
          <w:tab w:leader="none" w:pos="2165" w:val="left"/>
        </w:tabs>
        <w:numPr>
          <w:ilvl w:val="1"/>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Compliance With Legal and Other Requirements</w:t>
      </w:r>
      <w:r>
        <w:rPr>
          <w:rFonts w:ascii="Arial" w:cs="Arial" w:eastAsia="Arial" w:hAnsi="Arial"/>
          <w:sz w:val="17"/>
          <w:szCs w:val="17"/>
          <w:color w:val="auto"/>
        </w:rPr>
        <w:t>. The Company may, to the extent deemed necessary or advisable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106" w:name="page107"/>
    <w:bookmarkEnd w:id="106"/>
    <w:p>
      <w:pPr>
        <w:ind w:left="-40" w:firstLine="1948"/>
        <w:spacing w:after="0" w:line="288" w:lineRule="auto"/>
        <w:tabs>
          <w:tab w:leader="none" w:pos="2155"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Limits on Transferability; Beneficiaries</w:t>
      </w:r>
      <w:r>
        <w:rPr>
          <w:rFonts w:ascii="Arial" w:cs="Arial" w:eastAsia="Arial" w:hAnsi="Arial"/>
          <w:sz w:val="16"/>
          <w:szCs w:val="16"/>
          <w:color w:val="auto"/>
        </w:rPr>
        <w:t>. No Award or other right or interest granted under the Plan shall be pledged,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69" w:lineRule="exact"/>
        <w:rPr>
          <w:rFonts w:ascii="Arial" w:cs="Arial" w:eastAsia="Arial" w:hAnsi="Arial"/>
          <w:sz w:val="16"/>
          <w:szCs w:val="16"/>
          <w:color w:val="auto"/>
        </w:rPr>
      </w:pPr>
    </w:p>
    <w:p>
      <w:pPr>
        <w:ind w:left="2160" w:hanging="252"/>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2404"/>
        <w:spacing w:after="0" w:line="268" w:lineRule="auto"/>
        <w:tabs>
          <w:tab w:leader="none" w:pos="2571" w:val="left"/>
        </w:tabs>
        <w:numPr>
          <w:ilvl w:val="1"/>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 of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74" w:right="279" w:bottom="1440" w:gutter="0" w:footer="0" w:header="0"/>
        </w:sectPr>
      </w:pPr>
    </w:p>
    <w:bookmarkStart w:id="107" w:name="page108"/>
    <w:bookmarkEnd w:id="107"/>
    <w:p>
      <w:pPr>
        <w:ind w:left="2640" w:hanging="256"/>
        <w:spacing w:after="0"/>
        <w:tabs>
          <w:tab w:leader="none" w:pos="264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in Case of Certain Corporate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00" w:firstLine="2975"/>
        <w:spacing w:after="0" w:line="287" w:lineRule="auto"/>
        <w:tabs>
          <w:tab w:leader="none" w:pos="3242"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of any merger, consolidation or other reorganization in which the 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(1) the continuation of the outstanding Awards by the Company, if the Company is a surviving corporation, (2) the assumption or substitution for, the outstanding Awards by the surviving corporation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68" w:lineRule="exact"/>
        <w:rPr>
          <w:rFonts w:ascii="Arial" w:cs="Arial" w:eastAsia="Arial" w:hAnsi="Arial"/>
          <w:sz w:val="16"/>
          <w:szCs w:val="16"/>
          <w:color w:val="auto"/>
        </w:rPr>
      </w:pPr>
    </w:p>
    <w:p>
      <w:pPr>
        <w:ind w:left="-20" w:firstLine="2975"/>
        <w:spacing w:after="0" w:line="268" w:lineRule="auto"/>
        <w:tabs>
          <w:tab w:leader="none" w:pos="3232"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purposes of this Section 10(c)(ii), an Option, Stock Appreciation Right, Restricted Stock Award, Deferred Stock Award or Other Stock-Based Award shall be considered assumed or substituted for if following the Change in Control the Award confers the right to purchase or receive, for each Share subject to the Option, Stock Appreciation Right, Restricted Stock Award, Deferred Stock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Stock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87" w:lineRule="exact"/>
        <w:rPr>
          <w:rFonts w:ascii="Arial" w:cs="Arial" w:eastAsia="Arial" w:hAnsi="Arial"/>
          <w:sz w:val="17"/>
          <w:szCs w:val="17"/>
          <w:color w:val="auto"/>
        </w:rPr>
      </w:pPr>
    </w:p>
    <w:p>
      <w:pPr>
        <w:ind w:left="-20" w:right="300" w:firstLine="2404"/>
        <w:spacing w:after="0" w:line="264" w:lineRule="auto"/>
        <w:tabs>
          <w:tab w:leader="none" w:pos="2691"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Other Adjustments</w:t>
      </w:r>
      <w:r>
        <w:rPr>
          <w:rFonts w:ascii="Arial" w:cs="Arial" w:eastAsia="Arial" w:hAnsi="Arial"/>
          <w:sz w:val="18"/>
          <w:szCs w:val="18"/>
          <w:color w:val="auto"/>
        </w:rPr>
        <w:t>. The Committee (and the Board if and only to the extent such authority is not required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exercised by the Committee to comply with Section 162(m) of the Code) is authorized to make adjustments in the terms and conditions of, and the criteria included in, Awards (including Performance Awards, or performance goals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108" w:name="page109"/>
    <w:bookmarkEnd w:id="10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82" w:lineRule="exact"/>
        <w:rPr>
          <w:sz w:val="20"/>
          <w:szCs w:val="20"/>
          <w:color w:val="auto"/>
        </w:rPr>
      </w:pPr>
    </w:p>
    <w:p>
      <w:pPr>
        <w:ind w:firstLine="1948"/>
        <w:spacing w:after="0" w:line="293" w:lineRule="auto"/>
        <w:tabs>
          <w:tab w:leader="none" w:pos="2195"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w:t>
      </w:r>
    </w:p>
    <w:p>
      <w:pPr>
        <w:spacing w:after="0" w:line="164" w:lineRule="exact"/>
        <w:rPr>
          <w:rFonts w:ascii="Arial" w:cs="Arial" w:eastAsia="Arial" w:hAnsi="Arial"/>
          <w:sz w:val="16"/>
          <w:szCs w:val="16"/>
          <w:color w:val="auto"/>
        </w:rPr>
      </w:pPr>
    </w:p>
    <w:p>
      <w:pPr>
        <w:ind w:firstLine="1948"/>
        <w:spacing w:after="0" w:line="270" w:lineRule="auto"/>
        <w:tabs>
          <w:tab w:leader="none" w:pos="2185"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Changes to the Plan and Awards</w:t>
      </w:r>
      <w:r>
        <w:rPr>
          <w:rFonts w:ascii="Arial" w:cs="Arial" w:eastAsia="Arial" w:hAnsi="Arial"/>
          <w:sz w:val="17"/>
          <w:szCs w:val="17"/>
          <w:color w:val="auto"/>
        </w:rPr>
        <w:t>. The Board may amend, alter, suspend, discontinue or terminate the Plan, or the Committee’s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77" w:lineRule="exact"/>
        <w:rPr>
          <w:rFonts w:ascii="Arial" w:cs="Arial" w:eastAsia="Arial" w:hAnsi="Arial"/>
          <w:sz w:val="17"/>
          <w:szCs w:val="17"/>
          <w:color w:val="auto"/>
        </w:rPr>
      </w:pPr>
    </w:p>
    <w:p>
      <w:pPr>
        <w:ind w:right="40" w:firstLine="1948"/>
        <w:spacing w:after="0" w:line="264" w:lineRule="auto"/>
        <w:tabs>
          <w:tab w:leader="none" w:pos="2165"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Rights Conferred Under Plan</w:t>
      </w:r>
      <w:r>
        <w:rPr>
          <w:rFonts w:ascii="Arial" w:cs="Arial" w:eastAsia="Arial" w:hAnsi="Arial"/>
          <w:sz w:val="18"/>
          <w:szCs w:val="18"/>
          <w:color w:val="auto"/>
        </w:rPr>
        <w:t>. Neither the Plan nor any action taken hereunder or under any Award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construed as (i) giving any Eligible Person or Participant the right to continue as an Eligible Person or Participant or in the employ or service of the Company or a Related Entity; (ii) interfering in any way with the right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09" w:name="page110"/>
    <w:bookmarkEnd w:id="10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67" w:lineRule="exact"/>
        <w:rPr>
          <w:sz w:val="20"/>
          <w:szCs w:val="20"/>
          <w:color w:val="auto"/>
        </w:rPr>
      </w:pPr>
    </w:p>
    <w:p>
      <w:pPr>
        <w:ind w:firstLine="1948"/>
        <w:spacing w:after="0" w:line="291" w:lineRule="auto"/>
        <w:tabs>
          <w:tab w:leader="none" w:pos="2195"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7" w:lineRule="exact"/>
        <w:rPr>
          <w:rFonts w:ascii="Arial" w:cs="Arial" w:eastAsia="Arial" w:hAnsi="Arial"/>
          <w:sz w:val="16"/>
          <w:szCs w:val="16"/>
          <w:color w:val="auto"/>
        </w:rPr>
      </w:pPr>
    </w:p>
    <w:p>
      <w:pPr>
        <w:ind w:right="620" w:firstLine="1948"/>
        <w:spacing w:after="0" w:line="312" w:lineRule="auto"/>
        <w:tabs>
          <w:tab w:leader="none" w:pos="2195"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46" w:lineRule="exact"/>
        <w:rPr>
          <w:rFonts w:ascii="Arial" w:cs="Arial" w:eastAsia="Arial" w:hAnsi="Arial"/>
          <w:sz w:val="16"/>
          <w:szCs w:val="16"/>
          <w:color w:val="auto"/>
        </w:rPr>
      </w:pPr>
    </w:p>
    <w:p>
      <w:pPr>
        <w:ind w:right="240" w:firstLine="1948"/>
        <w:spacing w:after="0" w:line="257" w:lineRule="auto"/>
        <w:tabs>
          <w:tab w:leader="none" w:pos="21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8" w:lineRule="exact"/>
        <w:rPr>
          <w:rFonts w:ascii="Arial" w:cs="Arial" w:eastAsia="Arial" w:hAnsi="Arial"/>
          <w:sz w:val="18"/>
          <w:szCs w:val="18"/>
          <w:color w:val="auto"/>
        </w:rPr>
      </w:pPr>
    </w:p>
    <w:p>
      <w:pPr>
        <w:ind w:right="300" w:firstLine="1948"/>
        <w:spacing w:after="0" w:line="264" w:lineRule="auto"/>
        <w:tabs>
          <w:tab w:leader="none" w:pos="21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construction and effect of the Plan, any rules and regulations under the Plan, and any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shall be determined in accordance with the laws of the State of Delaware without giving effect to principles of conflict of laws, and applicable federal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110" w:name="page111"/>
    <w:bookmarkEnd w:id="110"/>
    <w:p>
      <w:pPr>
        <w:ind w:left="-40" w:right="40" w:firstLine="1948"/>
        <w:spacing w:after="0" w:line="286" w:lineRule="auto"/>
        <w:tabs>
          <w:tab w:leader="none" w:pos="2155"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ind w:left="-40" w:firstLine="1948"/>
        <w:spacing w:after="0" w:line="271" w:lineRule="auto"/>
        <w:tabs>
          <w:tab w:leader="none" w:pos="2115"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80" w:top="274" w:right="2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960" w:type="dxa"/>
            <w:vAlign w:val="bottom"/>
            <w:gridSpan w:val="2"/>
          </w:tcPr>
          <w:p>
            <w:pPr>
              <w:ind w:left="1040"/>
              <w:spacing w:after="0"/>
              <w:rPr>
                <w:sz w:val="20"/>
                <w:szCs w:val="20"/>
                <w:color w:val="auto"/>
              </w:rPr>
            </w:pPr>
            <w:r>
              <w:rPr>
                <w:rFonts w:ascii="Arial" w:cs="Arial" w:eastAsia="Arial" w:hAnsi="Arial"/>
                <w:sz w:val="18"/>
                <w:szCs w:val="18"/>
                <w:b w:val="1"/>
                <w:bCs w:val="1"/>
                <w:color w:val="auto"/>
                <w:w w:val="89"/>
              </w:rPr>
              <w:t>Exhibit 21.1</w:t>
            </w:r>
          </w:p>
        </w:tc>
      </w:tr>
      <w:tr>
        <w:trPr>
          <w:trHeight w:val="372"/>
        </w:trPr>
        <w:tc>
          <w:tcPr>
            <w:tcW w:w="720" w:type="dxa"/>
            <w:vAlign w:val="bottom"/>
          </w:tcPr>
          <w:p>
            <w:pPr>
              <w:spacing w:after="0"/>
              <w:rPr>
                <w:sz w:val="24"/>
                <w:szCs w:val="24"/>
                <w:color w:val="auto"/>
              </w:rPr>
            </w:pPr>
          </w:p>
        </w:tc>
        <w:tc>
          <w:tcPr>
            <w:tcW w:w="8760" w:type="dxa"/>
            <w:vAlign w:val="bottom"/>
          </w:tcPr>
          <w:p>
            <w:pPr>
              <w:jc w:val="center"/>
              <w:ind w:left="1152"/>
              <w:spacing w:after="0"/>
              <w:rPr>
                <w:sz w:val="20"/>
                <w:szCs w:val="20"/>
                <w:color w:val="auto"/>
              </w:rPr>
            </w:pPr>
            <w:r>
              <w:rPr>
                <w:rFonts w:ascii="Arial" w:cs="Arial" w:eastAsia="Arial" w:hAnsi="Arial"/>
                <w:sz w:val="18"/>
                <w:szCs w:val="18"/>
                <w:color w:val="auto"/>
                <w:w w:val="93"/>
              </w:rPr>
              <w:t>DESTINATION XL GROUP, INC.</w:t>
            </w: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8760" w:type="dxa"/>
            <w:vAlign w:val="bottom"/>
          </w:tcPr>
          <w:p>
            <w:pPr>
              <w:jc w:val="center"/>
              <w:ind w:left="1132"/>
              <w:spacing w:after="0"/>
              <w:rPr>
                <w:sz w:val="20"/>
                <w:szCs w:val="20"/>
                <w:color w:val="auto"/>
              </w:rPr>
            </w:pPr>
            <w:r>
              <w:rPr>
                <w:rFonts w:ascii="Arial" w:cs="Arial" w:eastAsia="Arial" w:hAnsi="Arial"/>
                <w:sz w:val="18"/>
                <w:szCs w:val="18"/>
                <w:color w:val="auto"/>
                <w:w w:val="89"/>
              </w:rPr>
              <w:t>Wholly-owned unless otherwise indicated</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Subsidiary:</w:t>
            </w:r>
          </w:p>
        </w:tc>
        <w:tc>
          <w:tcPr>
            <w:tcW w:w="8760" w:type="dxa"/>
            <w:vAlign w:val="bottom"/>
          </w:tcPr>
          <w:p>
            <w:pPr>
              <w:spacing w:after="0"/>
              <w:rPr>
                <w:sz w:val="24"/>
                <w:szCs w:val="24"/>
                <w:color w:val="auto"/>
              </w:rPr>
            </w:pPr>
          </w:p>
        </w:tc>
        <w:tc>
          <w:tcPr>
            <w:tcW w:w="1960" w:type="dxa"/>
            <w:vAlign w:val="bottom"/>
            <w:gridSpan w:val="2"/>
          </w:tcPr>
          <w:p>
            <w:pPr>
              <w:ind w:left="300"/>
              <w:spacing w:after="0"/>
              <w:rPr>
                <w:sz w:val="20"/>
                <w:szCs w:val="20"/>
                <w:color w:val="auto"/>
              </w:rPr>
            </w:pPr>
            <w:r>
              <w:rPr>
                <w:rFonts w:ascii="Arial" w:cs="Arial" w:eastAsia="Arial" w:hAnsi="Arial"/>
                <w:sz w:val="14"/>
                <w:szCs w:val="14"/>
                <w:b w:val="1"/>
                <w:bCs w:val="1"/>
                <w:color w:val="auto"/>
              </w:rPr>
              <w:t>Place of Incorporation:</w:t>
            </w:r>
          </w:p>
        </w:tc>
      </w:tr>
      <w:tr>
        <w:trPr>
          <w:trHeight w:val="195"/>
        </w:trPr>
        <w:tc>
          <w:tcPr>
            <w:tcW w:w="9480" w:type="dxa"/>
            <w:vAlign w:val="bottom"/>
            <w:gridSpan w:val="2"/>
          </w:tcPr>
          <w:p>
            <w:pPr>
              <w:spacing w:after="0" w:line="195" w:lineRule="exact"/>
              <w:rPr>
                <w:sz w:val="20"/>
                <w:szCs w:val="20"/>
                <w:color w:val="auto"/>
              </w:rPr>
            </w:pPr>
            <w:r>
              <w:rPr>
                <w:rFonts w:ascii="Arial" w:cs="Arial" w:eastAsia="Arial" w:hAnsi="Arial"/>
                <w:sz w:val="18"/>
                <w:szCs w:val="18"/>
                <w:color w:val="auto"/>
              </w:rPr>
              <w:t>Casual Male Retail Store, LLC (f/k/a Designs CMAL Retail Store Inc.)</w:t>
            </w: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CMRG Apparel Management, Inc.</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CMXL Apparel, LP (a)</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Casual Male Store, LLC (f/k/a Designs CMAL Store Inc.)</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196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Casual Male RBT, LLC</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Casual Male Canada Inc.</w:t>
            </w:r>
          </w:p>
        </w:tc>
        <w:tc>
          <w:tcPr>
            <w:tcW w:w="1960" w:type="dxa"/>
            <w:vAlign w:val="bottom"/>
            <w:gridSpan w:val="2"/>
          </w:tcPr>
          <w:p>
            <w:pPr>
              <w:spacing w:after="0"/>
              <w:rPr>
                <w:sz w:val="20"/>
                <w:szCs w:val="20"/>
                <w:color w:val="auto"/>
              </w:rPr>
            </w:pPr>
            <w:r>
              <w:rPr>
                <w:rFonts w:ascii="Arial" w:cs="Arial" w:eastAsia="Arial" w:hAnsi="Arial"/>
                <w:sz w:val="18"/>
                <w:szCs w:val="18"/>
                <w:color w:val="auto"/>
              </w:rPr>
              <w:t>Ontario, Canada</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Think Big Products LLC</w:t>
            </w:r>
          </w:p>
        </w:tc>
        <w:tc>
          <w:tcPr>
            <w:tcW w:w="19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196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CMRG Global Holdings, Ltd.</w:t>
            </w:r>
          </w:p>
        </w:tc>
        <w:tc>
          <w:tcPr>
            <w:tcW w:w="19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CMRG Europe B.V. (e)</w:t>
            </w:r>
          </w:p>
        </w:tc>
        <w:tc>
          <w:tcPr>
            <w:tcW w:w="19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CMRG Hong Kong Limited</w:t>
            </w:r>
          </w:p>
        </w:tc>
        <w:tc>
          <w:tcPr>
            <w:tcW w:w="1960" w:type="dxa"/>
            <w:vAlign w:val="bottom"/>
            <w:gridSpan w:val="2"/>
          </w:tcPr>
          <w:p>
            <w:pPr>
              <w:spacing w:after="0"/>
              <w:rPr>
                <w:sz w:val="20"/>
                <w:szCs w:val="20"/>
                <w:color w:val="auto"/>
              </w:rPr>
            </w:pPr>
            <w:r>
              <w:rPr>
                <w:rFonts w:ascii="Arial" w:cs="Arial" w:eastAsia="Arial" w:hAnsi="Arial"/>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5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owned by CMRG Global Holdings, Ltd.</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(Form S-3 Nos. 333-118966, 333-112598 and 333-90742 and Form S-8 Nos. 333-112561, 333-112218, 333-136890, 33-52892, 333-164618, 333-163245, 333-170708, and 333-170764) of Destination XL Group, Inc. of our reports dated March 17, 2014, with respect to the consolidated financial statements of Destination XL Group, Inc. and the effectiveness of internal control over financial reporting of Destination XL Group, Inc., included in the Annual Report (Form 10-K) for the year ended February 1, 2014.</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17, 2014</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(Form S-3 Nos. 333-118966, 333-112598 and 333-90742 and Form S-8 Nos. 333-112561, 333-112218, 333-136890, 33-52892, 333-164618, 333-163245, 333-170708, and 333-170764) of Destination XL Group, Inc. of our report dated March 15, 2013, with respect to the consolidated financial statements of Destination XL Group, Inc. as of February 2, 2013 and for each of the two years in the period ended February 2, 2013, included in this Annual Report (Form 10-K) as of February 1, 2014.</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17, 2014</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17, 2014</w:t>
      </w:r>
    </w:p>
    <w:p>
      <w:pPr>
        <w:spacing w:after="0" w:line="212" w:lineRule="exact"/>
        <w:rPr>
          <w:sz w:val="20"/>
          <w:szCs w:val="20"/>
          <w:color w:val="auto"/>
        </w:rPr>
      </w:pPr>
    </w:p>
    <w:p>
      <w:pPr>
        <w:ind w:left="8220"/>
        <w:spacing w:after="0"/>
        <w:tabs>
          <w:tab w:leader="none" w:pos="85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E. Kyees, certify that:</w:t>
      </w:r>
    </w:p>
    <w:p>
      <w:pPr>
        <w:spacing w:after="0" w:line="9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17, 2014</w:t>
      </w:r>
    </w:p>
    <w:p>
      <w:pPr>
        <w:spacing w:after="0" w:line="212" w:lineRule="exact"/>
        <w:rPr>
          <w:sz w:val="20"/>
          <w:szCs w:val="20"/>
          <w:color w:val="auto"/>
        </w:rPr>
      </w:pPr>
    </w:p>
    <w:p>
      <w:pPr>
        <w:ind w:left="8260"/>
        <w:spacing w:after="0"/>
        <w:tabs>
          <w:tab w:leader="none" w:pos="8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E. K</w:t>
      </w:r>
      <w:r>
        <w:rPr>
          <w:rFonts w:ascii="Arial" w:cs="Arial" w:eastAsia="Arial" w:hAnsi="Arial"/>
          <w:sz w:val="13"/>
          <w:szCs w:val="13"/>
          <w:color w:val="auto"/>
        </w:rPr>
        <w:t>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E. Kyees</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Interim Chief Financial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1, 2014,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Dated: March 17, 2014</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27940</wp:posOffset>
            </wp:positionV>
            <wp:extent cx="3542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1, 2014, as filed with the Securities and Exchange Commission on the date hereof (the “Report”), I, John E. Kyees, Interim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Dated: March 17,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E. K</w:t>
      </w:r>
      <w:r>
        <w:rPr>
          <w:rFonts w:ascii="Arial" w:cs="Arial" w:eastAsia="Arial" w:hAnsi="Arial"/>
          <w:sz w:val="13"/>
          <w:szCs w:val="13"/>
          <w:color w:val="auto"/>
        </w:rPr>
        <w:t>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27940</wp:posOffset>
            </wp:positionV>
            <wp:extent cx="3542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John E. Kyees</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Interim Chief Financial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2"/>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2"/>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lowerRoman"/>
      <w:start w:val="1"/>
    </w:lvl>
  </w:abstractNum>
  <w:abstractNum w:abstractNumId="31">
    <w:nsid w:val="649BB77C"/>
    <w:multiLevelType w:val="hybridMultilevel"/>
    <w:lvl w:ilvl="0">
      <w:lvlJc w:val="left"/>
      <w:lvlText w:val="*"/>
      <w:numFmt w:val="bullet"/>
      <w:start w:val="1"/>
    </w:lvl>
    <w:lvl w:ilvl="1">
      <w:lvlJc w:val="left"/>
      <w:lvlText w:val="%2"/>
      <w:numFmt w:val="decimal"/>
      <w:start w:val="10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lvl w:ilvl="1">
      <w:lvlJc w:val="left"/>
      <w:lvlText w:val="(%2)"/>
      <w:numFmt w:val="lowerLetter"/>
      <w:start w:val="1"/>
    </w:lvl>
  </w:abstractNum>
  <w:abstractNum w:abstractNumId="34">
    <w:nsid w:val="1CF10FD8"/>
    <w:multiLevelType w:val="hybridMultilevel"/>
    <w:lvl w:ilvl="0">
      <w:lvlJc w:val="left"/>
      <w:lvlText w:val="%1"/>
      <w:numFmt w:val="lowerLetter"/>
      <w:start w:val="1"/>
    </w:lvl>
    <w:lvl w:ilvl="1">
      <w:lvlJc w:val="left"/>
      <w:lvlText w:val="(%2)"/>
      <w:numFmt w:val="lowerLetter"/>
      <w:start w:val="7"/>
    </w:lvl>
  </w:abstractNum>
  <w:abstractNum w:abstractNumId="35">
    <w:nsid w:val="180115BE"/>
    <w:multiLevelType w:val="hybridMultilevel"/>
    <w:lvl w:ilvl="0">
      <w:lvlJc w:val="left"/>
      <w:lvlText w:val="(%1)"/>
      <w:numFmt w:val="lowerLetter"/>
      <w:start w:val="35"/>
    </w:lvl>
    <w:lvl w:ilvl="1">
      <w:lvlJc w:val="left"/>
      <w:lvlText w:val="(%2)"/>
      <w:numFmt w:val="lowerLetter"/>
      <w:start w:val="12"/>
    </w:lvl>
  </w:abstractNum>
  <w:abstractNum w:abstractNumId="36">
    <w:nsid w:val="235BA861"/>
    <w:multiLevelType w:val="hybridMultilevel"/>
    <w:lvl w:ilvl="0">
      <w:lvlJc w:val="left"/>
      <w:lvlText w:val="(%1)"/>
      <w:numFmt w:val="lowerLetter"/>
      <w:start w:val="13"/>
    </w:lvl>
  </w:abstractNum>
  <w:abstractNum w:abstractNumId="37">
    <w:nsid w:val="47398C89"/>
    <w:multiLevelType w:val="hybridMultilevel"/>
    <w:lvl w:ilvl="0">
      <w:lvlJc w:val="left"/>
      <w:lvlText w:val="(%1)"/>
      <w:numFmt w:val="lowerLetter"/>
      <w:start w:val="24"/>
    </w:lvl>
  </w:abstractNum>
  <w:abstractNum w:abstractNumId="38">
    <w:nsid w:val="354FE9F9"/>
    <w:multiLevelType w:val="hybridMultilevel"/>
    <w:lvl w:ilvl="0">
      <w:lvlJc w:val="left"/>
      <w:lvlText w:val="(%1)"/>
      <w:numFmt w:val="lowerLetter"/>
      <w:start w:val="27"/>
    </w:lvl>
  </w:abstractNum>
  <w:abstractNum w:abstractNumId="39">
    <w:nsid w:val="15B5AF5C"/>
    <w:multiLevelType w:val="hybridMultilevel"/>
    <w:lvl w:ilvl="0">
      <w:lvlJc w:val="left"/>
      <w:lvlText w:val="(%1)"/>
      <w:numFmt w:val="lowerLetter"/>
      <w:start w:val="34"/>
    </w:lvl>
  </w:abstractNum>
  <w:abstractNum w:abstractNumId="40">
    <w:nsid w:val="741226BB"/>
    <w:multiLevelType w:val="hybridMultilevel"/>
    <w:lvl w:ilvl="0">
      <w:lvlJc w:val="left"/>
      <w:lvlText w:val="%1"/>
      <w:numFmt w:val="decimal"/>
      <w:start w:val="1"/>
    </w:lvl>
    <w:lvl w:ilvl="1">
      <w:lvlJc w:val="left"/>
      <w:lvlText w:val="(%2)"/>
      <w:numFmt w:val="lowerLetter"/>
      <w:start w:val="44"/>
    </w:lvl>
    <w:lvl w:ilvl="2">
      <w:lvlJc w:val="left"/>
      <w:lvlText w:val="%3"/>
      <w:numFmt w:val="lowerLetter"/>
      <w:start w:val="1"/>
    </w:lvl>
  </w:abstractNum>
  <w:abstractNum w:abstractNumId="41">
    <w:nsid w:val="D34B6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2">
    <w:nsid w:val="10233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3">
    <w:nsid w:val="3F6AB60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4">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4"/>
    </w:lvl>
  </w:abstractNum>
  <w:abstractNum w:abstractNumId="45">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lvl w:ilvl="4">
      <w:lvlJc w:val="left"/>
      <w:lvlText w:val="%5"/>
      <w:numFmt w:val="lowerRoman"/>
      <w:start w:val="1"/>
    </w:lvl>
  </w:abstractNum>
  <w:abstractNum w:abstractNumId="46">
    <w:nsid w:val="77AE35E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47">
    <w:nsid w:val="579BE4F1"/>
    <w:multiLevelType w:val="hybridMultilevel"/>
    <w:lvl w:ilvl="0">
      <w:lvlJc w:val="left"/>
      <w:lvlText w:val="(%1)"/>
      <w:numFmt w:val="lowerLetter"/>
      <w:start w:val="24"/>
    </w:lvl>
    <w:lvl w:ilvl="1">
      <w:lvlJc w:val="left"/>
      <w:lvlText w:val="%2."/>
      <w:numFmt w:val="decimal"/>
      <w:start w:val="6"/>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48">
    <w:nsid w:val="310C50B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9">
    <w:nsid w:val="5FF87E05"/>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50">
    <w:nsid w:val="2F305D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25A70BF7"/>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52">
    <w:nsid w:val="1DBABF00"/>
    <w:multiLevelType w:val="hybridMultilevel"/>
    <w:lvl w:ilvl="0">
      <w:lvlJc w:val="left"/>
      <w:lvlText w:val="%1"/>
      <w:numFmt w:val="lowerLetter"/>
      <w:start w:val="1"/>
    </w:lvl>
    <w:lvl w:ilvl="1">
      <w:lvlJc w:val="left"/>
      <w:lvlText w:val="(%2)"/>
      <w:numFmt w:val="lowerRoman"/>
      <w:start w:val="2"/>
    </w:lvl>
  </w:abstractNum>
  <w:abstractNum w:abstractNumId="53">
    <w:nsid w:val="4AD084E9"/>
    <w:multiLevelType w:val="hybridMultilevel"/>
    <w:lvl w:ilvl="0">
      <w:lvlJc w:val="left"/>
      <w:lvlText w:val="(%1)"/>
      <w:numFmt w:val="lowerLetter"/>
      <w:start w:val="4"/>
    </w:lvl>
    <w:lvl w:ilvl="1">
      <w:lvlJc w:val="left"/>
      <w:lvlText w:val="(%2)"/>
      <w:numFmt w:val="lowerRoman"/>
      <w:start w:val="1"/>
    </w:lvl>
  </w:abstractNum>
  <w:abstractNum w:abstractNumId="54">
    <w:nsid w:val="1F48EAA1"/>
    <w:multiLevelType w:val="hybridMultilevel"/>
    <w:lvl w:ilvl="0">
      <w:lvlJc w:val="left"/>
      <w:lvlText w:val="%1"/>
      <w:numFmt w:val="lowerLetter"/>
      <w:start w:val="1"/>
    </w:lvl>
    <w:lvl w:ilvl="1">
      <w:lvlJc w:val="left"/>
      <w:lvlText w:val="(%2)"/>
      <w:numFmt w:val="lowerRoman"/>
      <w:start w:val="3"/>
    </w:lvl>
  </w:abstractNum>
  <w:abstractNum w:abstractNumId="55">
    <w:nsid w:val="1381823A"/>
    <w:multiLevelType w:val="hybridMultilevel"/>
    <w:lvl w:ilvl="0">
      <w:lvlJc w:val="left"/>
      <w:lvlText w:val="(%1)"/>
      <w:numFmt w:val="lowerLetter"/>
      <w:start w:val="5"/>
    </w:lvl>
    <w:lvl w:ilvl="1">
      <w:lvlJc w:val="left"/>
      <w:lvlText w:val="(%2)"/>
      <w:numFmt w:val="lowerRoman"/>
      <w:start w:val="1"/>
    </w:lvl>
  </w:abstractNum>
  <w:abstractNum w:abstractNumId="56">
    <w:nsid w:val="5DB70AE5"/>
    <w:multiLevelType w:val="hybridMultilevel"/>
    <w:lvl w:ilvl="0">
      <w:lvlJc w:val="left"/>
      <w:lvlText w:val="(%1)"/>
      <w:numFmt w:val="lowerLetter"/>
      <w:start w:val="6"/>
    </w:lvl>
  </w:abstractNum>
  <w:abstractNum w:abstractNumId="57">
    <w:nsid w:val="100F8FCA"/>
    <w:multiLevelType w:val="hybridMultilevel"/>
    <w:lvl w:ilvl="0">
      <w:lvlJc w:val="left"/>
      <w:lvlText w:val="%1"/>
      <w:numFmt w:val="decimal"/>
      <w:start w:val="1"/>
    </w:lvl>
    <w:lvl w:ilvl="1">
      <w:lvlJc w:val="left"/>
      <w:lvlText w:val="(%2)"/>
      <w:numFmt w:val="lowerLetter"/>
      <w:start w:val="9"/>
    </w:lvl>
  </w:abstractNum>
  <w:abstractNum w:abstractNumId="58">
    <w:nsid w:val="6590700B"/>
    <w:multiLevelType w:val="hybridMultilevel"/>
    <w:lvl w:ilvl="0">
      <w:lvlJc w:val="left"/>
      <w:lvlText w:val="%1."/>
      <w:numFmt w:val="decimal"/>
      <w:start w:val="7"/>
    </w:lvl>
    <w:lvl w:ilvl="1">
      <w:lvlJc w:val="left"/>
      <w:lvlText w:val="(%2)"/>
      <w:numFmt w:val="lowerLetter"/>
      <w:start w:val="1"/>
    </w:lvl>
  </w:abstractNum>
  <w:abstractNum w:abstractNumId="59">
    <w:nsid w:val="15014ACB"/>
    <w:multiLevelType w:val="hybridMultilevel"/>
    <w:lvl w:ilvl="0">
      <w:lvlJc w:val="left"/>
      <w:lvlText w:val="(%1)"/>
      <w:numFmt w:val="lowerLetter"/>
      <w:start w:val="4"/>
    </w:lvl>
  </w:abstractNum>
  <w:abstractNum w:abstractNumId="60">
    <w:nsid w:val="5F5E7FD0"/>
    <w:multiLevelType w:val="hybridMultilevel"/>
    <w:lvl w:ilvl="0">
      <w:lvlJc w:val="left"/>
      <w:lvlText w:val="(%1)"/>
      <w:numFmt w:val="lowerRoman"/>
      <w:start w:val="1"/>
    </w:lvl>
    <w:lvl w:ilvl="1">
      <w:lvlJc w:val="left"/>
      <w:lvlText w:val="(%2)"/>
      <w:numFmt w:val="upperLetter"/>
      <w:start w:val="1"/>
    </w:lvl>
  </w:abstractNum>
  <w:abstractNum w:abstractNumId="61">
    <w:nsid w:val="98A3148"/>
    <w:multiLevelType w:val="hybridMultilevel"/>
    <w:lvl w:ilvl="0">
      <w:lvlJc w:val="left"/>
      <w:lvlText w:val="(%1)"/>
      <w:numFmt w:val="upperLetter"/>
      <w:start w:val="2"/>
    </w:lvl>
  </w:abstractNum>
  <w:abstractNum w:abstractNumId="62">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3">
    <w:nsid w:val="6B9476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4">
    <w:nsid w:val="42C296BD"/>
    <w:multiLevelType w:val="hybridMultilevel"/>
    <w:lvl w:ilvl="0">
      <w:lvlJc w:val="left"/>
      <w:lvlText w:val="(%1)"/>
      <w:numFmt w:val="lowerLetter"/>
      <w:start w:val="3"/>
    </w:lvl>
  </w:abstractNum>
  <w:abstractNum w:abstractNumId="65">
    <w:nsid w:val="168E121F"/>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66">
    <w:nsid w:val="1EBA5D23"/>
    <w:multiLevelType w:val="hybridMultilevel"/>
    <w:lvl w:ilvl="0">
      <w:lvlJc w:val="left"/>
      <w:lvlText w:val="(%1)"/>
      <w:numFmt w:val="lowerLetter"/>
      <w:start w:val="26"/>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67">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8">
    <w:nsid w:val="5DC79E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9">
    <w:nsid w:val="540A471C"/>
    <w:multiLevelType w:val="hybridMultilevel"/>
    <w:lvl w:ilvl="0">
      <w:lvlJc w:val="left"/>
      <w:lvlText w:val="(%1)"/>
      <w:numFmt w:val="lowerLetter"/>
      <w:start w:val="2"/>
    </w:lvl>
    <w:lvl w:ilvl="1">
      <w:lvlJc w:val="left"/>
      <w:lvlText w:val="(%2)"/>
      <w:numFmt w:val="lowerLetter"/>
      <w:start w:val="9"/>
    </w:lvl>
  </w:abstractNum>
  <w:abstractNum w:abstractNumId="70">
    <w:nsid w:val="7BD3EE7B"/>
    <w:multiLevelType w:val="hybridMultilevel"/>
    <w:lvl w:ilvl="0">
      <w:lvlJc w:val="left"/>
      <w:lvlText w:val="(%1)"/>
      <w:numFmt w:val="lowerRoman"/>
      <w:start w:val="2"/>
    </w:lvl>
    <w:lvl w:ilvl="1">
      <w:lvlJc w:val="left"/>
      <w:lvlText w:val="(%2)"/>
      <w:numFmt w:val="upperLetter"/>
      <w:start w:val="1"/>
    </w:lvl>
  </w:abstractNum>
  <w:abstractNum w:abstractNumId="71">
    <w:nsid w:val="51D9C564"/>
    <w:multiLevelType w:val="hybridMultilevel"/>
    <w:lvl w:ilvl="0">
      <w:lvlJc w:val="left"/>
      <w:lvlText w:val="(%1)"/>
      <w:numFmt w:val="lowerLetter"/>
      <w:start w:val="4"/>
    </w:lvl>
  </w:abstractNum>
  <w:abstractNum w:abstractNumId="72">
    <w:nsid w:val="613EFDC5"/>
    <w:multiLevelType w:val="hybridMultilevel"/>
    <w:lvl w:ilvl="0">
      <w:lvlJc w:val="left"/>
      <w:lvlText w:val="(%1)"/>
      <w:numFmt w:val="lowerLetter"/>
      <w:start w:val="7"/>
    </w:lvl>
  </w:abstractNum>
  <w:abstractNum w:abstractNumId="73">
    <w:nsid w:val="BF72B14"/>
    <w:multiLevelType w:val="hybridMultilevel"/>
    <w:lvl w:ilvl="0">
      <w:lvlJc w:val="left"/>
      <w:lvlText w:val="(%1)"/>
      <w:numFmt w:val="lowerLetter"/>
      <w:start w:val="1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2019-12-06T00:22:45Z</dcterms:created>
  <dcterms:modified xsi:type="dcterms:W3CDTF">2019-12-06T00:22:45Z</dcterms:modified>
</cp:coreProperties>
</file>