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HOLTZMAN SEYMOUR</w:t>
              </w:r>
            </w:hyperlink>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CASUAL MALE RETAIL GROUP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4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CMRG </w:t>
            </w:r>
            <w:r>
              <w:rPr>
                <w:rFonts w:ascii="Arial" w:cs="Arial" w:eastAsia="Arial" w:hAnsi="Arial"/>
                <w:sz w:val="21"/>
                <w:szCs w:val="21"/>
                <w:color w:val="000000"/>
              </w:rPr>
              <w:t>]</w:t>
            </w:r>
          </w:p>
        </w:tc>
        <w:tc>
          <w:tcPr>
            <w:tcW w:w="3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40" w:type="dxa"/>
            <w:vAlign w:val="bottom"/>
            <w:tcBorders>
              <w:top w:val="single" w:sz="8" w:color="0000EE"/>
            </w:tcBorders>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62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360" w:type="dxa"/>
            <w:vAlign w:val="bottom"/>
          </w:tcPr>
          <w:p>
            <w:pPr>
              <w:ind w:left="1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440" w:type="dxa"/>
            <w:vAlign w:val="bottom"/>
            <w:gridSpan w:val="3"/>
          </w:tcPr>
          <w:p>
            <w:pPr>
              <w:spacing w:after="0"/>
              <w:rPr>
                <w:sz w:val="20"/>
                <w:szCs w:val="20"/>
                <w:color w:val="auto"/>
              </w:rPr>
            </w:pPr>
            <w:r>
              <w:rPr>
                <w:rFonts w:ascii="Arial" w:cs="Arial" w:eastAsia="Arial" w:hAnsi="Arial"/>
                <w:sz w:val="18"/>
                <w:szCs w:val="18"/>
                <w:color w:val="0000FF"/>
                <w:w w:val="95"/>
              </w:rPr>
              <w:t>C/O JEWELCOR - 4TH FLOOR</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Arial" w:cs="Arial" w:eastAsia="Arial" w:hAnsi="Arial"/>
                <w:sz w:val="18"/>
                <w:szCs w:val="18"/>
                <w:color w:val="0000FF"/>
              </w:rPr>
              <w:t>100 N WILKES BARRE BLVD</w:t>
            </w:r>
          </w:p>
        </w:tc>
        <w:tc>
          <w:tcPr>
            <w:tcW w:w="1360" w:type="dxa"/>
            <w:vAlign w:val="bottom"/>
          </w:tcPr>
          <w:p>
            <w:pPr>
              <w:spacing w:after="0"/>
              <w:rPr>
                <w:sz w:val="19"/>
                <w:szCs w:val="19"/>
                <w:color w:val="auto"/>
              </w:rPr>
            </w:pPr>
          </w:p>
        </w:tc>
        <w:tc>
          <w:tcPr>
            <w:tcW w:w="3700" w:type="dxa"/>
            <w:vAlign w:val="bottom"/>
            <w:gridSpan w:val="3"/>
          </w:tcPr>
          <w:p>
            <w:pPr>
              <w:ind w:left="160"/>
              <w:spacing w:after="0"/>
              <w:rPr>
                <w:sz w:val="20"/>
                <w:szCs w:val="20"/>
                <w:color w:val="auto"/>
              </w:rPr>
            </w:pPr>
            <w:r>
              <w:rPr>
                <w:rFonts w:ascii="Arial" w:cs="Arial" w:eastAsia="Arial" w:hAnsi="Arial"/>
                <w:sz w:val="18"/>
                <w:szCs w:val="18"/>
                <w:color w:val="0000FF"/>
              </w:rPr>
              <w:t>11/18/2005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440" w:type="dxa"/>
            <w:vAlign w:val="bottom"/>
            <w:gridSpan w:val="3"/>
            <w:vMerge w:val="continue"/>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9A9A9A"/>
            </w:tcBorders>
          </w:tcPr>
          <w:p>
            <w:pPr>
              <w:spacing w:after="0"/>
              <w:rPr>
                <w:sz w:val="12"/>
                <w:szCs w:val="12"/>
                <w:color w:val="auto"/>
              </w:rPr>
            </w:pPr>
          </w:p>
        </w:tc>
        <w:tc>
          <w:tcPr>
            <w:tcW w:w="820" w:type="dxa"/>
            <w:vAlign w:val="bottom"/>
            <w:tcBorders>
              <w:top w:val="single" w:sz="8" w:color="9A9A9A"/>
            </w:tcBorders>
          </w:tcPr>
          <w:p>
            <w:pPr>
              <w:spacing w:after="0"/>
              <w:rPr>
                <w:sz w:val="12"/>
                <w:szCs w:val="12"/>
                <w:color w:val="auto"/>
              </w:rPr>
            </w:pPr>
          </w:p>
        </w:tc>
        <w:tc>
          <w:tcPr>
            <w:tcW w:w="1020" w:type="dxa"/>
            <w:vAlign w:val="bottom"/>
            <w:tcBorders>
              <w:top w:val="single" w:sz="8" w:color="9A9A9A"/>
            </w:tcBorders>
          </w:tcPr>
          <w:p>
            <w:pPr>
              <w:spacing w:after="0"/>
              <w:rPr>
                <w:sz w:val="12"/>
                <w:szCs w:val="12"/>
                <w:color w:val="auto"/>
              </w:rPr>
            </w:pPr>
          </w:p>
        </w:tc>
        <w:tc>
          <w:tcPr>
            <w:tcW w:w="120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900" w:type="dxa"/>
            <w:vAlign w:val="bottom"/>
            <w:gridSpan w:val="8"/>
          </w:tcPr>
          <w:p>
            <w:pPr>
              <w:ind w:left="160"/>
              <w:spacing w:after="0" w:line="149"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0000FF"/>
                <w:w w:val="99"/>
              </w:rPr>
              <w:t>WILKES</w:t>
            </w:r>
          </w:p>
        </w:tc>
        <w:tc>
          <w:tcPr>
            <w:tcW w:w="820" w:type="dxa"/>
            <w:vAlign w:val="bottom"/>
            <w:vMerge w:val="restart"/>
          </w:tcPr>
          <w:p>
            <w:pPr>
              <w:ind w:left="580"/>
              <w:spacing w:after="0"/>
              <w:rPr>
                <w:sz w:val="20"/>
                <w:szCs w:val="20"/>
                <w:color w:val="auto"/>
              </w:rPr>
            </w:pPr>
            <w:r>
              <w:rPr>
                <w:rFonts w:ascii="Arial" w:cs="Arial" w:eastAsia="Arial" w:hAnsi="Arial"/>
                <w:sz w:val="18"/>
                <w:szCs w:val="18"/>
                <w:color w:val="0000FF"/>
                <w:w w:val="91"/>
              </w:rPr>
              <w:t>PA</w:t>
            </w:r>
          </w:p>
        </w:tc>
        <w:tc>
          <w:tcPr>
            <w:tcW w:w="1020" w:type="dxa"/>
            <w:vAlign w:val="bottom"/>
          </w:tcPr>
          <w:p>
            <w:pPr>
              <w:spacing w:after="0"/>
              <w:rPr>
                <w:sz w:val="20"/>
                <w:szCs w:val="20"/>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18702</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8"/>
                <w:szCs w:val="18"/>
                <w:color w:val="0000FF"/>
              </w:rPr>
              <w:t>BARRE</w:t>
            </w:r>
          </w:p>
        </w:tc>
        <w:tc>
          <w:tcPr>
            <w:tcW w:w="8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(City)</w:t>
            </w:r>
          </w:p>
        </w:tc>
        <w:tc>
          <w:tcPr>
            <w:tcW w:w="1840" w:type="dxa"/>
            <w:vAlign w:val="bottom"/>
            <w:gridSpan w:val="2"/>
          </w:tcPr>
          <w:p>
            <w:pPr>
              <w:ind w:left="58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40" w:type="dxa"/>
            <w:vAlign w:val="bottom"/>
            <w:tcBorders>
              <w:bottom w:val="single" w:sz="8" w:color="2C2C2C"/>
            </w:tcBorders>
            <w:gridSpan w:val="5"/>
          </w:tcPr>
          <w:p>
            <w:pPr>
              <w:spacing w:after="0"/>
              <w:rPr>
                <w:sz w:val="11"/>
                <w:szCs w:val="11"/>
                <w:color w:val="auto"/>
              </w:rPr>
            </w:pPr>
          </w:p>
        </w:tc>
        <w:tc>
          <w:tcPr>
            <w:tcW w:w="256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40"/>
              <w:spacing w:after="0"/>
              <w:rPr>
                <w:sz w:val="20"/>
                <w:szCs w:val="20"/>
                <w:color w:val="auto"/>
              </w:rPr>
            </w:pPr>
            <w:r>
              <w:rPr>
                <w:rFonts w:ascii="Arial" w:cs="Arial" w:eastAsia="Arial" w:hAnsi="Arial"/>
                <w:sz w:val="18"/>
                <w:szCs w:val="18"/>
                <w:color w:val="0000FF"/>
              </w:rPr>
              <w:t>11/18/2005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1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3,943,214</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5.97</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3,955,979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2"/>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3,943,214 shares of common stock of the Issuer that are the subject of this Form 4 (the "Shares") were previously reported as beneficially owned by the Reporting Person indirectly through Jewelcor Management, Inc., a corporation of which the Reporting Person is a controlling shareholder ("Jewelcor"). This Form 4 reports the change in the form of beneficial ownership of the Shares which occurred pursuant to the November 18, 2005 acquisition of direct ownership by the Reporting Person of such Shares from Jewelcor.</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Seymour Holtzman</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11/22/2005</w:t>
            </w:r>
          </w:p>
        </w:tc>
      </w:tr>
      <w:tr>
        <w:trPr>
          <w:trHeight w:val="20"/>
        </w:trPr>
        <w:tc>
          <w:tcPr>
            <w:tcW w:w="1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44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2019-12-16T10:03:45Z</dcterms:created>
  <dcterms:modified xsi:type="dcterms:W3CDTF">2019-12-16T10:03:45Z</dcterms:modified>
</cp:coreProperties>
</file>