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w:t>
      </w:r>
      <w:r>
        <w:rPr>
          <w:rFonts w:ascii="Times New Roman" w:cs="Times New Roman" w:eastAsia="Times New Roman" w:hAnsi="Times New Roman"/>
          <w:sz w:val="22"/>
          <w:szCs w:val="22"/>
          <w:b w:val="1"/>
          <w:bCs w:val="1"/>
          <w:u w:val="single" w:color="auto"/>
          <w:color w:val="auto"/>
        </w:rPr>
        <w:t>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pacing w:after="0" w:line="18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December 31,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720" w:firstLine="8"/>
        <w:spacing w:after="0" w:line="456" w:lineRule="auto"/>
        <w:tabs>
          <w:tab w:leader="none" w:pos="40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 [ ] Rule 13d-1(d)</w:t>
      </w:r>
    </w:p>
    <w:p>
      <w:pPr>
        <w:spacing w:after="0" w:line="1"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No. 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940" w:hanging="547"/>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1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w:t>
      </w:r>
    </w:p>
    <w:p>
      <w:pPr>
        <w:spacing w:after="0" w:line="18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2"/>
          <w:szCs w:val="22"/>
          <w:color w:val="auto"/>
        </w:rPr>
        <w:t>Dimensional Fund Advisors Inc.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940" w:hanging="547"/>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06" w:lineRule="exact"/>
        <w:rPr>
          <w:rFonts w:ascii="Times New Roman" w:cs="Times New Roman" w:eastAsia="Times New Roman" w:hAnsi="Times New Roman"/>
          <w:sz w:val="22"/>
          <w:szCs w:val="22"/>
          <w:color w:val="auto"/>
        </w:rPr>
      </w:pPr>
    </w:p>
    <w:p>
      <w:pPr>
        <w:spacing w:after="0"/>
        <w:tabs>
          <w:tab w:leader="none" w:pos="0" w:val="left"/>
        </w:tabs>
        <w:numPr>
          <w:ilvl w:val="1"/>
          <w:numId w:val="3"/>
        </w:numPr>
        <w:rPr>
          <w:rFonts w:ascii="Times New Roman" w:cs="Times New Roman" w:eastAsia="Times New Roman" w:hAnsi="Times New Roman"/>
          <w:sz w:val="22"/>
          <w:szCs w:val="22"/>
          <w:color w:val="auto"/>
        </w:rPr>
      </w:pPr>
    </w:p>
    <w:p>
      <w:pPr>
        <w:spacing w:after="0" w:line="206" w:lineRule="exact"/>
        <w:rPr>
          <w:rFonts w:ascii="Times New Roman" w:cs="Times New Roman" w:eastAsia="Times New Roman" w:hAnsi="Times New Roman"/>
          <w:sz w:val="22"/>
          <w:szCs w:val="22"/>
          <w:color w:val="auto"/>
        </w:rPr>
      </w:pPr>
    </w:p>
    <w:p>
      <w:pPr>
        <w:ind w:left="2020" w:hanging="1080"/>
        <w:spacing w:after="0"/>
        <w:tabs>
          <w:tab w:leader="none" w:pos="202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left="940" w:hanging="547"/>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left="940" w:hanging="547"/>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-931545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2"/>
          <w:szCs w:val="22"/>
          <w:color w:val="auto"/>
        </w:rPr>
        <w:t>Delaware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68" w:orient="portrait"/>
          <w:cols w:equalWidth="0" w:num="1">
            <w:col w:w="11360"/>
          </w:cols>
          <w:pgMar w:left="240" w:top="216"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2000"/>
        <w:spacing w:after="0"/>
        <w:tabs>
          <w:tab w:leader="none" w:pos="3480" w:val="left"/>
        </w:tabs>
        <w:rPr>
          <w:sz w:val="20"/>
          <w:szCs w:val="20"/>
          <w:color w:val="auto"/>
        </w:rPr>
      </w:pPr>
      <w:r>
        <w:rPr>
          <w:rFonts w:ascii="Times New Roman" w:cs="Times New Roman" w:eastAsia="Times New Roman" w:hAnsi="Times New Roman"/>
          <w:sz w:val="21"/>
          <w:szCs w:val="21"/>
          <w:color w:val="auto"/>
        </w:rPr>
        <w:t>5.</w:t>
      </w:r>
      <w:r>
        <w:rPr>
          <w:sz w:val="20"/>
          <w:szCs w:val="20"/>
          <w:color w:val="auto"/>
        </w:rPr>
        <w:tab/>
      </w:r>
      <w:r>
        <w:rPr>
          <w:rFonts w:ascii="Times New Roman" w:cs="Times New Roman" w:eastAsia="Times New Roman" w:hAnsi="Times New Roman"/>
          <w:sz w:val="21"/>
          <w:szCs w:val="21"/>
          <w:color w:val="auto"/>
        </w:rPr>
        <w:t>Sole Voting Power</w:t>
      </w:r>
    </w:p>
    <w:p>
      <w:pPr>
        <w:sectPr>
          <w:pgSz w:w="11900" w:h="16868" w:orient="portrait"/>
          <w:cols w:equalWidth="0" w:num="1">
            <w:col w:w="11360"/>
          </w:cols>
          <w:pgMar w:left="240" w:top="216" w:right="2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1131500  **see Note 1**</w:t>
            </w:r>
          </w:p>
        </w:tc>
        <w:tc>
          <w:tcPr>
            <w:tcW w:w="0" w:type="dxa"/>
            <w:vAlign w:val="bottom"/>
          </w:tcPr>
          <w:p>
            <w:pPr>
              <w:spacing w:after="0"/>
              <w:rPr>
                <w:sz w:val="1"/>
                <w:szCs w:val="1"/>
                <w:color w:val="auto"/>
              </w:rPr>
            </w:pPr>
          </w:p>
        </w:tc>
      </w:tr>
      <w:tr>
        <w:trPr>
          <w:trHeight w:val="231"/>
        </w:trPr>
        <w:tc>
          <w:tcPr>
            <w:tcW w:w="15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6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5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3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22"/>
                <w:szCs w:val="22"/>
                <w:color w:val="auto"/>
              </w:rPr>
              <w:t>6.</w:t>
            </w:r>
          </w:p>
        </w:tc>
        <w:tc>
          <w:tcPr>
            <w:tcW w:w="8600" w:type="dxa"/>
            <w:vAlign w:val="bottom"/>
            <w:vMerge w:val="restart"/>
          </w:tcPr>
          <w:p>
            <w:pPr>
              <w:ind w:left="6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88"/>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1300" w:type="dxa"/>
            <w:vAlign w:val="bottom"/>
            <w:gridSpan w:val="2"/>
            <w:vMerge w:val="continue"/>
          </w:tcPr>
          <w:p>
            <w:pPr>
              <w:spacing w:after="0"/>
              <w:rPr>
                <w:sz w:val="16"/>
                <w:szCs w:val="16"/>
                <w:color w:val="auto"/>
              </w:rPr>
            </w:pPr>
          </w:p>
        </w:tc>
        <w:tc>
          <w:tcPr>
            <w:tcW w:w="8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5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0" w:type="dxa"/>
            <w:vAlign w:val="bottom"/>
            <w:vMerge w:val="restart"/>
          </w:tcPr>
          <w:p>
            <w:pPr>
              <w:ind w:left="14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4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73"/>
        </w:trPr>
        <w:tc>
          <w:tcPr>
            <w:tcW w:w="154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22"/>
                <w:szCs w:val="22"/>
                <w:color w:val="auto"/>
              </w:rPr>
              <w:t>7.</w:t>
            </w:r>
          </w:p>
        </w:tc>
        <w:tc>
          <w:tcPr>
            <w:tcW w:w="8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459"/>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1131500  **see Note 1**</w:t>
            </w:r>
          </w:p>
        </w:tc>
        <w:tc>
          <w:tcPr>
            <w:tcW w:w="0" w:type="dxa"/>
            <w:vAlign w:val="bottom"/>
          </w:tcPr>
          <w:p>
            <w:pPr>
              <w:spacing w:after="0"/>
              <w:rPr>
                <w:sz w:val="1"/>
                <w:szCs w:val="1"/>
                <w:color w:val="auto"/>
              </w:rPr>
            </w:pPr>
          </w:p>
        </w:tc>
      </w:tr>
      <w:tr>
        <w:trPr>
          <w:trHeight w:val="312"/>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3"/>
        </w:trPr>
        <w:tc>
          <w:tcPr>
            <w:tcW w:w="154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22"/>
                <w:szCs w:val="22"/>
                <w:color w:val="auto"/>
              </w:rPr>
              <w:t>8.</w:t>
            </w:r>
          </w:p>
        </w:tc>
        <w:tc>
          <w:tcPr>
            <w:tcW w:w="8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59"/>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960" w:right="4620" w:hanging="1506"/>
        <w:spacing w:after="0" w:line="463" w:lineRule="auto"/>
        <w:tabs>
          <w:tab w:leader="none" w:pos="10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1131500 **see Note 1**</w:t>
      </w:r>
    </w:p>
    <w:p>
      <w:pPr>
        <w:spacing w:after="0" w:line="387" w:lineRule="exact"/>
        <w:rPr>
          <w:rFonts w:ascii="Times New Roman" w:cs="Times New Roman" w:eastAsia="Times New Roman" w:hAnsi="Times New Roman"/>
          <w:sz w:val="22"/>
          <w:szCs w:val="22"/>
          <w:color w:val="auto"/>
        </w:rPr>
      </w:pPr>
    </w:p>
    <w:p>
      <w:pPr>
        <w:ind w:left="1960" w:right="2740" w:hanging="1500"/>
        <w:spacing w:after="0" w:line="463" w:lineRule="auto"/>
        <w:tabs>
          <w:tab w:leader="none" w:pos="117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-815975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8" w:lineRule="exact"/>
        <w:rPr>
          <w:sz w:val="20"/>
          <w:szCs w:val="20"/>
          <w:color w:val="auto"/>
        </w:rPr>
      </w:pPr>
    </w:p>
    <w:p>
      <w:pPr>
        <w:ind w:left="1960" w:right="5700" w:hanging="1496"/>
        <w:spacing w:after="0" w:line="463" w:lineRule="auto"/>
        <w:tabs>
          <w:tab w:leader="none" w:pos="117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3.24</w:t>
      </w:r>
    </w:p>
    <w:p>
      <w:pPr>
        <w:spacing w:after="0" w:line="387" w:lineRule="exact"/>
        <w:rPr>
          <w:rFonts w:ascii="Times New Roman" w:cs="Times New Roman" w:eastAsia="Times New Roman" w:hAnsi="Times New Roman"/>
          <w:sz w:val="22"/>
          <w:szCs w:val="22"/>
          <w:color w:val="auto"/>
        </w:rPr>
      </w:pPr>
    </w:p>
    <w:p>
      <w:pPr>
        <w:ind w:left="1180" w:hanging="720"/>
        <w:spacing w:after="0"/>
        <w:tabs>
          <w:tab w:leader="none" w:pos="11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06" w:lineRule="exact"/>
        <w:rPr>
          <w:sz w:val="20"/>
          <w:szCs w:val="20"/>
          <w:color w:val="auto"/>
        </w:rPr>
      </w:pPr>
    </w:p>
    <w:p>
      <w:pPr>
        <w:ind w:left="1960" w:hanging="777"/>
        <w:spacing w:after="0"/>
        <w:tabs>
          <w:tab w:leader="none" w:pos="1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20" w:right="5380" w:hanging="1637"/>
        <w:spacing w:after="0" w:line="497" w:lineRule="auto"/>
        <w:tabs>
          <w:tab w:leader="none" w:pos="196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66 B St, Needham, MA 02494-2702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206" w:lineRule="exact"/>
        <w:rPr>
          <w:sz w:val="20"/>
          <w:szCs w:val="20"/>
          <w:color w:val="auto"/>
        </w:rPr>
      </w:pPr>
    </w:p>
    <w:p>
      <w:pPr>
        <w:ind w:left="1960" w:hanging="777"/>
        <w:spacing w:after="0"/>
        <w:tabs>
          <w:tab w:leader="none" w:pos="1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0" w:hanging="777"/>
        <w:spacing w:after="0"/>
        <w:tabs>
          <w:tab w:leader="none" w:pos="1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0" w:hanging="777"/>
        <w:spacing w:after="0"/>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440"/>
          </w:cols>
          <w:pgMar w:left="240" w:top="328" w:right="219" w:bottom="0" w:gutter="0" w:footer="0" w:header="0"/>
        </w:sectPr>
      </w:pPr>
    </w:p>
    <w:bookmarkStart w:id="2" w:name="page3"/>
    <w:bookmarkEnd w:id="2"/>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Delaware Corporation</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w:t>
            </w:r>
          </w:p>
        </w:tc>
        <w:tc>
          <w:tcPr>
            <w:tcW w:w="9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Title of Class of Securities</w:t>
            </w:r>
          </w:p>
        </w:tc>
      </w:tr>
      <w:tr>
        <w:trPr>
          <w:trHeight w:val="459"/>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w:t>
            </w:r>
          </w:p>
        </w:tc>
        <w:tc>
          <w:tcPr>
            <w:tcW w:w="9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CUSIP Number</w:t>
            </w:r>
          </w:p>
        </w:tc>
      </w:tr>
      <w:tr>
        <w:trPr>
          <w:trHeight w:val="459"/>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148711104</w:t>
            </w:r>
          </w:p>
        </w:tc>
      </w:tr>
      <w:tr>
        <w:trPr>
          <w:trHeight w:val="675"/>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10360" w:type="dxa"/>
            <w:vAlign w:val="bottom"/>
            <w:gridSpan w:val="4"/>
          </w:tcPr>
          <w:p>
            <w:pPr>
              <w:ind w:left="280"/>
              <w:spacing w:after="0"/>
              <w:rPr>
                <w:sz w:val="20"/>
                <w:szCs w:val="20"/>
                <w:color w:val="auto"/>
              </w:rPr>
            </w:pPr>
            <w:r>
              <w:rPr>
                <w:rFonts w:ascii="Times New Roman" w:cs="Times New Roman" w:eastAsia="Times New Roman" w:hAnsi="Times New Roman"/>
                <w:sz w:val="22"/>
                <w:szCs w:val="22"/>
                <w:color w:val="auto"/>
              </w:rPr>
              <w:t>If this statement is filed pursuant to §§240.13d-1(b) or 240.13d-2(b) or (c), check whether the person filing is a:</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w:t>
            </w:r>
          </w:p>
        </w:tc>
        <w:tc>
          <w:tcPr>
            <w:tcW w:w="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1"/>
              </w:rPr>
              <w:t>]</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(b)</w:t>
            </w:r>
          </w:p>
        </w:tc>
        <w:tc>
          <w:tcPr>
            <w:tcW w:w="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1"/>
              </w:rPr>
              <w:t>]</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w:t>
            </w:r>
          </w:p>
        </w:tc>
        <w:tc>
          <w:tcPr>
            <w:tcW w:w="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1"/>
              </w:rPr>
              <w:t>]</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420"/>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w:t>
            </w:r>
          </w:p>
        </w:tc>
        <w:tc>
          <w:tcPr>
            <w:tcW w:w="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1"/>
              </w:rPr>
              <w:t>]</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3"/>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U.S.C. 80a-8).</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[X]</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An investment adviser in accordance with §240.13d-1(b)(1)(ii)(E);</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w:t>
            </w:r>
          </w:p>
        </w:tc>
        <w:tc>
          <w:tcPr>
            <w:tcW w:w="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1"/>
              </w:rPr>
              <w:t>]</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§240.13d-1(b)(1)(ii)(F);</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w:t>
            </w:r>
          </w:p>
        </w:tc>
        <w:tc>
          <w:tcPr>
            <w:tcW w:w="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1"/>
              </w:rPr>
              <w:t>]</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tc>
      </w:tr>
      <w:tr>
        <w:trPr>
          <w:trHeight w:val="420"/>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(h)</w:t>
            </w:r>
          </w:p>
        </w:tc>
        <w:tc>
          <w:tcPr>
            <w:tcW w:w="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1"/>
              </w:rPr>
              <w:t>]</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7"/>
              </w:rPr>
              <w:t>A savings associations as defined in Section 3(b) of the Federal Deposit Insurance Act (12 U.S.C.</w:t>
            </w:r>
          </w:p>
        </w:tc>
      </w:tr>
      <w:tr>
        <w:trPr>
          <w:trHeight w:val="283"/>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1813);</w:t>
            </w:r>
          </w:p>
        </w:tc>
      </w:tr>
      <w:tr>
        <w:trPr>
          <w:trHeight w:val="420"/>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w:t>
            </w:r>
          </w:p>
        </w:tc>
        <w:tc>
          <w:tcPr>
            <w:tcW w:w="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1"/>
              </w:rPr>
              <w:t>]</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9"/>
              </w:rPr>
              <w:t>A church plan that is excluded from the definition of an investment company under section 3(c)</w:t>
            </w:r>
          </w:p>
        </w:tc>
      </w:tr>
      <w:tr>
        <w:trPr>
          <w:trHeight w:val="283"/>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(j)</w:t>
            </w:r>
          </w:p>
        </w:tc>
        <w:tc>
          <w:tcPr>
            <w:tcW w:w="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1"/>
              </w:rPr>
              <w:t>]</w:t>
            </w:r>
          </w:p>
        </w:tc>
        <w:tc>
          <w:tcPr>
            <w:tcW w:w="8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675"/>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w w:val="97"/>
              </w:rPr>
              <w:t>Ownership.</w:t>
            </w:r>
          </w:p>
        </w:tc>
        <w:tc>
          <w:tcPr>
            <w:tcW w:w="340" w:type="dxa"/>
            <w:vAlign w:val="bottom"/>
          </w:tcPr>
          <w:p>
            <w:pPr>
              <w:spacing w:after="0"/>
              <w:rPr>
                <w:sz w:val="24"/>
                <w:szCs w:val="24"/>
                <w:color w:val="auto"/>
              </w:rPr>
            </w:pPr>
          </w:p>
        </w:tc>
        <w:tc>
          <w:tcPr>
            <w:tcW w:w="8720" w:type="dxa"/>
            <w:vAlign w:val="bottom"/>
          </w:tcPr>
          <w:p>
            <w:pPr>
              <w:spacing w:after="0"/>
              <w:rPr>
                <w:sz w:val="24"/>
                <w:szCs w:val="24"/>
                <w:color w:val="auto"/>
              </w:rPr>
            </w:pPr>
          </w:p>
        </w:tc>
      </w:tr>
    </w:tbl>
    <w:p>
      <w:pPr>
        <w:spacing w:after="0" w:line="17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158" w:lineRule="exact"/>
        <w:rPr>
          <w:sz w:val="20"/>
          <w:szCs w:val="20"/>
          <w:color w:val="auto"/>
        </w:rPr>
      </w:pPr>
    </w:p>
    <w:p>
      <w:pPr>
        <w:ind w:left="2740" w:right="6300" w:hanging="1571"/>
        <w:spacing w:after="0" w:line="435" w:lineRule="auto"/>
        <w:tabs>
          <w:tab w:leader="none" w:pos="190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1131500 **see Note 1**</w:t>
      </w:r>
    </w:p>
    <w:p>
      <w:pPr>
        <w:spacing w:after="0" w:line="1" w:lineRule="exact"/>
        <w:rPr>
          <w:rFonts w:ascii="Times New Roman" w:cs="Times New Roman" w:eastAsia="Times New Roman" w:hAnsi="Times New Roman"/>
          <w:sz w:val="22"/>
          <w:szCs w:val="22"/>
          <w:color w:val="auto"/>
        </w:rPr>
      </w:pPr>
    </w:p>
    <w:p>
      <w:pPr>
        <w:ind w:left="1920" w:hanging="751"/>
        <w:spacing w:after="0"/>
        <w:tabs>
          <w:tab w:leader="none" w:pos="1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0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3.24</w:t>
      </w:r>
    </w:p>
    <w:p>
      <w:pPr>
        <w:spacing w:after="0" w:line="206" w:lineRule="exact"/>
        <w:rPr>
          <w:sz w:val="20"/>
          <w:szCs w:val="20"/>
          <w:color w:val="auto"/>
        </w:rPr>
      </w:pPr>
    </w:p>
    <w:p>
      <w:pPr>
        <w:ind w:left="1920" w:hanging="751"/>
        <w:spacing w:after="0"/>
        <w:tabs>
          <w:tab w:leader="none" w:pos="1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206" w:lineRule="exact"/>
        <w:rPr>
          <w:rFonts w:ascii="Times New Roman" w:cs="Times New Roman" w:eastAsia="Times New Roman" w:hAnsi="Times New Roman"/>
          <w:sz w:val="22"/>
          <w:szCs w:val="22"/>
          <w:color w:val="auto"/>
        </w:rPr>
      </w:pPr>
    </w:p>
    <w:p>
      <w:pPr>
        <w:ind w:left="4060" w:right="4980" w:hanging="2148"/>
        <w:spacing w:after="0" w:line="435" w:lineRule="auto"/>
        <w:tabs>
          <w:tab w:leader="none" w:pos="2372"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1131500 **see Note 1**</w:t>
      </w:r>
    </w:p>
    <w:p>
      <w:pPr>
        <w:spacing w:after="0" w:line="1" w:lineRule="exact"/>
        <w:rPr>
          <w:rFonts w:ascii="Times New Roman" w:cs="Times New Roman" w:eastAsia="Times New Roman" w:hAnsi="Times New Roman"/>
          <w:sz w:val="22"/>
          <w:szCs w:val="22"/>
          <w:color w:val="auto"/>
        </w:rPr>
      </w:pPr>
    </w:p>
    <w:p>
      <w:pPr>
        <w:ind w:left="2380" w:hanging="468"/>
        <w:spacing w:after="0"/>
        <w:tabs>
          <w:tab w:leader="none" w:pos="23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0</w:t>
      </w:r>
    </w:p>
    <w:p>
      <w:pPr>
        <w:spacing w:after="0" w:line="206" w:lineRule="exact"/>
        <w:rPr>
          <w:sz w:val="20"/>
          <w:szCs w:val="20"/>
          <w:color w:val="auto"/>
        </w:rPr>
      </w:pPr>
    </w:p>
    <w:p>
      <w:pPr>
        <w:ind w:left="4060" w:right="4400" w:hanging="2148"/>
        <w:spacing w:after="0" w:line="435" w:lineRule="auto"/>
        <w:tabs>
          <w:tab w:leader="none" w:pos="237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1131500 **see Note 1**</w:t>
      </w:r>
    </w:p>
    <w:p>
      <w:pPr>
        <w:spacing w:after="0" w:line="1" w:lineRule="exact"/>
        <w:rPr>
          <w:rFonts w:ascii="Times New Roman" w:cs="Times New Roman" w:eastAsia="Times New Roman" w:hAnsi="Times New Roman"/>
          <w:sz w:val="22"/>
          <w:szCs w:val="22"/>
          <w:color w:val="auto"/>
        </w:rPr>
      </w:pPr>
    </w:p>
    <w:p>
      <w:pPr>
        <w:ind w:left="4060" w:right="4200" w:hanging="2148"/>
        <w:spacing w:after="0" w:line="463" w:lineRule="auto"/>
        <w:tabs>
          <w:tab w:leader="none" w:pos="237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158" w:lineRule="exact"/>
        <w:rPr>
          <w:rFonts w:ascii="Times New Roman" w:cs="Times New Roman" w:eastAsia="Times New Roman" w:hAnsi="Times New Roman"/>
          <w:sz w:val="22"/>
          <w:szCs w:val="22"/>
          <w:color w:val="auto"/>
        </w:rPr>
      </w:pPr>
    </w:p>
    <w:p>
      <w:pPr>
        <w:ind w:left="1160" w:firstLine="9"/>
        <w:spacing w:after="0" w:line="282" w:lineRule="auto"/>
        <w:tabs>
          <w:tab w:leader="none" w:pos="143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Inc. (“Dimensional”), an investment advisor registered under Section 203 of the Investment Advisors Act of 1940, furnishes investment advice to four investment companies registered under</w:t>
      </w:r>
    </w:p>
    <w:p>
      <w:pPr>
        <w:sectPr>
          <w:pgSz w:w="11900" w:h="16951" w:orient="portrait"/>
          <w:cols w:equalWidth="0" w:num="1">
            <w:col w:w="11300"/>
          </w:cols>
          <w:pgMar w:left="240" w:top="328" w:right="359" w:bottom="0" w:gutter="0" w:footer="0" w:header="0"/>
        </w:sectPr>
      </w:pPr>
    </w:p>
    <w:bookmarkStart w:id="3" w:name="page4"/>
    <w:bookmarkEnd w:id="3"/>
    <w:p>
      <w:pPr>
        <w:ind w:left="1160"/>
        <w:spacing w:after="0" w:line="247" w:lineRule="auto"/>
        <w:rPr>
          <w:sz w:val="20"/>
          <w:szCs w:val="20"/>
          <w:color w:val="auto"/>
        </w:rPr>
      </w:pPr>
      <w:r>
        <w:rPr>
          <w:rFonts w:ascii="Times New Roman" w:cs="Times New Roman" w:eastAsia="Times New Roman" w:hAnsi="Times New Roman"/>
          <w:sz w:val="21"/>
          <w:szCs w:val="21"/>
          <w:color w:val="auto"/>
        </w:rPr>
        <w:t>the Investment Company Act of 1940, and serves as investment manager to certain other commingled group trusts and separate accounts. These investment companies, trusts and accounts are the “Funds.” In its role as investment advisor or manager, Dimensional possesses voting and/or investment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38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w:t>
      </w:r>
    </w:p>
    <w:p>
      <w:pPr>
        <w:spacing w:after="0" w:line="200" w:lineRule="exact"/>
        <w:rPr>
          <w:sz w:val="20"/>
          <w:szCs w:val="20"/>
          <w:color w:val="auto"/>
        </w:rPr>
      </w:pPr>
    </w:p>
    <w:p>
      <w:pPr>
        <w:spacing w:after="0" w:line="222" w:lineRule="exact"/>
        <w:rPr>
          <w:sz w:val="20"/>
          <w:szCs w:val="20"/>
          <w:color w:val="auto"/>
        </w:rPr>
      </w:pPr>
    </w:p>
    <w:p>
      <w:pPr>
        <w:jc w:val="both"/>
        <w:ind w:left="1160" w:right="260"/>
        <w:spacing w:after="0" w:line="244" w:lineRule="auto"/>
        <w:rPr>
          <w:sz w:val="20"/>
          <w:szCs w:val="20"/>
          <w:color w:val="auto"/>
        </w:rPr>
      </w:pPr>
      <w:r>
        <w:rPr>
          <w:rFonts w:ascii="Times New Roman" w:cs="Times New Roman" w:eastAsia="Times New Roman" w:hAnsi="Times New Roman"/>
          <w:sz w:val="22"/>
          <w:szCs w:val="22"/>
          <w:color w:val="auto"/>
        </w:rPr>
        <w:t>All securities reported in this schedule are owned by advisory clients of Dimensional Fund Advisors Inc., no one of which, to the knowledge of Dimensional Fund Advisors, Inc., owns more than 5% of the class. Dimensional Fund Advisors Inc. disclaims beneficial ownership of all such securities.</w:t>
      </w:r>
    </w:p>
    <w:p>
      <w:pPr>
        <w:spacing w:after="0" w:line="390" w:lineRule="exact"/>
        <w:rPr>
          <w:sz w:val="20"/>
          <w:szCs w:val="20"/>
          <w:color w:val="auto"/>
        </w:rPr>
      </w:pPr>
    </w:p>
    <w:p>
      <w:pPr>
        <w:ind w:left="1160" w:right="460" w:hanging="1160"/>
        <w:spacing w:after="0" w:line="258" w:lineRule="auto"/>
        <w:tabs>
          <w:tab w:leader="none" w:pos="114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2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2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2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w:t>
      </w:r>
    </w:p>
    <w:p>
      <w:pPr>
        <w:spacing w:after="0" w:line="206" w:lineRule="exact"/>
        <w:rPr>
          <w:sz w:val="20"/>
          <w:szCs w:val="20"/>
          <w:color w:val="auto"/>
        </w:rPr>
      </w:pPr>
    </w:p>
    <w:p>
      <w:pPr>
        <w:ind w:left="1520" w:right="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DIMENSIONAL FUND ADVISORS INC.</w:t>
      </w:r>
    </w:p>
    <w:p>
      <w:pPr>
        <w:spacing w:after="0" w:line="2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u w:val="single" w:color="auto"/>
          <w:color w:val="auto"/>
        </w:rPr>
        <w:t>February 3, 2003</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u w:val="single" w:color="auto"/>
          <w:color w:val="auto"/>
        </w:rPr>
        <w:t>/s/ Catherine L. Newell</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Signature</w:t>
      </w:r>
    </w:p>
    <w:p>
      <w:pPr>
        <w:spacing w:after="0" w:line="1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u w:val="single" w:color="auto"/>
          <w:color w:val="auto"/>
        </w:rPr>
        <w:t>Vice President and Secretary</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Title</w:t>
      </w:r>
    </w:p>
    <w:sectPr>
      <w:pgSz w:w="11900" w:h="16838" w:orient="portrait"/>
      <w:cols w:equalWidth="0" w:num="1">
        <w:col w:w="11420"/>
      </w:cols>
      <w:pgMar w:left="240" w:top="112" w:right="239" w:bottom="108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Roman"/>
      <w:start w:val="1"/>
    </w:lvl>
  </w:abstractNum>
  <w:abstractNum w:abstractNumId="12">
    <w:nsid w:val="3352255A"/>
    <w:multiLevelType w:val="hybridMultilevel"/>
    <w:lvl w:ilvl="0">
      <w:lvlJc w:val="left"/>
      <w:lvlText w:val="**"/>
      <w:numFmt w:val="bullet"/>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2019-12-11T21:45:59Z</dcterms:created>
  <dcterms:modified xsi:type="dcterms:W3CDTF">2019-12-11T21:45:59Z</dcterms:modified>
</cp:coreProperties>
</file>