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Courier New" w:cs="Courier New" w:eastAsia="Courier New" w:hAnsi="Courier New"/>
          <w:sz w:val="18"/>
          <w:szCs w:val="18"/>
          <w:color w:val="auto"/>
        </w:rPr>
        <w:t>Filed Pursuant to Rule 424(b)(3)</w:t>
      </w:r>
    </w:p>
    <w:p>
      <w:pPr>
        <w:ind w:left="5060"/>
        <w:spacing w:after="0" w:line="238" w:lineRule="auto"/>
        <w:rPr>
          <w:sz w:val="20"/>
          <w:szCs w:val="20"/>
          <w:color w:val="auto"/>
        </w:rPr>
      </w:pPr>
      <w:r>
        <w:rPr>
          <w:rFonts w:ascii="Courier New" w:cs="Courier New" w:eastAsia="Courier New" w:hAnsi="Courier New"/>
          <w:sz w:val="18"/>
          <w:szCs w:val="18"/>
          <w:color w:val="auto"/>
        </w:rPr>
        <w:t>Registration No. 333-118966</w:t>
      </w:r>
    </w:p>
    <w:p>
      <w:pPr>
        <w:spacing w:after="0" w:line="207" w:lineRule="exact"/>
        <w:rPr>
          <w:sz w:val="24"/>
          <w:szCs w:val="24"/>
          <w:color w:val="auto"/>
        </w:rPr>
      </w:pPr>
    </w:p>
    <w:p>
      <w:pPr>
        <w:ind w:left="3380" w:right="3039" w:hanging="2422"/>
        <w:spacing w:after="0" w:line="235" w:lineRule="auto"/>
        <w:rPr>
          <w:sz w:val="20"/>
          <w:szCs w:val="20"/>
          <w:color w:val="auto"/>
        </w:rPr>
      </w:pPr>
      <w:r>
        <w:rPr>
          <w:rFonts w:ascii="Courier New" w:cs="Courier New" w:eastAsia="Courier New" w:hAnsi="Courier New"/>
          <w:sz w:val="18"/>
          <w:szCs w:val="18"/>
          <w:color w:val="auto"/>
        </w:rPr>
        <w:t>Prospectus Supplement to Prospectus dated November 24, 2004 1,818,504 Shares</w:t>
      </w:r>
    </w:p>
    <w:p>
      <w:pPr>
        <w:ind w:left="2540"/>
        <w:spacing w:after="0"/>
        <w:rPr>
          <w:sz w:val="20"/>
          <w:szCs w:val="20"/>
          <w:color w:val="auto"/>
        </w:rPr>
      </w:pPr>
      <w:r>
        <w:rPr>
          <w:rFonts w:ascii="Courier New" w:cs="Courier New" w:eastAsia="Courier New" w:hAnsi="Courier New"/>
          <w:sz w:val="18"/>
          <w:szCs w:val="18"/>
          <w:color w:val="auto"/>
        </w:rPr>
        <w:t>Casual Male Retail Group, Inc.</w:t>
      </w:r>
    </w:p>
    <w:p>
      <w:pPr>
        <w:ind w:left="358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providing this prospectus supplement to update the table in the prospectus under the caption "Selling Securityholders" to reflect a transfer of a warrant to purchase 4,000 shares of common stock from Lawrence Seidman Retirement Plan and Trust to OTA, LLC. The amounts set forth below are based upon information provided to us by the selling stockholder (or their representatives), or on our records, and are accurate to the best of our knowledge. Unless we indicate otherwise, the information in this prospectus supplement is as of December 12, 2006.</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Number of Shares</w:t>
            </w:r>
          </w:p>
        </w:tc>
        <w:tc>
          <w:tcPr>
            <w:tcW w:w="45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Common Stock Beneficially</w:t>
            </w:r>
          </w:p>
        </w:tc>
      </w:tr>
      <w:tr>
        <w:trPr>
          <w:trHeight w:val="203"/>
        </w:trPr>
        <w:tc>
          <w:tcPr>
            <w:tcW w:w="1800" w:type="dxa"/>
            <w:vAlign w:val="bottom"/>
          </w:tcPr>
          <w:p>
            <w:pPr>
              <w:spacing w:after="0"/>
              <w:rPr>
                <w:sz w:val="17"/>
                <w:szCs w:val="17"/>
                <w:color w:val="auto"/>
              </w:rPr>
            </w:pP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Common Stock</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Number of Shares</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Owned After the Sales</w:t>
            </w:r>
          </w:p>
        </w:tc>
      </w:tr>
      <w:tr>
        <w:trPr>
          <w:trHeight w:val="203"/>
        </w:trPr>
        <w:tc>
          <w:tcPr>
            <w:tcW w:w="1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Selling</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 Common Stock</w:t>
            </w:r>
          </w:p>
        </w:tc>
        <w:tc>
          <w:tcPr>
            <w:tcW w:w="26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Securityholders</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Before Any Sale</w:t>
            </w:r>
          </w:p>
        </w:tc>
        <w:tc>
          <w:tcPr>
            <w:tcW w:w="1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Subject to Sale</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Number **</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Lawrence Seidman</w:t>
            </w:r>
          </w:p>
        </w:tc>
        <w:tc>
          <w:tcPr>
            <w:tcW w:w="2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Retirement Plan and</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w:t>
            </w:r>
          </w:p>
        </w:tc>
        <w:tc>
          <w:tcPr>
            <w:tcW w:w="2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N/A</w:t>
            </w:r>
          </w:p>
        </w:tc>
        <w:tc>
          <w:tcPr>
            <w:tcW w:w="1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N/A</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N/A</w:t>
            </w: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OTA, LLC (1)</w:t>
            </w: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150,000</w:t>
            </w:r>
          </w:p>
        </w:tc>
        <w:tc>
          <w:tcPr>
            <w:tcW w:w="1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150,000</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6" w:lineRule="exact"/>
        <w:rPr>
          <w:sz w:val="24"/>
          <w:szCs w:val="24"/>
          <w:color w:val="auto"/>
        </w:rPr>
      </w:pPr>
    </w:p>
    <w:p>
      <w:pPr>
        <w:ind w:right="1679" w:firstLine="8"/>
        <w:spacing w:after="0" w:line="236"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their shares of common stock.</w:t>
      </w:r>
    </w:p>
    <w:p>
      <w:pPr>
        <w:spacing w:after="0" w:line="207" w:lineRule="exact"/>
        <w:rPr>
          <w:rFonts w:ascii="Courier New" w:cs="Courier New" w:eastAsia="Courier New" w:hAnsi="Courier New"/>
          <w:sz w:val="18"/>
          <w:szCs w:val="18"/>
          <w:color w:val="auto"/>
        </w:rPr>
      </w:pPr>
    </w:p>
    <w:p>
      <w:pPr>
        <w:ind w:right="199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35,273,977 shares of common stock outstanding as of December 12, 2006, plus securities deemed to be outstanding with respect to individual stockholders pursuant to Rule 13d-3(d)(1) under the Securities Exchange Act of 1934.</w:t>
      </w:r>
    </w:p>
    <w:p>
      <w:pPr>
        <w:spacing w:after="0" w:line="207" w:lineRule="exact"/>
        <w:rPr>
          <w:sz w:val="24"/>
          <w:szCs w:val="24"/>
          <w:color w:val="auto"/>
        </w:rPr>
      </w:pPr>
    </w:p>
    <w:p>
      <w:pPr>
        <w:ind w:right="1579" w:firstLine="8"/>
        <w:spacing w:after="0" w:line="23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Ira M. Leventhal, a U.S. person, has voting and dispositive authority with respect to these securities.</w:t>
      </w:r>
    </w:p>
    <w:p>
      <w:pPr>
        <w:spacing w:after="0" w:line="20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203"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The date of this prospectus supplement is December 28, 2006.</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2019-12-11T21:14:00Z</dcterms:created>
  <dcterms:modified xsi:type="dcterms:W3CDTF">2019-12-11T21:14:00Z</dcterms:modified>
</cp:coreProperties>
</file>