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6201dprer14a.htm"/>
        <w:bookmarkStart w:id="1" w:name="ksd76201dprer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120" w:after="0"/>
        <w:jc w:val="center"/>
        <w:rPr>
          <w:rFonts w:ascii="Times New Roman" w:hAnsi="Times New Roman"/>
          <w:b/>
          <w:sz w:val="24"/>
        </w:rPr>
      </w:pPr>
      <w:r>
        <w:rPr>
          <w:rFonts w:ascii="Times New Roman" w:hAnsi="Times New Roman"/>
          <w:b/>
          <w:sz w:val="24"/>
        </w:rPr>
        <w:t xml:space="preserve">(Amendment No. 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SEPTEMBER 22, 2026—SUBJECT TO COMPLETION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4955" cy="868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4955" cy="868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555 Turnpike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Canton, Massachusetts 02021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Dear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invited to attend the special meeting of stockholders of Destination XL Group, Inc., a Delaware corporation (“DXL”), which will be held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“special meeting”). The special meeting will be held at the corporate offices of DXL located at 555 Turnpike Street, Canton, Massachusetts 02021.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2025, DXL, Divine Merger Sub I, Inc., a Delaware corporation and wholly owned direct subsidiary of DXL (the “merger subsidiary”), and FBB Holdings I, Inc., a Delaware corporation (“FBB”), entered into an Agreement and Plan of Merger (the “merger agreement”), pursuant to which the merger subsidiary would merge with and into FBB, with FBB continuing as the surviving corporation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(as defined below) and DXL stockholders would be expected to own or hold rights to acquire 45% of the combined company, in each case, on a fully diluted basis using the treasury stock method. If the merger is consummated, DXL would continue to operate under the same name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DXL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uncertainty regarding the availability of the Combined ABL Facility (defined below) and the resulting risk that the combined company may not have access to the liquidity contemplated by such facility, together with concerns that alternative financing may not be available on comparable terms, if at all, (v) concerns regarding FBB’s potential negative equity value, and (vi) the substantial economic dilution that DXL stockholders would experience if the merger were consummated on its current terms. </w:t>
      </w:r>
      <w:r>
        <w:rPr>
          <w:rFonts w:ascii="Times New Roman" w:hAnsi="Times New Roman"/>
          <w:b/>
          <w:sz w:val="20"/>
        </w:rPr>
        <w:t>Based on this evaluation,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w:t>
      </w:r>
      <w:r>
        <w:rPr>
          <w:rFonts w:ascii="Times New Roman" w:hAnsi="Times New Roman"/>
          <w:sz w:val="20"/>
        </w:rPr>
        <w:t xml:space="preserve"> </w:t>
      </w:r>
      <w:r>
        <w:rPr>
          <w:rFonts w:ascii="Times New Roman" w:hAnsi="Times New Roman"/>
          <w:b/>
          <w:sz w:val="20"/>
        </w:rPr>
        <w:t>contemplated by the merger agreement,</w:t>
      </w:r>
      <w:r>
        <w:rPr>
          <w:rFonts w:ascii="Times New Roman" w:hAnsi="Times New Roman"/>
          <w:sz w:val="20"/>
        </w:rPr>
        <w:t xml:space="preserve"> </w:t>
      </w:r>
      <w:r>
        <w:rPr>
          <w:rFonts w:ascii="Times New Roman" w:hAnsi="Times New Roman"/>
          <w:b/>
          <w:sz w:val="20"/>
        </w:rPr>
        <w:t>including the issuance proposal, are no longer advisable and are</w:t>
      </w:r>
      <w:r>
        <w:rPr>
          <w:rFonts w:ascii="Times New Roman" w:hAnsi="Times New Roman"/>
          <w:sz w:val="20"/>
        </w:rPr>
        <w:t xml:space="preserve"> </w:t>
      </w:r>
      <w:r>
        <w:rPr>
          <w:rFonts w:ascii="Times New Roman" w:hAnsi="Times New Roman"/>
          <w:b/>
          <w:sz w:val="20"/>
        </w:rPr>
        <w:t>not in the best interests of DXL and its stockholders.</w:t>
      </w:r>
      <w:r>
        <w:rPr>
          <w:rFonts w:ascii="Times New Roman" w:hAnsi="Times New Roman"/>
          <w:sz w:val="20"/>
        </w:rPr>
        <w:t xml:space="preserve"> Notwithstanding this determination, the DXL Board is contractually obligated under the merger agreement to submit the issuance proposal to DXL stockholders for approval.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DXL will ask its stockholders to consider and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Second Amended and Restated 2016 Incentive Compensation Plan (the “2016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 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approval of each of proposals 1, 2 and 4, subject to the terms therein. 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 of the outstanding shares of DXL common stock entitled to vote at the special meeting, including approximately [●]% held by PLP. After giving effect to the shares of DXL common stock subject to the voting agreements, holders of an additional [●] shares of DXL common stock not subject to the voting agreements, representing approximately [●]% of the shares of DXL common stock not subject to the voting agreements, would be required to be present in person or represented by proxy at the special meeting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3000" w:type="dxa"/>
        <w:jc w:val="center"/>
        <w:tblInd w:w="0" w:type="dxa"/>
        <w:tblLayout w:type="fixed"/>
        <w:tblCellMar>
          <w:top w:w="0" w:type="dxa"/>
          <w:left w:w="0" w:type="dxa"/>
          <w:bottom w:w="0" w:type="dxa"/>
          <w:right w:w="0" w:type="dxa"/>
        </w:tblCellMar>
      </w:tblPr>
      <w:tblGrid>
        <w:gridCol w:w="295"/>
        <w:gridCol w:w="2755"/>
        <w:gridCol w:w="275"/>
        <w:gridCol w:w="60"/>
        <w:gridCol w:w="88"/>
        <w:gridCol w:w="2167"/>
        <w:gridCol w:w="275"/>
        <w:gridCol w:w="60"/>
        <w:gridCol w:w="768"/>
        <w:gridCol w:w="1217"/>
        <w:gridCol w:w="500"/>
        <w:gridCol w:w="60"/>
        <w:gridCol w:w="1540"/>
        <w:gridCol w:w="2440"/>
        <w:gridCol w:w="500"/>
      </w:tblGrid>
      <w:tr>
        <w:trPr/>
        <w:tc>
          <w:tcPr>
            <w:tcW w:w="29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3050" w:type="dxa"/>
            <w:gridSpan w:val="2"/>
            <w:tcBorders>
              <w:bottom w:val="single" w:sz="8" w:space="0" w:color="000000"/>
            </w:tcBorders>
            <w:tcMar>
              <w:bottom w:w="28" w:type="dxa"/>
            </w:tcMar>
            <w:vAlign w:val="bottom"/>
          </w:tcPr>
          <w:p>
            <w:pPr>
              <w:pStyle w:val="TableContents"/>
              <w:bidi w:val="0"/>
              <w:spacing w:before="0" w:after="283"/>
              <w:jc w:val="center"/>
              <w:rPr/>
            </w:pPr>
            <w:r>
              <w:rPr>
                <w:b/>
              </w:rPr>
              <w:t>Shares Present and Voting on</w:t>
              <w:br/>
              <w:t>Issuance Proposal</w:t>
              <w:br/>
            </w:r>
            <w:r>
              <w:rPr/>
              <w:t>(as % of Outstanding 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rPr/>
            </w:pPr>
            <w:r>
              <w:rPr>
                <w:b/>
              </w:rPr>
              <w:t>Votes Required for</w:t>
              <w:br/>
              <w:t>Approval</w:t>
              <w:br/>
            </w:r>
            <w:r>
              <w:rPr/>
              <w:t>(Majority of Votes Cast)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 Affirmative Votes Required</w:t>
              <w:br/>
              <w:t>From Shares Not Subject to</w:t>
            </w:r>
            <w:r>
              <w:rPr/>
              <w:br/>
            </w:r>
            <w:r>
              <w:rPr>
                <w:b/>
              </w:rPr>
              <w:t>Voting Agreements</w:t>
            </w:r>
          </w:p>
        </w:tc>
        <w:tc>
          <w:tcPr>
            <w:tcW w:w="500" w:type="dxa"/>
            <w:tcBorders/>
            <w:vAlign w:val="bottom"/>
          </w:tcPr>
          <w:p>
            <w:pPr>
              <w:pStyle w:val="TableContents"/>
              <w:bidi w:val="0"/>
              <w:spacing w:before="0" w:after="283"/>
              <w:jc w:val="left"/>
              <w:rPr/>
            </w:pPr>
            <w:r>
              <w:rPr/>
              <w:t> </w:t>
            </w:r>
          </w:p>
        </w:tc>
      </w:tr>
      <w:tr>
        <w:trPr/>
        <w:tc>
          <w:tcPr>
            <w:tcW w:w="295" w:type="dxa"/>
            <w:tcBorders/>
            <w:shd w:fill="CCEEFF" w:val="clear"/>
            <w:vAlign w:val="bottom"/>
          </w:tcPr>
          <w:p>
            <w:pPr>
              <w:pStyle w:val="TableContents"/>
              <w:bidi w:val="0"/>
              <w:spacing w:before="0" w:after="283"/>
              <w:jc w:val="left"/>
              <w:rPr/>
            </w:pPr>
            <w:r>
              <w:rPr/>
              <w:t> </w:t>
            </w:r>
          </w:p>
        </w:tc>
        <w:tc>
          <w:tcPr>
            <w:tcW w:w="2755" w:type="dxa"/>
            <w:tcBorders/>
            <w:shd w:fill="CCEEFF" w:val="clear"/>
            <w:vAlign w:val="bottom"/>
          </w:tcPr>
          <w:p>
            <w:pPr>
              <w:pStyle w:val="TableContents"/>
              <w:bidi w:val="0"/>
              <w:spacing w:before="0" w:after="283"/>
              <w:jc w:val="right"/>
              <w:rPr/>
            </w:pPr>
            <w:r>
              <w:rPr/>
              <w:t>51.0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167" w:type="dxa"/>
            <w:tcBorders/>
            <w:shd w:fill="CCEEFF" w:val="clear"/>
            <w:vAlign w:val="bottom"/>
          </w:tcPr>
          <w:p>
            <w:pPr>
              <w:pStyle w:val="TableContents"/>
              <w:bidi w:val="0"/>
              <w:spacing w:before="0" w:after="283"/>
              <w:jc w:val="right"/>
              <w:rPr/>
            </w:pPr>
            <w:r>
              <w:rPr/>
              <w:t>More than 25.5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95" w:type="dxa"/>
            <w:tcBorders/>
            <w:vAlign w:val="bottom"/>
          </w:tcPr>
          <w:p>
            <w:pPr>
              <w:pStyle w:val="TableContents"/>
              <w:bidi w:val="0"/>
              <w:spacing w:before="0" w:after="283"/>
              <w:jc w:val="left"/>
              <w:rPr/>
            </w:pPr>
            <w:r>
              <w:rPr/>
              <w:t> </w:t>
            </w:r>
          </w:p>
        </w:tc>
        <w:tc>
          <w:tcPr>
            <w:tcW w:w="2755" w:type="dxa"/>
            <w:tcBorders/>
            <w:vAlign w:val="bottom"/>
          </w:tcPr>
          <w:p>
            <w:pPr>
              <w:pStyle w:val="TableContents"/>
              <w:bidi w:val="0"/>
              <w:spacing w:before="0" w:after="283"/>
              <w:jc w:val="right"/>
              <w:rPr/>
            </w:pPr>
            <w:r>
              <w:rPr/>
              <w:t>60.0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167" w:type="dxa"/>
            <w:tcBorders/>
            <w:vAlign w:val="bottom"/>
          </w:tcPr>
          <w:p>
            <w:pPr>
              <w:pStyle w:val="TableContents"/>
              <w:bidi w:val="0"/>
              <w:spacing w:before="0" w:after="283"/>
              <w:jc w:val="right"/>
              <w:rPr/>
            </w:pPr>
            <w:r>
              <w:rPr/>
              <w:t>More than 30.0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95" w:type="dxa"/>
            <w:tcBorders/>
            <w:shd w:fill="CCEEFF" w:val="clear"/>
            <w:vAlign w:val="bottom"/>
          </w:tcPr>
          <w:p>
            <w:pPr>
              <w:pStyle w:val="TableContents"/>
              <w:bidi w:val="0"/>
              <w:spacing w:before="0" w:after="283"/>
              <w:jc w:val="left"/>
              <w:rPr/>
            </w:pPr>
            <w:r>
              <w:rPr/>
              <w:t> </w:t>
            </w:r>
          </w:p>
        </w:tc>
        <w:tc>
          <w:tcPr>
            <w:tcW w:w="2755" w:type="dxa"/>
            <w:tcBorders/>
            <w:shd w:fill="CCEEFF" w:val="clear"/>
            <w:vAlign w:val="bottom"/>
          </w:tcPr>
          <w:p>
            <w:pPr>
              <w:pStyle w:val="TableContents"/>
              <w:bidi w:val="0"/>
              <w:spacing w:before="0" w:after="283"/>
              <w:jc w:val="right"/>
              <w:rPr/>
            </w:pPr>
            <w:r>
              <w:rPr/>
              <w:t>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167" w:type="dxa"/>
            <w:tcBorders/>
            <w:shd w:fill="CCEEFF" w:val="clear"/>
            <w:vAlign w:val="bottom"/>
          </w:tcPr>
          <w:p>
            <w:pPr>
              <w:pStyle w:val="TableContents"/>
              <w:bidi w:val="0"/>
              <w:spacing w:before="0" w:after="283"/>
              <w:jc w:val="right"/>
              <w:rPr/>
            </w:pPr>
            <w:r>
              <w:rPr/>
              <w:t>More than 35.0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95" w:type="dxa"/>
            <w:tcBorders/>
            <w:vAlign w:val="bottom"/>
          </w:tcPr>
          <w:p>
            <w:pPr>
              <w:pStyle w:val="TableContents"/>
              <w:bidi w:val="0"/>
              <w:spacing w:before="0" w:after="283"/>
              <w:jc w:val="left"/>
              <w:rPr/>
            </w:pPr>
            <w:r>
              <w:rPr/>
              <w:t> </w:t>
            </w:r>
          </w:p>
        </w:tc>
        <w:tc>
          <w:tcPr>
            <w:tcW w:w="2755" w:type="dxa"/>
            <w:tcBorders/>
            <w:vAlign w:val="bottom"/>
          </w:tcPr>
          <w:p>
            <w:pPr>
              <w:pStyle w:val="TableContents"/>
              <w:bidi w:val="0"/>
              <w:spacing w:before="0" w:after="283"/>
              <w:jc w:val="right"/>
              <w:rPr/>
            </w:pPr>
            <w:r>
              <w:rPr/>
              <w:t>80.0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167" w:type="dxa"/>
            <w:tcBorders/>
            <w:vAlign w:val="bottom"/>
          </w:tcPr>
          <w:p>
            <w:pPr>
              <w:pStyle w:val="TableContents"/>
              <w:bidi w:val="0"/>
              <w:spacing w:before="0" w:after="283"/>
              <w:jc w:val="right"/>
              <w:rPr/>
            </w:pPr>
            <w:r>
              <w:rPr/>
              <w:t>More than 40.0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95" w:type="dxa"/>
            <w:tcBorders/>
            <w:shd w:fill="CCEEFF" w:val="clear"/>
            <w:vAlign w:val="bottom"/>
          </w:tcPr>
          <w:p>
            <w:pPr>
              <w:pStyle w:val="TableContents"/>
              <w:bidi w:val="0"/>
              <w:spacing w:before="0" w:after="283"/>
              <w:jc w:val="left"/>
              <w:rPr/>
            </w:pPr>
            <w:r>
              <w:rPr/>
              <w:t> </w:t>
            </w:r>
          </w:p>
        </w:tc>
        <w:tc>
          <w:tcPr>
            <w:tcW w:w="2755" w:type="dxa"/>
            <w:tcBorders/>
            <w:shd w:fill="CCEEFF" w:val="clear"/>
            <w:vAlign w:val="bottom"/>
          </w:tcPr>
          <w:p>
            <w:pPr>
              <w:pStyle w:val="TableContents"/>
              <w:bidi w:val="0"/>
              <w:spacing w:before="0" w:after="283"/>
              <w:jc w:val="right"/>
              <w:rPr/>
            </w:pPr>
            <w:r>
              <w:rPr/>
              <w:t>90.0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167" w:type="dxa"/>
            <w:tcBorders/>
            <w:shd w:fill="CCEEFF" w:val="clear"/>
            <w:vAlign w:val="bottom"/>
          </w:tcPr>
          <w:p>
            <w:pPr>
              <w:pStyle w:val="TableContents"/>
              <w:bidi w:val="0"/>
              <w:spacing w:before="0" w:after="283"/>
              <w:jc w:val="right"/>
              <w:rPr/>
            </w:pPr>
            <w:r>
              <w:rPr/>
              <w:t>More than 45.0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95" w:type="dxa"/>
            <w:tcBorders/>
            <w:vAlign w:val="bottom"/>
          </w:tcPr>
          <w:p>
            <w:pPr>
              <w:pStyle w:val="TableContents"/>
              <w:bidi w:val="0"/>
              <w:spacing w:before="0" w:after="283"/>
              <w:jc w:val="left"/>
              <w:rPr/>
            </w:pPr>
            <w:r>
              <w:rPr/>
              <w:t> </w:t>
            </w:r>
          </w:p>
        </w:tc>
        <w:tc>
          <w:tcPr>
            <w:tcW w:w="275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167" w:type="dxa"/>
            <w:tcBorders/>
            <w:vAlign w:val="bottom"/>
          </w:tcPr>
          <w:p>
            <w:pPr>
              <w:pStyle w:val="TableContents"/>
              <w:bidi w:val="0"/>
              <w:spacing w:before="0" w:after="283"/>
              <w:jc w:val="right"/>
              <w:rPr/>
            </w:pPr>
            <w:r>
              <w:rPr/>
              <w:t>More than 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DXL Board unanimously approved the merger agreement and determined that it was fair to, and in the best interests of, DXL and its stockholders as of the date of its approval. </w:t>
      </w:r>
      <w:r>
        <w:rPr>
          <w:rFonts w:ascii="Times New Roman" w:hAnsi="Times New Roman"/>
          <w:b/>
          <w:sz w:val="20"/>
        </w:rPr>
        <w:t>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Accordingly, the DXL Board unanimously recommends that DXL stockholders vote (i) “AGAINST” the issuance proposal, (ii) “FOR” the reverse stock split proposal,</w:t>
      </w:r>
      <w:r>
        <w:rPr>
          <w:rFonts w:ascii="Times New Roman" w:hAnsi="Times New Roman"/>
          <w:sz w:val="20"/>
        </w:rPr>
        <w:t xml:space="preserve"> </w:t>
      </w:r>
      <w:r>
        <w:rPr>
          <w:rFonts w:ascii="Times New Roman" w:hAnsi="Times New Roman"/>
          <w:b/>
          <w:sz w:val="20"/>
        </w:rPr>
        <w:t xml:space="preserve">(iii)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This proxy statement includes information regarding FBB, its business, financial condition and prospects, as well as statements regarding the potential strategic and financial benefits of the merger and the expected performance of the combined company that have been provided by FBB or its representatives and reflect FBB’s views.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uncertainty regarding the availability of the Combined ABL Facility and the resulting risk that the combined company may not have access to the liquidity contemplated by such facility, together with concerns that alternative financing may not be available on comparable terms, if at all, (v) concerns regarding FBB’s potential negative equity value, and (vi)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As a result, certain statements identified in this proxy statement as coming from FBB regarding the anticipated benefits of the merger, the outlook for the combined company or the strategic rationale for the transaction may differ from, or be inconsistent with, the current views of the DXL Board. Accordingly, stockholders are presented with differing 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 Related to the Merger</w:t>
      </w:r>
      <w:r>
        <w:rPr>
          <w:rFonts w:ascii="Times New Roman" w:hAnsi="Times New Roman"/>
          <w:sz w:val="20"/>
        </w:rPr>
        <w:t xml:space="preserve">,” in determining how to vote on the proposals. </w:t>
      </w:r>
    </w:p>
    <w:p>
      <w:pPr>
        <w:pStyle w:val="TextBody"/>
        <w:bidi w:val="0"/>
        <w:spacing w:before="240" w:after="0"/>
        <w:jc w:val="left"/>
        <w:rPr>
          <w:rFonts w:ascii="Times New Roman" w:hAnsi="Times New Roman"/>
          <w:sz w:val="20"/>
        </w:rPr>
      </w:pPr>
      <w:r>
        <w:rPr>
          <w:rFonts w:ascii="Times New Roman" w:hAnsi="Times New Roman"/>
          <w:sz w:val="20"/>
        </w:rPr>
        <w:t xml:space="preserve">Shares of DXL common stock are currently listed on The Nasdaq Capital Market under the symbol “DXLG”. If the merger is consummated, it is expected that DXL common stock would trade on The Nasdaq Capital Market under the symbol “DXLG”. More information about DXL, FBB and the proposed transactions is contained in the accompanying proxy statement.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sz w:val="20"/>
        </w:rPr>
        <w:t>DXL URGES YOU TO READ THE PROXY STATEMENT CAREFULLY AND IN ITS ENTIRETY. IN PARTICULAR, YOU SHOULD CAREFULLY CONSIDER THE MATTERS DISCUSSED UNDER “</w:t>
      </w:r>
      <w:hyperlink w:anchor="tx76201_5">
        <w:r>
          <w:rPr>
            <w:rStyle w:val="InternetLink"/>
            <w:rFonts w:ascii="Times New Roman" w:hAnsi="Times New Roman"/>
            <w:sz w:val="20"/>
          </w:rPr>
          <w:t>RISK FACTORS</w:t>
        </w:r>
      </w:hyperlink>
      <w:r>
        <w:rPr>
          <w:rFonts w:ascii="Times New Roman" w:hAnsi="Times New Roman"/>
          <w:sz w:val="20"/>
        </w:rPr>
        <w:t xml:space="preserve">” BEGINNING ON PAGE 33. </w:t>
      </w:r>
    </w:p>
    <w:p>
      <w:pPr>
        <w:pStyle w:val="TextBody"/>
        <w:bidi w:val="0"/>
        <w:spacing w:before="240" w:after="0"/>
        <w:jc w:val="left"/>
        <w:rPr>
          <w:rFonts w:ascii="Times New Roman" w:hAnsi="Times New Roman"/>
          <w:sz w:val="20"/>
        </w:rPr>
      </w:pPr>
      <w:r>
        <w:rPr>
          <w:rFonts w:ascii="Times New Roman" w:hAnsi="Times New Roman"/>
          <w:b/>
          <w:sz w:val="20"/>
        </w:rPr>
        <w:t>Your vote is important.</w:t>
      </w:r>
      <w:r>
        <w:rPr>
          <w:rFonts w:ascii="Times New Roman" w:hAnsi="Times New Roman"/>
          <w:sz w:val="20"/>
        </w:rPr>
        <w:t xml:space="preserve"> Whether or not you expect to attend the special meeting, please complete, date, sign and promptly return the accompanying proxy card in the enclosed postage paid envelope to ensure that your shares will be represented and voted at the special meeting. You can also vote your shares via the internet or by telephone as provided in the instructions set forth in the enclosed proxy card. If you hold your shares in “street name” through a broker, you should follow the procedures provided by your broker.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appreciates your careful consideration of these important matters and encourages you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Lionel F. Conacher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Chairman of the DXL Board and Interim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the merger described in this proxy statement or the DXL common stock to be issued in connection with the merger or determined if this proxy statement is accurate or adequate.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dated  , 2026 and is first being mailed to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SEPTEMBER 22, 2026—SUBJECT TO COMPLETION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sz w:val="20"/>
        </w:rPr>
      </w:pPr>
      <w:r>
        <w:rPr>
          <w:rFonts w:ascii="Times New Roman" w:hAnsi="Times New Roman"/>
          <w:b/>
          <w:sz w:val="20"/>
        </w:rPr>
        <w:t>NOTICE OF SPECIAL MEETING OF STOCKHOLDERS TO BE HELD ON [</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Notice is hereby given that a special meeting of stockholders of Destination XL Group, Inc. (“DXL”)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 the affirmative vote of a majority of the votes cast by DXL stockholders at the special meeting. 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Board of Directors of DXL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proposals are more fully described in the proxy statement following this notice.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withdrawn its prior recommendation in favor of the merger and the issuance proposal and now recommends that you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fixed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as the record date for the determination of the stockholders entitled to notice of, and to vote at, the special meeting. Accordingly, only stockholders of record at the close of business on that date will be entitled to vote at the special meeting. A list of the stockholders of record as of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will be available for inspection by any of our stockholders for any purpose germane to the special meeting during normal business hours at our principal executive offices, 555 Turnpike Street, Canton, Massachusetts 02021, beginning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and at the special meeting. Stockholders are invited to attend the special meeting in person. Regardless of whether you plan to attend the special meeting, please mark, date, sign and return the enclosed proxy to ensure that your shares are represented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Robert S. Molloy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0" w:after="0"/>
        <w:jc w:val="left"/>
        <w:rPr>
          <w:rFonts w:ascii="Times New Roman" w:hAnsi="Times New Roman"/>
          <w:sz w:val="20"/>
        </w:rPr>
      </w:pPr>
      <w:r>
        <w:rPr>
          <w:rFonts w:ascii="Times New Roman" w:hAnsi="Times New Roman"/>
          <w:sz w:val="20"/>
        </w:rPr>
        <w:t xml:space="preserve">Canton, Massachusetts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99"/>
        <w:gridCol w:w="124"/>
        <w:gridCol w:w="70"/>
        <w:gridCol w:w="450"/>
        <w:gridCol w:w="62"/>
      </w:tblGrid>
      <w:tr>
        <w:trPr/>
        <w:tc>
          <w:tcPr>
            <w:tcW w:w="949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99" w:type="dxa"/>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0"/>
              <w:jc w:val="left"/>
              <w:rPr/>
            </w:pPr>
            <w:hyperlink w:anchor="tx76201_1">
              <w:r>
                <w:rPr>
                  <w:rStyle w:val="InternetLink"/>
                  <w:rFonts w:ascii="Times New Roman" w:hAnsi="Times New Roman"/>
                  <w:sz w:val="20"/>
                </w:rPr>
                <w:t>QUESTIONS AND ANSWERS ABOUT THE SPECIAL MEETING AND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
              <w:r>
                <w:rPr>
                  <w:rStyle w:val="InternetLink"/>
                  <w:rFonts w:ascii="Times New Roman" w:hAnsi="Times New Roman"/>
                  <w:sz w:val="20"/>
                </w:rPr>
                <w:t xml:space="preserve">SUMMARY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
              <w:r>
                <w:rPr>
                  <w:rStyle w:val="InternetLink"/>
                  <w:rFonts w:ascii="Times New Roman" w:hAnsi="Times New Roman"/>
                  <w:sz w:val="20"/>
                </w:rPr>
                <w:t xml:space="preserve">MARKET PRICE AND DIVIDEND INFORMATION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4">
              <w:r>
                <w:rPr>
                  <w:rStyle w:val="InternetLink"/>
                  <w:rFonts w:ascii="Times New Roman" w:hAnsi="Times New Roman"/>
                  <w:sz w:val="20"/>
                </w:rPr>
                <w:t xml:space="preserve">CAUTIONARY STATEMENT REGARDING FORWARD-LOOKING STATEMENTS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5">
              <w:r>
                <w:rPr>
                  <w:rStyle w:val="InternetLink"/>
                  <w:rFonts w:ascii="Times New Roman" w:hAnsi="Times New Roman"/>
                  <w:sz w:val="20"/>
                </w:rPr>
                <w:t xml:space="preserve">RISK FACTORS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6">
              <w:r>
                <w:rPr>
                  <w:rStyle w:val="InternetLink"/>
                  <w:rFonts w:ascii="Times New Roman" w:hAnsi="Times New Roman"/>
                  <w:sz w:val="20"/>
                </w:rPr>
                <w:t>Risks Related to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7">
              <w:r>
                <w:rPr>
                  <w:rStyle w:val="InternetLink"/>
                  <w:rFonts w:ascii="Times New Roman" w:hAnsi="Times New Roman"/>
                  <w:sz w:val="20"/>
                </w:rPr>
                <w:t>Risks Related to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8">
              <w:r>
                <w:rPr>
                  <w:rStyle w:val="InternetLink"/>
                  <w:rFonts w:ascii="Times New Roman" w:hAnsi="Times New Roman"/>
                  <w:sz w:val="20"/>
                </w:rPr>
                <w:t>Risks Related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9">
              <w:r>
                <w:rPr>
                  <w:rStyle w:val="InternetLink"/>
                  <w:rFonts w:ascii="Times New Roman" w:hAnsi="Times New Roman"/>
                  <w:sz w:val="20"/>
                </w:rPr>
                <w:t>Risks Related to FBB</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0">
              <w:r>
                <w:rPr>
                  <w:rStyle w:val="InternetLink"/>
                  <w:rFonts w:ascii="Times New Roman" w:hAnsi="Times New Roman"/>
                  <w:sz w:val="20"/>
                </w:rPr>
                <w:t>Risks Related to the Combined Company</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62</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11">
              <w:r>
                <w:rPr>
                  <w:rStyle w:val="InternetLink"/>
                  <w:rFonts w:ascii="Times New Roman" w:hAnsi="Times New Roman"/>
                  <w:sz w:val="20"/>
                </w:rPr>
                <w:t xml:space="preserve">THE MERGER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2">
              <w:r>
                <w:rPr>
                  <w:rStyle w:val="InternetLink"/>
                  <w:rFonts w:ascii="Times New Roman" w:hAnsi="Times New Roman"/>
                  <w:sz w:val="20"/>
                </w:rPr>
                <w:t>Terms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3">
              <w:r>
                <w:rPr>
                  <w:rStyle w:val="InternetLink"/>
                  <w:rFonts w:ascii="Times New Roman" w:hAnsi="Times New Roman"/>
                  <w:sz w:val="20"/>
                </w:rPr>
                <w:t>Prior Approval and Continued Evaluation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4">
              <w:r>
                <w:rPr>
                  <w:rStyle w:val="InternetLink"/>
                  <w:rFonts w:ascii="Times New Roman" w:hAnsi="Times New Roman"/>
                  <w:sz w:val="20"/>
                </w:rPr>
                <w:t>Effect on DXL if the Merger is Not Completed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5">
              <w:r>
                <w:rPr>
                  <w:rStyle w:val="InternetLink"/>
                  <w:rFonts w:ascii="Times New Roman" w:hAnsi="Times New Roman"/>
                  <w:sz w:val="20"/>
                </w:rPr>
                <w:t>Background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6">
              <w:r>
                <w:rPr>
                  <w:rStyle w:val="InternetLink"/>
                  <w:rFonts w:ascii="Times New Roman" w:hAnsi="Times New Roman"/>
                  <w:sz w:val="20"/>
                </w:rPr>
                <w:t>DXL’s Reasons for Recommending Against the Issuance Proposal; Updated Recommendation of the DXL Board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
              <w:r>
                <w:rPr>
                  <w:rStyle w:val="InternetLink"/>
                  <w:rFonts w:ascii="Times New Roman" w:hAnsi="Times New Roman"/>
                  <w:sz w:val="20"/>
                </w:rPr>
                <w:t>December 2025 Opinion of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a">
              <w:r>
                <w:rPr>
                  <w:rStyle w:val="InternetLink"/>
                  <w:rFonts w:ascii="Times New Roman" w:hAnsi="Times New Roman"/>
                  <w:sz w:val="20"/>
                </w:rPr>
                <w:t>May 2026 Supplemental Financial Analyses Prepared by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8">
              <w:r>
                <w:rPr>
                  <w:rStyle w:val="InternetLink"/>
                  <w:rFonts w:ascii="Times New Roman" w:hAnsi="Times New Roman"/>
                  <w:sz w:val="20"/>
                </w:rPr>
                <w:t>Certain Financial Projections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9">
              <w:r>
                <w:rPr>
                  <w:rStyle w:val="InternetLink"/>
                  <w:rFonts w:ascii="Times New Roman" w:hAnsi="Times New Roman"/>
                  <w:sz w:val="20"/>
                </w:rPr>
                <w:t>Interests of DXL’s Directors and Executive Officers in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0">
              <w:r>
                <w:rPr>
                  <w:rStyle w:val="InternetLink"/>
                  <w:rFonts w:ascii="Times New Roman" w:hAnsi="Times New Roman"/>
                  <w:sz w:val="20"/>
                </w:rPr>
                <w:t>Accounting Treatment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1">
              <w:r>
                <w:rPr>
                  <w:rStyle w:val="InternetLink"/>
                  <w:rFonts w:ascii="Times New Roman" w:hAnsi="Times New Roman"/>
                  <w:sz w:val="20"/>
                </w:rPr>
                <w:t>Federal Securities Law Consequences; Resale Restrictions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2">
              <w:r>
                <w:rPr>
                  <w:rStyle w:val="InternetLink"/>
                  <w:rFonts w:ascii="Times New Roman" w:hAnsi="Times New Roman"/>
                  <w:sz w:val="20"/>
                </w:rPr>
                <w:t>Material U.S. Federal Income Tax Consequences of the Merger and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3">
              <w:r>
                <w:rPr>
                  <w:rStyle w:val="InternetLink"/>
                  <w:rFonts w:ascii="Times New Roman" w:hAnsi="Times New Roman"/>
                  <w:sz w:val="20"/>
                </w:rPr>
                <w:t xml:space="preserve">THE SPECIAL MEETING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4">
              <w:r>
                <w:rPr>
                  <w:rStyle w:val="InternetLink"/>
                  <w:rFonts w:ascii="Times New Roman" w:hAnsi="Times New Roman"/>
                  <w:sz w:val="20"/>
                </w:rPr>
                <w:t>Date, Time and Place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5">
              <w:r>
                <w:rPr>
                  <w:rStyle w:val="InternetLink"/>
                  <w:rFonts w:ascii="Times New Roman" w:hAnsi="Times New Roman"/>
                  <w:sz w:val="20"/>
                </w:rPr>
                <w:t>Purpose of the Special Meeting</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6">
              <w:r>
                <w:rPr>
                  <w:rStyle w:val="InternetLink"/>
                  <w:rFonts w:ascii="Times New Roman" w:hAnsi="Times New Roman"/>
                  <w:sz w:val="20"/>
                </w:rPr>
                <w:t>Record Date; Shares Outstanding and Entitled to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7">
              <w:r>
                <w:rPr>
                  <w:rStyle w:val="InternetLink"/>
                  <w:rFonts w:ascii="Times New Roman" w:hAnsi="Times New Roman"/>
                  <w:sz w:val="20"/>
                </w:rPr>
                <w:t>Quorum</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8">
              <w:r>
                <w:rPr>
                  <w:rStyle w:val="InternetLink"/>
                  <w:rFonts w:ascii="Times New Roman" w:hAnsi="Times New Roman"/>
                  <w:sz w:val="20"/>
                </w:rPr>
                <w:t>How to Vote Your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9">
              <w:r>
                <w:rPr>
                  <w:rStyle w:val="InternetLink"/>
                  <w:rFonts w:ascii="Times New Roman" w:hAnsi="Times New Roman"/>
                  <w:sz w:val="20"/>
                </w:rPr>
                <w:t>How to Change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0">
              <w:r>
                <w:rPr>
                  <w:rStyle w:val="InternetLink"/>
                  <w:rFonts w:ascii="Times New Roman" w:hAnsi="Times New Roman"/>
                  <w:sz w:val="20"/>
                </w:rPr>
                <w:t>Proxies; Counting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1">
              <w:r>
                <w:rPr>
                  <w:rStyle w:val="InternetLink"/>
                  <w:rFonts w:ascii="Times New Roman" w:hAnsi="Times New Roman"/>
                  <w:sz w:val="20"/>
                </w:rPr>
                <w:t>Appraisal Rights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2">
              <w:r>
                <w:rPr>
                  <w:rStyle w:val="InternetLink"/>
                  <w:rFonts w:ascii="Times New Roman" w:hAnsi="Times New Roman"/>
                  <w:sz w:val="20"/>
                </w:rPr>
                <w:t>Voting by DXL’s Directors and Certain Stockholders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3">
              <w:r>
                <w:rPr>
                  <w:rStyle w:val="InternetLink"/>
                  <w:rFonts w:ascii="Times New Roman" w:hAnsi="Times New Roman"/>
                  <w:sz w:val="20"/>
                </w:rPr>
                <w:t>Solicitation of Proxies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4">
              <w:r>
                <w:rPr>
                  <w:rStyle w:val="InternetLink"/>
                  <w:rFonts w:ascii="Times New Roman" w:hAnsi="Times New Roman"/>
                  <w:sz w:val="20"/>
                </w:rPr>
                <w:t xml:space="preserve">THE MERGER AGREEMENT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5">
              <w:r>
                <w:rPr>
                  <w:rStyle w:val="InternetLink"/>
                  <w:rFonts w:ascii="Times New Roman" w:hAnsi="Times New Roman"/>
                  <w:sz w:val="20"/>
                </w:rPr>
                <w:t>Structure of the Business Combination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6">
              <w:r>
                <w:rPr>
                  <w:rStyle w:val="InternetLink"/>
                  <w:rFonts w:ascii="Times New Roman" w:hAnsi="Times New Roman"/>
                  <w:sz w:val="20"/>
                </w:rPr>
                <w:t>Effects of the Merger; Certificate of Incorporation; By-Laws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7">
              <w:r>
                <w:rPr>
                  <w:rStyle w:val="InternetLink"/>
                  <w:rFonts w:ascii="Times New Roman" w:hAnsi="Times New Roman"/>
                  <w:sz w:val="20"/>
                </w:rPr>
                <w:t>Directors and Executive Officers of the Combined Company Following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8">
              <w:r>
                <w:rPr>
                  <w:rStyle w:val="InternetLink"/>
                  <w:rFonts w:ascii="Times New Roman" w:hAnsi="Times New Roman"/>
                  <w:sz w:val="20"/>
                </w:rPr>
                <w:t>Closing of the Merger; Effective Time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9">
              <w:r>
                <w:rPr>
                  <w:rStyle w:val="InternetLink"/>
                  <w:rFonts w:ascii="Times New Roman" w:hAnsi="Times New Roman"/>
                  <w:sz w:val="20"/>
                </w:rPr>
                <w:t>Merger Consideration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0">
              <w:r>
                <w:rPr>
                  <w:rStyle w:val="InternetLink"/>
                  <w:rFonts w:ascii="Times New Roman" w:hAnsi="Times New Roman"/>
                  <w:sz w:val="20"/>
                </w:rPr>
                <w:t>Exchange Ratio</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1">
              <w:r>
                <w:rPr>
                  <w:rStyle w:val="InternetLink"/>
                  <w:rFonts w:ascii="Times New Roman" w:hAnsi="Times New Roman"/>
                  <w:sz w:val="20"/>
                </w:rPr>
                <w:t>Treatment of Unaccredited Investor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2">
              <w:r>
                <w:rPr>
                  <w:rStyle w:val="InternetLink"/>
                  <w:rFonts w:ascii="Times New Roman" w:hAnsi="Times New Roman"/>
                  <w:sz w:val="20"/>
                </w:rPr>
                <w:t>Treatment of FBB Equity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3">
              <w:r>
                <w:rPr>
                  <w:rStyle w:val="InternetLink"/>
                  <w:rFonts w:ascii="Times New Roman" w:hAnsi="Times New Roman"/>
                  <w:sz w:val="20"/>
                </w:rPr>
                <w:t>Treatment of DXL Equity and Performance-Based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4">
              <w:r>
                <w:rPr>
                  <w:rStyle w:val="InternetLink"/>
                  <w:rFonts w:ascii="Times New Roman" w:hAnsi="Times New Roman"/>
                  <w:sz w:val="20"/>
                </w:rPr>
                <w:t>Exchange and Payment Procedures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5">
              <w:r>
                <w:rPr>
                  <w:rStyle w:val="InternetLink"/>
                  <w:rFonts w:ascii="Times New Roman" w:hAnsi="Times New Roman"/>
                  <w:sz w:val="20"/>
                </w:rPr>
                <w:t>Termination of Exchange Fund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6">
              <w:r>
                <w:rPr>
                  <w:rStyle w:val="InternetLink"/>
                  <w:rFonts w:ascii="Times New Roman" w:hAnsi="Times New Roman"/>
                  <w:sz w:val="20"/>
                </w:rPr>
                <w:t>Lost, Stolen or Destroyed Certificates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02"/>
        <w:gridCol w:w="125"/>
        <w:gridCol w:w="67"/>
        <w:gridCol w:w="449"/>
        <w:gridCol w:w="62"/>
      </w:tblGrid>
      <w:tr>
        <w:trPr/>
        <w:tc>
          <w:tcPr>
            <w:tcW w:w="950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0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7">
              <w:r>
                <w:rPr>
                  <w:rStyle w:val="InternetLink"/>
                  <w:rFonts w:ascii="Times New Roman" w:hAnsi="Times New Roman"/>
                  <w:sz w:val="20"/>
                </w:rPr>
                <w:t>Representations and Warranties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8">
              <w:r>
                <w:rPr>
                  <w:rStyle w:val="InternetLink"/>
                  <w:rFonts w:ascii="Times New Roman" w:hAnsi="Times New Roman"/>
                  <w:sz w:val="20"/>
                </w:rPr>
                <w:t>Conduct of Business Pending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9">
              <w:r>
                <w:rPr>
                  <w:rStyle w:val="InternetLink"/>
                  <w:rFonts w:ascii="Times New Roman" w:hAnsi="Times New Roman"/>
                  <w:sz w:val="20"/>
                </w:rPr>
                <w:t>Required Stockholder Vote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0">
              <w:r>
                <w:rPr>
                  <w:rStyle w:val="InternetLink"/>
                  <w:rFonts w:ascii="Times New Roman" w:hAnsi="Times New Roman"/>
                  <w:sz w:val="20"/>
                </w:rPr>
                <w:t>Board Recommendation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1">
              <w:r>
                <w:rPr>
                  <w:rStyle w:val="InternetLink"/>
                  <w:rFonts w:ascii="Times New Roman" w:hAnsi="Times New Roman"/>
                  <w:sz w:val="20"/>
                </w:rPr>
                <w:t>Non-Solicitation of Acquisition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2">
              <w:r>
                <w:rPr>
                  <w:rStyle w:val="InternetLink"/>
                  <w:rFonts w:ascii="Times New Roman" w:hAnsi="Times New Roman"/>
                  <w:sz w:val="20"/>
                </w:rPr>
                <w:t>Employee Benefits Matters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144</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3">
              <w:r>
                <w:rPr>
                  <w:rStyle w:val="InternetLink"/>
                  <w:rFonts w:ascii="Times New Roman" w:hAnsi="Times New Roman"/>
                  <w:sz w:val="20"/>
                </w:rPr>
                <w:t>Directors’ and Officers’ Indemnification and Insurance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4">
              <w:r>
                <w:rPr>
                  <w:rStyle w:val="InternetLink"/>
                  <w:rFonts w:ascii="Times New Roman" w:hAnsi="Times New Roman"/>
                  <w:sz w:val="20"/>
                </w:rPr>
                <w:t>Financing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5">
              <w:r>
                <w:rPr>
                  <w:rStyle w:val="InternetLink"/>
                  <w:rFonts w:ascii="Times New Roman" w:hAnsi="Times New Roman"/>
                  <w:sz w:val="20"/>
                </w:rPr>
                <w:t>Nasdaq Listing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6">
              <w:r>
                <w:rPr>
                  <w:rStyle w:val="InternetLink"/>
                  <w:rFonts w:ascii="Times New Roman" w:hAnsi="Times New Roman"/>
                  <w:sz w:val="20"/>
                </w:rPr>
                <w:t>Conditions to the Closing of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7">
              <w:r>
                <w:rPr>
                  <w:rStyle w:val="InternetLink"/>
                  <w:rFonts w:ascii="Times New Roman" w:hAnsi="Times New Roman"/>
                  <w:sz w:val="20"/>
                </w:rPr>
                <w:t>Termination of the Merger Agreement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8">
              <w:r>
                <w:rPr>
                  <w:rStyle w:val="InternetLink"/>
                  <w:rFonts w:ascii="Times New Roman" w:hAnsi="Times New Roman"/>
                  <w:sz w:val="20"/>
                </w:rPr>
                <w:t>Termination Fee; Expense Reimbursement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9">
              <w:r>
                <w:rPr>
                  <w:rStyle w:val="InternetLink"/>
                  <w:rFonts w:ascii="Times New Roman" w:hAnsi="Times New Roman"/>
                  <w:sz w:val="20"/>
                </w:rPr>
                <w:t>Amendments; Extensions; Waivers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0">
              <w:r>
                <w:rPr>
                  <w:rStyle w:val="InternetLink"/>
                  <w:rFonts w:ascii="Times New Roman" w:hAnsi="Times New Roman"/>
                  <w:sz w:val="20"/>
                </w:rPr>
                <w:t>Assignment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1">
              <w:r>
                <w:rPr>
                  <w:rStyle w:val="InternetLink"/>
                  <w:rFonts w:ascii="Times New Roman" w:hAnsi="Times New Roman"/>
                  <w:sz w:val="20"/>
                </w:rPr>
                <w:t>Entire Agreement; No Third-Party Beneficiaries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2">
              <w:r>
                <w:rPr>
                  <w:rStyle w:val="InternetLink"/>
                  <w:rFonts w:ascii="Times New Roman" w:hAnsi="Times New Roman"/>
                  <w:sz w:val="20"/>
                </w:rPr>
                <w:t>Expenses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3">
              <w:r>
                <w:rPr>
                  <w:rStyle w:val="InternetLink"/>
                  <w:rFonts w:ascii="Times New Roman" w:hAnsi="Times New Roman"/>
                  <w:sz w:val="20"/>
                </w:rPr>
                <w:t>Specific Performance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150</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4">
              <w:r>
                <w:rPr>
                  <w:rStyle w:val="InternetLink"/>
                  <w:rFonts w:ascii="Times New Roman" w:hAnsi="Times New Roman"/>
                  <w:sz w:val="20"/>
                </w:rPr>
                <w:t>Governing Law and Jurisdiction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5">
              <w:r>
                <w:rPr>
                  <w:rStyle w:val="InternetLink"/>
                  <w:rFonts w:ascii="Times New Roman" w:hAnsi="Times New Roman"/>
                  <w:sz w:val="20"/>
                </w:rPr>
                <w:t xml:space="preserve">AGREEMENTS RELATED TO THE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6">
              <w:r>
                <w:rPr>
                  <w:rStyle w:val="InternetLink"/>
                  <w:rFonts w:ascii="Times New Roman" w:hAnsi="Times New Roman"/>
                  <w:sz w:val="20"/>
                </w:rPr>
                <w:t>Voting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7">
              <w:r>
                <w:rPr>
                  <w:rStyle w:val="InternetLink"/>
                  <w:rFonts w:ascii="Times New Roman" w:hAnsi="Times New Roman"/>
                  <w:sz w:val="20"/>
                </w:rPr>
                <w:t>Lock-Up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8">
              <w:r>
                <w:rPr>
                  <w:rStyle w:val="InternetLink"/>
                  <w:rFonts w:ascii="Times New Roman" w:hAnsi="Times New Roman"/>
                  <w:sz w:val="20"/>
                </w:rPr>
                <w:t>Private Placement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9">
              <w:r>
                <w:rPr>
                  <w:rStyle w:val="InternetLink"/>
                  <w:rFonts w:ascii="Times New Roman" w:hAnsi="Times New Roman"/>
                  <w:sz w:val="20"/>
                </w:rPr>
                <w:t>PROPOSAL 1: ISSUANCE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0">
              <w:r>
                <w:rPr>
                  <w:rStyle w:val="InternetLink"/>
                  <w:rFonts w:ascii="Times New Roman" w:hAnsi="Times New Roman"/>
                  <w:sz w:val="20"/>
                </w:rPr>
                <w:t>PROPOSAL 2: REVERSE STOCK SPLIT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1">
              <w:r>
                <w:rPr>
                  <w:rStyle w:val="InternetLink"/>
                  <w:rFonts w:ascii="Times New Roman" w:hAnsi="Times New Roman"/>
                  <w:sz w:val="20"/>
                </w:rPr>
                <w:t>PROPOSAL 3: 2016 PLAN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2">
              <w:r>
                <w:rPr>
                  <w:rStyle w:val="InternetLink"/>
                  <w:rFonts w:ascii="Times New Roman" w:hAnsi="Times New Roman"/>
                  <w:sz w:val="20"/>
                </w:rPr>
                <w:t xml:space="preserve">PROPOSAL 4: ADJOURNMENT PROPOSAL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3">
              <w:r>
                <w:rPr>
                  <w:rStyle w:val="InternetLink"/>
                  <w:rFonts w:ascii="Times New Roman" w:hAnsi="Times New Roman"/>
                  <w:sz w:val="20"/>
                </w:rPr>
                <w:t>DXL’S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4">
              <w:r>
                <w:rPr>
                  <w:rStyle w:val="InternetLink"/>
                  <w:rFonts w:ascii="Times New Roman" w:hAnsi="Times New Roman"/>
                  <w:sz w:val="20"/>
                </w:rPr>
                <w:t>DXL’S EXECUTIVE COMPENSATION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182</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5">
              <w:r>
                <w:rPr>
                  <w:rStyle w:val="InternetLink"/>
                  <w:rFonts w:ascii="Times New Roman" w:hAnsi="Times New Roman"/>
                  <w:sz w:val="20"/>
                </w:rPr>
                <w:t>FBB’S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183</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6">
              <w:r>
                <w:rPr>
                  <w:rStyle w:val="InternetLink"/>
                  <w:rFonts w:ascii="Times New Roman" w:hAnsi="Times New Roman"/>
                  <w:sz w:val="20"/>
                </w:rPr>
                <w:t>DXL’S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7">
              <w:r>
                <w:rPr>
                  <w:rStyle w:val="InternetLink"/>
                  <w:rFonts w:ascii="Times New Roman" w:hAnsi="Times New Roman"/>
                  <w:sz w:val="20"/>
                </w:rPr>
                <w:t>QUANTITATIVE AND QUALITATIVE DISCLOSURES ABOUT DXL’S MARKET RISK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192</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8">
              <w:r>
                <w:rPr>
                  <w:rStyle w:val="InternetLink"/>
                  <w:rFonts w:ascii="Times New Roman" w:hAnsi="Times New Roman"/>
                  <w:sz w:val="20"/>
                </w:rPr>
                <w:t>FBB’S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193</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9">
              <w:r>
                <w:rPr>
                  <w:rStyle w:val="InternetLink"/>
                  <w:rFonts w:ascii="Times New Roman" w:hAnsi="Times New Roman"/>
                  <w:sz w:val="20"/>
                </w:rPr>
                <w:t>UNAUDITED PRO FORMA CONDENSED COMBINED FINANCIAL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215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0">
              <w:r>
                <w:rPr>
                  <w:rStyle w:val="InternetLink"/>
                  <w:rFonts w:ascii="Times New Roman" w:hAnsi="Times New Roman"/>
                  <w:sz w:val="20"/>
                </w:rPr>
                <w:t>DESCRIPTION OF DXL’S CAPITAL STOCK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233</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1">
              <w:r>
                <w:rPr>
                  <w:rStyle w:val="InternetLink"/>
                  <w:rFonts w:ascii="Times New Roman" w:hAnsi="Times New Roman"/>
                  <w:sz w:val="20"/>
                </w:rPr>
                <w:t>EXECUTIVE OFFICERS AND DIRECTORS FOLLOWING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2">
              <w:r>
                <w:rPr>
                  <w:rStyle w:val="InternetLink"/>
                  <w:rFonts w:ascii="Times New Roman" w:hAnsi="Times New Roman"/>
                  <w:sz w:val="20"/>
                </w:rPr>
                <w:t>PRINCIPAL STOCKHOLDERS OF DXL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3">
              <w:r>
                <w:rPr>
                  <w:rStyle w:val="InternetLink"/>
                  <w:rFonts w:ascii="Times New Roman" w:hAnsi="Times New Roman"/>
                  <w:sz w:val="20"/>
                </w:rPr>
                <w:t>WHERE YOU CAN FIND ADDITIONAL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4">
              <w:r>
                <w:rPr>
                  <w:rStyle w:val="InternetLink"/>
                  <w:rFonts w:ascii="Times New Roman" w:hAnsi="Times New Roman"/>
                  <w:sz w:val="20"/>
                </w:rPr>
                <w:t>HOUSEHOLDING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5">
              <w:r>
                <w:rPr>
                  <w:rStyle w:val="InternetLink"/>
                  <w:rFonts w:ascii="Times New Roman" w:hAnsi="Times New Roman"/>
                  <w:sz w:val="20"/>
                </w:rPr>
                <w:t>FUTURE STOCKHOLDER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244</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6">
              <w:r>
                <w:rPr>
                  <w:rStyle w:val="InternetLink"/>
                  <w:rFonts w:ascii="Times New Roman" w:hAnsi="Times New Roman"/>
                  <w:sz w:val="20"/>
                </w:rPr>
                <w:t>INFORMATION INCORPORATED BY REFERENCE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245</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7">
              <w:r>
                <w:rPr>
                  <w:rStyle w:val="InternetLink"/>
                  <w:rFonts w:ascii="Times New Roman" w:hAnsi="Times New Roman"/>
                  <w:sz w:val="20"/>
                </w:rPr>
                <w:t>MISCELLANEOUS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246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8">
              <w:r>
                <w:rPr>
                  <w:rStyle w:val="InternetLink"/>
                  <w:rFonts w:ascii="Times New Roman" w:hAnsi="Times New Roman"/>
                  <w:sz w:val="20"/>
                </w:rPr>
                <w:t>FBB HOLDINGS I, INC. INDEX TO CONSOLIDATED FINANCIAL STATEMENTS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9">
              <w:r>
                <w:rPr>
                  <w:rStyle w:val="InternetLink"/>
                  <w:rFonts w:ascii="Times New Roman" w:hAnsi="Times New Roman"/>
                  <w:sz w:val="20"/>
                </w:rPr>
                <w:t xml:space="preserve">ANNEX A: AGREEMENT AND PLAN OF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0">
              <w:r>
                <w:rPr>
                  <w:rStyle w:val="InternetLink"/>
                  <w:rFonts w:ascii="Times New Roman" w:hAnsi="Times New Roman"/>
                  <w:sz w:val="20"/>
                </w:rPr>
                <w:t>ANNEX B: GUGGENHEIM SECURITIES, LLC OPINION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1">
              <w:r>
                <w:rPr>
                  <w:rStyle w:val="InternetLink"/>
                  <w:rFonts w:ascii="Times New Roman" w:hAnsi="Times New Roman"/>
                  <w:sz w:val="20"/>
                </w:rPr>
                <w:t xml:space="preserve">ANNEX C: PROPOSED CERTIFICATE OF AMENDMENT OF RESTATED CERTIFICATE OF INCORPORATION OF DESTINATION XL GROUP, INC.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2">
              <w:r>
                <w:rPr>
                  <w:rStyle w:val="InternetLink"/>
                  <w:rFonts w:ascii="Times New Roman" w:hAnsi="Times New Roman"/>
                  <w:sz w:val="20"/>
                </w:rPr>
                <w:t xml:space="preserve">ANNEX D: PROPOSED AMENDMENT TO DESTINATION XL GROUP, INC. SECOND AMENDED AND RESTATED 2016 INCENTIVE COMPENSATION PLAN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76201_1"/>
      <w:bookmarkEnd w:id="3"/>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sz w:val="20"/>
        </w:rPr>
      </w:pPr>
      <w:r>
        <w:rPr>
          <w:rFonts w:ascii="Times New Roman" w:hAnsi="Times New Roman"/>
          <w:sz w:val="20"/>
        </w:rPr>
        <w:t>The following section provides answers to frequently asked questions about the special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its annexes and the documents referred to or incorporated by reference in this proxy statement. You may obtain the information incorporated by reference into this proxy statement without charge by following the instructions under the section of this proxy statement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indicated, the following information and all other information contained in this proxy statement does not give effect to the reverse stock split described in Proposal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Destination XL Group, Inc., a Delaware corporation (“DXL”), Divine Merger Sub I, Inc., a Delaware corporation and wholly owned direct subsidiary of DXL (the “merger subsidiary”), and FBB Holdings I, Inc., a Delaware corporation (“FBB”), have entered into an Agreement and Plan of Merger, dated as of December 11, 2025 (the “merger agreement”), that contains the terms and conditions of the proposed business combination of DXL and FBB. Under the merger agreement, at the effective time of the merger, the merger subsidiary would merge with and into FBB, with FBB continuing as the surviving corporation as a wholly owned subsidiary of DXL (the “merger”). If the merger is consummated, DXL would continue to operate under the same name (the “combined company”). The combined company would be expected to trade on The Nasdaq Capital Market under the ticker symbol “DXLG”.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DXL performance-based award that is outstanding under the DXL long-term incentive plan (the “LTIP”) at the effective time of the merger, if the merger is consummated, (a) would be cancelled and paid out on a pro rata basis equal to the product of (i) the earned amount of the award 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these proxy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these proxy materials because you have been identified as a stockholder of DXL as of the record date, and thus you are entitled to vote at DXL’s special meeting of stockholders (the “special meeting”). This document contains important information about the merger and the special meeting and serves as a proxy statement of DXL used to solicit proxies for the special meeting. You should read it carefully and in its entirety. The enclosed materials allow you to have your shares of DXL common stock voted by proxy without attending the special meeting. Your vote is important, and DXL encourages you to submit your proxy as soon as possible, whether or not you intend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DXL submitting the issuance proposal for stockholder vote if the DXL Board recommends voting “AGAINST” the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DXL is submitting the issuance proposal for stockholder vote because DXL is contractually obligated to do so under the terms of the merger agreement. The merger agreement does not permit DXL to terminate the agreement solely as a result of a change in recommendation by the Board of Directors of DXL (the “DXL Board”), and, accordingly, DXL remains obligated to submit the issuance proposal to its stockholders for a vote and the merger agreement remains in effect unless and until terminated in accordance with its terms. By contrast, following a change in recommendation by the DXL Board, FBB has the right to terminate the merger agreement under specified circumstances, in which case DXL would be required to pay FBB a termination fee of $2.5 million and/or an out-of-pocket fees and expense reimbursement of up to $950,000. For more information, please see the section entitled “</w:t>
            </w:r>
            <w:r>
              <w:rPr>
                <w:rFonts w:ascii="Times New Roman" w:hAnsi="Times New Roman"/>
                <w:i/>
                <w:sz w:val="20"/>
              </w:rPr>
              <w:t>The Merger Agreement—Termination Fee; Expense Reimbursement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discussion in this proxy statement summarizes the considerations evaluated at the time the merger agreement was approved.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uncertainty regarding the availability of the Combined ABL Facility and the resulting risk that the combined company may not have access to the liquidity contemplated by such facility, together with concerns that alternative financing may not be available on comparable terms, if at all, (v) concerns regarding FBB’s potential negative equity value, and (vi)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For a more complete discussion of the DXL Board’s current recommendation and the reasons for that determination, please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this proxy statement include different perspectives regarding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This proxy statement includes information regarding FBB, its business, financial condition and prospects, as well as statements regarding the potential strategic and financial benefits of the merger and the expected performance of the combined company. Certain information has been provided by FBB or its representatives and reflects the views, including assumptions, projections and judgments of FBB.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uncertainty regarding the availability of the Combined ABL Facility and the resulting risk that the combined company may not have access to the liquidity contemplated by such facility, together with concerns that alternative financing may not be available on comparable terms, if at all, (v) concerns regarding FBB’s potential negative equity value, and (vi)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As a result, certain statements identified in this proxy statement as having been made or provided by FBB or its representatives regarding the anticipated benefits of the merger, the outlook for the combined company or the strategic rationale for the transaction may differ from, or be inconsistent with, the current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120" w:after="0"/>
        <w:jc w:val="left"/>
        <w:rPr>
          <w:rFonts w:ascii="Times New Roman" w:hAnsi="Times New Roman"/>
          <w:sz w:val="20"/>
        </w:rPr>
      </w:pPr>
      <w:r>
        <w:rPr>
          <w:rFonts w:ascii="Times New Roman" w:hAnsi="Times New Roman"/>
          <w:sz w:val="20"/>
        </w:rPr>
        <w:t>Accordingly, stockholders are presented with differing 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w:t>
      </w:r>
      <w:r>
        <w:rPr>
          <w:rFonts w:ascii="Times New Roman" w:hAnsi="Times New Roman"/>
          <w:sz w:val="20"/>
        </w:rPr>
        <w:t xml:space="preserve"> </w:t>
      </w:r>
      <w:r>
        <w:rPr>
          <w:rFonts w:ascii="Times New Roman" w:hAnsi="Times New Roman"/>
          <w:i/>
          <w:sz w:val="20"/>
        </w:rPr>
        <w:t>Related to the Merger</w:t>
      </w:r>
      <w:r>
        <w:rPr>
          <w:rFonts w:ascii="Times New Roman" w:hAnsi="Times New Roman"/>
          <w:sz w:val="20"/>
        </w:rPr>
        <w:t xml:space="preserve">,” in determining how to vote on the proposals. DXL stockholders should also not place undue reliance on forward-looking statements or projections regarding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required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of the issuance proposal.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a standalone condition precedent,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For a more complete description of the closing conditions under the merger agreement, please see the section entitled “</w:t>
            </w:r>
            <w:r>
              <w:rPr>
                <w:rFonts w:ascii="Times New Roman" w:hAnsi="Times New Roman"/>
                <w:i/>
                <w:sz w:val="20"/>
              </w:rPr>
              <w:t>The Merger Agreement—Conditions to the Closing of the Merger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stockholder approval required for the issuance of shares of DXL common stock to existing stockholders of FBB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common stock is listed on The Nasdaq Capital Market, and, as such, DXL is subject to Nasdaq Listing Rule 5635. Under Nasdaq Listing Rule 5635(a), stockholder approval is required prior to the issuance of 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the merger, the number of shares of DXL common stock to be issued would be based on, among other factors, the reverse stock split ratio and the total number of outstanding shares of DXL common stock , on a fully diluted basis using the treasury stock method. Based on the assumptions set forth in this proxy statement, DXL would be expected to issue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million shares of DXL common stock on a fully diluted basis, and DXL common stock to be issued pursuant to the merger agreement would represent greater than 20% of its voting stock. Such issuance would also be expected to result in a change of control under the Nasdaq rules. Accordingly, because the issuance of DXL common stock in connection with the merger would exceed these thresholds and would be expected to result in a change of control under the Nasdaq rules, stockholder approval is required to authorize the issuance of shares of DXL common stock in connection with the merger and the resulting “change of control” of DXL under the Nasdaq rules.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reverse stock split and why is it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proposal is approved, prior to the effective time of the merger (in the event the issuance proposal is approved and the merger is to be consummated) or at such time as the DXL Board determines (in the event the issuance proposal is not approved and the merger is not consummated), by virtue of the filing of an amendment to the restated certificate of incorporation in the form of Section 1 of the certificate of amendment attached as Annex C to this proxy statement and incorporated herein by reference, the outstanding shares of DXL common stock will be combined into a lesser number of shares at a ratio in the range of one new share for every 2 to 30 shares outstanding (or any whole number in between) to be determined by the DXL Board and agreed to by FBB prior to the effective time and publicly announced by DXL and identified in the certificate of amendment so filed. The DXL Board believes that a reverse stock split is necessary for a number of reasons.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approval of the reverse stock split proposal would be expected, if the merger is consummated, to enable DXL to meet the minimum bid price requirement for Nasdaq listing and to satisfy the related Nasdaq 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DXL Board recommend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 consideration, the DXL Board unanimously recommends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proposal 1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2 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3 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4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DXL Board believes that approval of the reverse stock split proposal and the 2016 plan proposal is important for DXL’s ongoing operations and capital markets positioning, regardless of whether the merger is consummated.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DXL stockholders consider in deciding whether to vote in favor of the issuance proposal and the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DXL stockholders should carefully read the section of this proxy statement entitled “</w:t>
            </w:r>
            <w:r>
              <w:rPr>
                <w:rFonts w:ascii="Times New Roman" w:hAnsi="Times New Roman"/>
                <w:i/>
                <w:sz w:val="20"/>
              </w:rPr>
              <w:t>Risk Factors</w:t>
            </w:r>
            <w:r>
              <w:rPr>
                <w:rFonts w:ascii="Times New Roman" w:hAnsi="Times New Roman"/>
                <w:sz w:val="20"/>
              </w:rPr>
              <w:t xml:space="preserve">” beginning on page 33, which sets forth certain risks and uncertainties related to the merger and reverse stock split, risks and uncertainties to which the combined company’s business, if the merger is consummated, would be subject, risks and uncertainties to which DXL, as an independent company, is subject, and risks and uncertainties to which FBB, as an independent company, is subject.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particular, stockholders should carefully consider the DXL Board’s recent determination that the merger and the transactions contemplated by the merger agreement, including the issuance proposal, are not in the best interests of DXL stockholders under the current terms of the merger agreement. Stockholders should also consider the potential effects of the voting agreements entered into by certain stockholders in connection with the execution of the merger agreement, which may increase the likelihood that the issuance proposal is approved notwithstanding the DXL Board’s recommendation against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Combined ABL Facility, and why should stockholders be concerned that it may not be available on the expected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DXL and FBB are pursuing the establishment of a new asset-based revolving credit facility (the “Combined ABL Facility”) for the combined company. The Combined ABL Facility is expected to provide financing necessary to support the combined company’s operations following completion of the merger and is a key component of the combined company’s anticipated liquidity profile. The Combined ABL Facility is contemplated by the commitment letter entered into with Bank of America on July 1, 2026 (the “Bank of America Commitment Letter”).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Bank of America Commitment Letter, the commitments for the Combined ABL Facility are currently scheduled to expire on October 14, 2026, unless earlier terminated in accordance with their terms. DXL does not expect the merger to close by October 14, 2026 and, accordingly, the commitments under the Bank of America Commitment Letter will expire before the merger is completed unless Bank of America agrees to extend or renew them. Bank of America has advised DXL that it has concerns regarding FBB’s recent business trends and the projected liquidity profile of the combined company and that it is unwilling to extend its commitment beyond October 14, 2026 without movement on the transaction terms to address those concerns. </w:t>
      </w:r>
    </w:p>
    <w:p>
      <w:pPr>
        <w:pStyle w:val="TextBody"/>
        <w:bidi w:val="0"/>
        <w:spacing w:before="120" w:after="0"/>
        <w:jc w:val="left"/>
        <w:rPr>
          <w:rFonts w:ascii="Times New Roman" w:hAnsi="Times New Roman"/>
          <w:sz w:val="20"/>
        </w:rPr>
      </w:pPr>
      <w:r>
        <w:rPr>
          <w:rFonts w:ascii="Times New Roman" w:hAnsi="Times New Roman"/>
          <w:sz w:val="20"/>
        </w:rPr>
        <w:t xml:space="preserve">DXL has been informed by Bank of America that certain of FBB’s term loan lenders have indicated a willingness to consider modifications to the contemplated financing structure, including permitting interest on the term loan to be paid in kind for a limited period following closing and deferring scheduled principal payments during that period. Bank of America has indicated that it is evaluating whether such modifications would adequately address its concerns and has not yet determined whether they will satisfy its credit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Bank of America will extend or renew its commitment, that the Combined ABL Facility will be available on the currently contemplated terms, or at all, or that the combined company will be able to obtain alternative financing on comparable terms, if at all. In light of FBB’s declining operating performance, increased indebtedness and Bank of America’s concerns regarding the projected liquidity profile of the combined company, the combined company may face significant challenges in obtaining replacement financing. As a result, the combined company may not have access to the liquidity contemplated by the Combined ABL Facility and any replacement financing, if available, could be on terms materially less favorable than those currently contemplated. </w:t>
      </w:r>
    </w:p>
    <w:p>
      <w:pPr>
        <w:pStyle w:val="TextBody"/>
        <w:bidi w:val="0"/>
        <w:spacing w:before="120" w:after="0"/>
        <w:jc w:val="left"/>
        <w:rPr>
          <w:rFonts w:ascii="Times New Roman" w:hAnsi="Times New Roman"/>
          <w:sz w:val="20"/>
        </w:rPr>
      </w:pPr>
      <w:r>
        <w:rPr>
          <w:rFonts w:ascii="Times New Roman" w:hAnsi="Times New Roman"/>
          <w:sz w:val="20"/>
        </w:rPr>
        <w:t>For additional information, see sections entitled “</w:t>
      </w:r>
      <w:r>
        <w:rPr>
          <w:rFonts w:ascii="Times New Roman" w:hAnsi="Times New Roman"/>
          <w:i/>
          <w:sz w:val="20"/>
        </w:rPr>
        <w:t>Risk Factors—Risks Related to the Combined Company</w:t>
      </w:r>
      <w:r>
        <w:rPr>
          <w:rFonts w:ascii="Times New Roman" w:hAnsi="Times New Roman"/>
          <w:sz w:val="20"/>
        </w:rPr>
        <w:t>” and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notwithstanding the DXL Board’s recommendation against the issuance proposal, the DXL stockholders approve the issuance proposal, the consummation of the merger is expected to occur as promptly as practicable. The merger would be consummated, if at all, after the special meeting and following satisfaction or waiver of all closing conditions of the merger. For a more complete description of the closing conditions under the merger agreement, please see the section entitled “</w:t>
            </w:r>
            <w:r>
              <w:rPr>
                <w:rFonts w:ascii="Times New Roman" w:hAnsi="Times New Roman"/>
                <w:i/>
                <w:sz w:val="20"/>
              </w:rPr>
              <w:t>The Merger Agreement—Conditions to the Closing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federal or state regulatory requirements that must be complied with or federal or state regulatory approvals or clearances that must be obtained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DXL nor FBB is required to make any filings or to obtain any approvals or clearances from any antitrust regulatory authorities in the United States or other countries to consummate the merger. In the United States, DXL must comply with applicable federal and state securities laws and the Nasdaq rules in connection with the issuance of shares of DXL common stock in the merger, including the filing with the SEC of this proxy statement and the required stockholder approval for the resulting “change of control” of DXL under the Nasdaq rules. Prior to consummation of the merger, DXL intends to file an initial listing application with Nasdaq pursuant to Nasdaq’s “reverse merger” rules and to effect the initial listing of DXL common stock issuable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private 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certain lenders under its existing term loan facility and Jim Fogarty (the “private placement investors”),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pursuant to which the private placement investors agreed to purchase, and FBB agreed to sell, shares of FBB common stock for an aggregate purchase price of approximately $92 million immediately prior to the consummation of the merger (the “private placement”).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private placement investors subscribed to purchase these shares of FBB common stock through either (i) the payment of cash consideration and/or (ii) the exchange for cancellation of the principal amount of FBB’s outstanding term loan debt owed to such investor (the “debt-for-equity exchange”), with the total proceeds being used to pay down a portion of the outstanding indebtedness under FBB’s term loan facility. In addition, in connection with the private placement, the private placement investors were granted certain registration rights in the merger agreement with respect to the shares of DXL common stock they would receive if the merger is consummated in exchange for shares of FBB common stock.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would occur immediately prior to the closing of the merger and is a condition to closing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and the reverse stock split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would not sell, exchange or dispose of any shares of DXL common stock as a result of the merger if the merger is consummated. Thus, there would be no material U.S. federal income tax consequences to DXL stockholders as a result of the merger. DXL stockholders would not be expected to recognize gain or loss upon the reverse stock split.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material U.S. federal income tax consequences of the merger and the reverse stock split, please see the section entitled “</w:t>
      </w:r>
      <w:r>
        <w:rPr>
          <w:rFonts w:ascii="Times New Roman" w:hAnsi="Times New Roman"/>
          <w:i/>
          <w:sz w:val="20"/>
        </w:rPr>
        <w:t>The Merger—Material U.S. Federal Income Tax Consequences of the Merger and the Reverse Stock Split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shall constitute a quorum for the transaction of business. Abstentions and broker non-votes will be included in determining the number of shares present and entitled to vote at the meeting for the purpose of determining the presence of a quorum.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vote required to approve each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1:  </w:t>
            </w:r>
            <w:r>
              <w:rPr>
                <w:rFonts w:ascii="Times New Roman" w:hAnsi="Times New Roman"/>
                <w:i/>
                <w:sz w:val="20"/>
              </w:rPr>
              <w:t>Issuance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issuance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Reverse stock split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reverse stock split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2016 plan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2016 plan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adjournment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serve on the board of directors of the combined company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DXL’s board of directors would consist of nine directors. The board would include four directors designated by DXL, consisting of Lionel F. Conacher, Carmen R. Bauza, Jack Boyle and Willem Mesdag. The board would also include four directors designated by FBB, consisting of Jim Fogarty, Yasir Anwar, Steven Tesoriere, and Josh Beer. One independent director would be mutually agreed to by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lead the combined company as senior management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Jim Fogarty would serve as chief executive officer of DXL. Mr. Fogarty currently serves as chief executive officer of FBB. Peter Stratton would continue to serve as chief financial officer of DXL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DXL stockholders already committed to voting in favor of the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transactions contemplated by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of the outstanding shares of DXL common stock entitled to vote at the special meeting, including approximately [●]% held by PLP. After giving effect to the shares of DXL common stock subject to the voting agreements, holders of an additional [●] shares of DXL common stock not subject to the voting agreements, representing approximately [●]% of the shares of DXL common stock not subject to the voting agreements, would be required to be present in person or represented by proxy at the special meeting to constitute a quorum. </w:t>
      </w:r>
    </w:p>
    <w:p>
      <w:pPr>
        <w:pStyle w:val="TextBody"/>
        <w:bidi w:val="0"/>
        <w:spacing w:before="12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2265" w:type="dxa"/>
        <w:jc w:val="center"/>
        <w:tblInd w:w="0" w:type="dxa"/>
        <w:tblLayout w:type="fixed"/>
        <w:tblCellMar>
          <w:top w:w="0" w:type="dxa"/>
          <w:left w:w="0" w:type="dxa"/>
          <w:bottom w:w="0" w:type="dxa"/>
          <w:right w:w="0" w:type="dxa"/>
        </w:tblCellMar>
      </w:tblPr>
      <w:tblGrid>
        <w:gridCol w:w="209"/>
        <w:gridCol w:w="1956"/>
        <w:gridCol w:w="275"/>
        <w:gridCol w:w="60"/>
        <w:gridCol w:w="94"/>
        <w:gridCol w:w="2311"/>
        <w:gridCol w:w="275"/>
        <w:gridCol w:w="60"/>
        <w:gridCol w:w="768"/>
        <w:gridCol w:w="1217"/>
        <w:gridCol w:w="500"/>
        <w:gridCol w:w="60"/>
        <w:gridCol w:w="1540"/>
        <w:gridCol w:w="2440"/>
        <w:gridCol w:w="500"/>
      </w:tblGrid>
      <w:tr>
        <w:trPr/>
        <w:tc>
          <w:tcPr>
            <w:tcW w:w="209"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16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Present and Voting on</w:t>
              <w:br/>
              <w:t>Issuance Proposal</w:t>
              <w:br/>
              <w:t>(as % of Outstanding 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Required for</w:t>
              <w:br/>
              <w:t>Approval</w:t>
              <w:br/>
              <w:t>(Majority of Votes Cast)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w:t>
              <w:br/>
              <w:t>Voting Agreements</w:t>
            </w:r>
          </w:p>
        </w:tc>
        <w:tc>
          <w:tcPr>
            <w:tcW w:w="500" w:type="dxa"/>
            <w:tcBorders/>
            <w:vAlign w:val="bottom"/>
          </w:tcPr>
          <w:p>
            <w:pPr>
              <w:pStyle w:val="TableContents"/>
              <w:bidi w:val="0"/>
              <w:spacing w:before="0" w:after="283"/>
              <w:jc w:val="left"/>
              <w:rPr/>
            </w:pPr>
            <w:r>
              <w:rPr/>
              <w:t> </w:t>
            </w:r>
          </w:p>
        </w:tc>
      </w:tr>
      <w:tr>
        <w:trPr/>
        <w:tc>
          <w:tcPr>
            <w:tcW w:w="209" w:type="dxa"/>
            <w:tcBorders/>
            <w:shd w:fill="CCEEFF" w:val="clear"/>
            <w:vAlign w:val="bottom"/>
          </w:tcPr>
          <w:p>
            <w:pPr>
              <w:pStyle w:val="TableContents"/>
              <w:bidi w:val="0"/>
              <w:spacing w:before="0" w:after="283"/>
              <w:jc w:val="left"/>
              <w:rPr/>
            </w:pPr>
            <w:r>
              <w:rPr/>
              <w:t> </w:t>
            </w:r>
          </w:p>
        </w:tc>
        <w:tc>
          <w:tcPr>
            <w:tcW w:w="1956" w:type="dxa"/>
            <w:tcBorders/>
            <w:shd w:fill="CCEEFF" w:val="clear"/>
            <w:vAlign w:val="bottom"/>
          </w:tcPr>
          <w:p>
            <w:pPr>
              <w:pStyle w:val="TableContents"/>
              <w:bidi w:val="0"/>
              <w:spacing w:before="0" w:after="283"/>
              <w:jc w:val="right"/>
              <w:rPr/>
            </w:pPr>
            <w:r>
              <w:rPr/>
              <w:t>51.0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25.5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09" w:type="dxa"/>
            <w:tcBorders/>
            <w:vAlign w:val="bottom"/>
          </w:tcPr>
          <w:p>
            <w:pPr>
              <w:pStyle w:val="TableContents"/>
              <w:bidi w:val="0"/>
              <w:spacing w:before="0" w:after="283"/>
              <w:jc w:val="left"/>
              <w:rPr/>
            </w:pPr>
            <w:r>
              <w:rPr/>
              <w:t> </w:t>
            </w:r>
          </w:p>
        </w:tc>
        <w:tc>
          <w:tcPr>
            <w:tcW w:w="1956" w:type="dxa"/>
            <w:tcBorders/>
            <w:vAlign w:val="bottom"/>
          </w:tcPr>
          <w:p>
            <w:pPr>
              <w:pStyle w:val="TableContents"/>
              <w:bidi w:val="0"/>
              <w:spacing w:before="0" w:after="283"/>
              <w:jc w:val="right"/>
              <w:rPr/>
            </w:pPr>
            <w:r>
              <w:rPr/>
              <w:t>60.0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30.0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09" w:type="dxa"/>
            <w:tcBorders/>
            <w:shd w:fill="CCEEFF" w:val="clear"/>
            <w:vAlign w:val="bottom"/>
          </w:tcPr>
          <w:p>
            <w:pPr>
              <w:pStyle w:val="TableContents"/>
              <w:bidi w:val="0"/>
              <w:spacing w:before="0" w:after="283"/>
              <w:jc w:val="left"/>
              <w:rPr/>
            </w:pPr>
            <w:r>
              <w:rPr/>
              <w:t> </w:t>
            </w:r>
          </w:p>
        </w:tc>
        <w:tc>
          <w:tcPr>
            <w:tcW w:w="1956" w:type="dxa"/>
            <w:tcBorders/>
            <w:shd w:fill="CCEEFF" w:val="clear"/>
            <w:vAlign w:val="bottom"/>
          </w:tcPr>
          <w:p>
            <w:pPr>
              <w:pStyle w:val="TableContents"/>
              <w:bidi w:val="0"/>
              <w:spacing w:before="0" w:after="283"/>
              <w:jc w:val="right"/>
              <w:rPr/>
            </w:pPr>
            <w:r>
              <w:rPr/>
              <w:t>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35.0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09" w:type="dxa"/>
            <w:tcBorders/>
            <w:vAlign w:val="bottom"/>
          </w:tcPr>
          <w:p>
            <w:pPr>
              <w:pStyle w:val="TableContents"/>
              <w:bidi w:val="0"/>
              <w:spacing w:before="0" w:after="283"/>
              <w:jc w:val="left"/>
              <w:rPr/>
            </w:pPr>
            <w:r>
              <w:rPr/>
              <w:t> </w:t>
            </w:r>
          </w:p>
        </w:tc>
        <w:tc>
          <w:tcPr>
            <w:tcW w:w="1956" w:type="dxa"/>
            <w:tcBorders/>
            <w:vAlign w:val="bottom"/>
          </w:tcPr>
          <w:p>
            <w:pPr>
              <w:pStyle w:val="TableContents"/>
              <w:bidi w:val="0"/>
              <w:spacing w:before="0" w:after="283"/>
              <w:jc w:val="right"/>
              <w:rPr/>
            </w:pPr>
            <w:r>
              <w:rPr/>
              <w:t>80.0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40.0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09" w:type="dxa"/>
            <w:tcBorders/>
            <w:shd w:fill="CCEEFF" w:val="clear"/>
            <w:vAlign w:val="bottom"/>
          </w:tcPr>
          <w:p>
            <w:pPr>
              <w:pStyle w:val="TableContents"/>
              <w:bidi w:val="0"/>
              <w:spacing w:before="0" w:after="283"/>
              <w:jc w:val="left"/>
              <w:rPr/>
            </w:pPr>
            <w:r>
              <w:rPr/>
              <w:t> </w:t>
            </w:r>
          </w:p>
        </w:tc>
        <w:tc>
          <w:tcPr>
            <w:tcW w:w="1956" w:type="dxa"/>
            <w:tcBorders/>
            <w:shd w:fill="CCEEFF" w:val="clear"/>
            <w:vAlign w:val="bottom"/>
          </w:tcPr>
          <w:p>
            <w:pPr>
              <w:pStyle w:val="TableContents"/>
              <w:bidi w:val="0"/>
              <w:spacing w:before="0" w:after="283"/>
              <w:jc w:val="right"/>
              <w:rPr/>
            </w:pPr>
            <w:r>
              <w:rPr/>
              <w:t>90.0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45.0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09" w:type="dxa"/>
            <w:tcBorders/>
            <w:vAlign w:val="bottom"/>
          </w:tcPr>
          <w:p>
            <w:pPr>
              <w:pStyle w:val="TableContents"/>
              <w:bidi w:val="0"/>
              <w:spacing w:before="0" w:after="283"/>
              <w:jc w:val="left"/>
              <w:rPr/>
            </w:pPr>
            <w:r>
              <w:rPr/>
              <w:t> </w:t>
            </w:r>
          </w:p>
        </w:tc>
        <w:tc>
          <w:tcPr>
            <w:tcW w:w="1956"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12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current DXL directors, DXL’s chief financial officer, the former chief executive officer and former director of DXL, and PLP, which are parties to voting agreements, DXL is not aware of any other member of management or other stockholder who owned more than 5% of DXL’s outstanding common stock as of the record date that has indicated whether he, she, or it intends to vote in favor of the issuance proposal. </w:t>
      </w:r>
    </w:p>
    <w:p>
      <w:pPr>
        <w:pStyle w:val="TextBody"/>
        <w:bidi w:val="0"/>
        <w:spacing w:before="120" w:after="0"/>
        <w:jc w:val="left"/>
        <w:rPr>
          <w:rFonts w:ascii="Times New Roman" w:hAnsi="Times New Roman"/>
          <w:sz w:val="20"/>
        </w:rPr>
      </w:pPr>
      <w:r>
        <w:rPr>
          <w:rFonts w:ascii="Times New Roman" w:hAnsi="Times New Roman"/>
          <w:sz w:val="20"/>
        </w:rPr>
        <w:t xml:space="preserve">The shares subject to the voting agreements are obligated to be voted in favor of the issuance proposal and therefore will count toward the votes required to approve the issuance proposal. As a result, approval of the issuance proposal will require fewer additional affirmative votes from other DXL stockholders than would otherwise be required if the shares subject to the voting agreements were not committed to vote in favor of the issuance proposal. However, the shares subject to the voting agreements are not sufficient, by themselves, to constitute a quorum and approve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Please see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my proxy and vote important?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submit a proxy or attend the special meeting in person, it will be more difficult for DXL to obtain the necessary quorum to hold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take place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at DXL’s corporate offices located at 555 Turnpike Street, Canton, Massachusetts 02021.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holders of shares of DXL common stock as of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record date for the special meeting (the “record date”) are entitled to receive notice of, attend the special meeting and any adjournment or postponement thereof, and vote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entitled to attend and vote at the special meeting only if you were a DXL stockholder as of the record date or hold a valid proxy for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you have carefully read this proxy statement and have decided how you wish to vote your shares of DXL common stock, please vote your shares promptly so that your shares are represented and voted at the special meeting. If you hold your shares in your name as a stockholder of record, you must complete, sign, date and mail your proxy card in the enclosed postage-paid return envelope as soon as possible. If you hold your shares in “street name” through a bank, broker or other nominee, you must direct your bank, broker or other nominee how to vote in accordance with the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can I vote my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DXL common stock may vote by proxy or in person at the special meeting. If you hold your shares of DXL common stock in your name as a holder of record, to submit a proxy, you, as a holder of DXL common stock, may use one of the following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by calling the toll-free number indicated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Internet: by visiting the website indicated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and returning the accompanying proxy card in the enclosed postage-paid envelope. The envelope requires no additional postage if mailed in the United States.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intend to submit your proxy by telephone or via the Internet, you must do so by 11:59 p.m., Eastern Time, on the day before the special meeting. If you intend to submit your proxy by mail, your completed proxy card must be received prior to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holder’s shares are held in “street name” by a bank, broker, or other nominee, the holder should check the voting form used by that firm to determine whether the holder may vote by telephone or the Internet. </w:t>
      </w:r>
    </w:p>
    <w:p>
      <w:pPr>
        <w:pStyle w:val="TextBody"/>
        <w:bidi w:val="0"/>
        <w:spacing w:before="120" w:after="0"/>
        <w:jc w:val="left"/>
        <w:rPr>
          <w:rFonts w:ascii="Times New Roman" w:hAnsi="Times New Roman"/>
          <w:sz w:val="20"/>
        </w:rPr>
      </w:pPr>
      <w:r>
        <w:rPr>
          <w:rFonts w:ascii="Times New Roman" w:hAnsi="Times New Roman"/>
          <w:sz w:val="20"/>
        </w:rPr>
        <w:t xml:space="preserve">Even if you plan to attend the special meeting, DXL recommends that you vote your shares in advance as described below so that your vote will be counted if you later decide not to or become unable to attend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shares are held in “street name” by my bank or broker, will my bank or broker automatically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Your bank or broker cannot vote your shares on proposals 1, 2 and 3, but may vote your shares on proposal 4, without instructions from you. If your shares are held in “street name” through a bank, broker or other nominee, you must provide the record holder of your shares of DXL common stock with instructions on how to vote the shares. Please follow the voting instructions provided by the bank or broker. You may not vote shares held in street name by returning a proxy card directly to DXL, or by voting at the special meeting, unless you provide a “legal proxy”, which you must obtain from your broker, bank, or other nominee. Further, brokers, banks, or other nominees who hold shares of DXL common stock on behalf of their customers may not give a proxy to DXL to vote those shares with respect to any of the proposals without specific instructions from their customers, as brokers, banks, and other nominees do not have discretionary voting power on these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vote after I have delivered my proxy or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are the record holder of your shares, you may revoke your proxy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a broker, bank, or other nominee, you should contact your broker, bank, or other nominee to change your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receive more than one set of voting materials, including multiple copies of this proxy statement and multiple proxy cards or voting instruction cards. For example, if you hold shares of DXL common stock in more than one brokerage account, you will receive a separate voting instruction card for each brokerage account in which you hold such shares. If you are a holder of record of DXL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 to ensure that you vote every share of DXL common stock that you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DXL stockholders are not entitled to appraisal rights in connection with the merger or any of the proposals to be voted on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Have FBB stockholders agreed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On December 11, 2025, FBB stockholders adopted the merger agreement and approved the merger and related transactions by written consent.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will equally share the cost of the printing, mailing and filing of this proxy statement and the fees paid to a financial printer or the SEC. DXL will pay any other fees and expenses incurred by it. DXL and FBB may use the services of their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76201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selected information from this proxy statement and may not contain all of the information that is important to you. To better understand the merger and the other proposals being considered at the special meeting, you should read this entire proxy statement carefully, including the materials attached as annexes, as well as other documents referred to or incorporated by reference herein. You may obtain the information incorporated by reference into this proxy statement without charge by following the instructions under the section of this proxy statement entitled “</w:t>
      </w:r>
      <w:r>
        <w:rPr>
          <w:rFonts w:ascii="Times New Roman" w:hAnsi="Times New Roman"/>
          <w:i/>
          <w:sz w:val="20"/>
          <w:bdr w:val="single" w:sz="8" w:space="1" w:color="000000"/>
        </w:rPr>
        <w:t>Where You Can Find Additional Information</w:t>
      </w:r>
      <w:r>
        <w:rPr>
          <w:rFonts w:ascii="Times New Roman" w:hAnsi="Times New Roman"/>
          <w:sz w:val="20"/>
          <w:bdr w:val="single" w:sz="8" w:space="1" w:color="000000"/>
        </w:rPr>
        <w:t xml:space="preserve">”. </w:t>
      </w:r>
      <w:r>
        <w:rPr>
          <w:rFonts w:ascii="Times New Roman" w:hAnsi="Times New Roman"/>
          <w:b/>
          <w:sz w:val="20"/>
          <w:bdr w:val="single" w:sz="8" w:space="1" w:color="000000"/>
        </w:rPr>
        <w:t>As described elsewhere in this proxy statement, the DXL Board has continued to evaluate the merger, including developments since the execution of the merger agreement,</w:t>
      </w:r>
      <w:r>
        <w:rPr>
          <w:rFonts w:ascii="Times New Roman" w:hAnsi="Times New Roman"/>
          <w:sz w:val="20"/>
          <w:bdr w:val="single" w:sz="8" w:space="1" w:color="000000"/>
        </w:rPr>
        <w:t xml:space="preserve"> </w:t>
      </w:r>
      <w:r>
        <w:rPr>
          <w:rFonts w:ascii="Times New Roman" w:hAnsi="Times New Roman"/>
          <w:b/>
          <w:sz w:val="20"/>
          <w:bdr w:val="single" w:sz="8" w:space="1" w:color="000000"/>
        </w:rPr>
        <w:t>and has withdrawn its prior recommendation in favor of the merger and the issuance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and now recommends that stockholders vote “AGAINST” the issuance proposal.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Destination XL Group,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555 Turnpike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Canton, Massachusetts 02021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(781) 828-9300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Destination XL Group, Inc., a Delaware corporation (“DXL”), is the leading specialty retailer of big + tall men’s apparel with retail locations throughout the United States. DXL operates under the trade names of Destination XL®, DXL®, DXL® Big + Tall, DXL Men’s Apparel, DXL outlets, Casual Male XL® and Casual Male XL outlets. At May 2, 2026, DXL operated 293 stores, consisting of 257 DXL retail stores, 17 DXL outlet stores, 5 Casual Male XL retail stores, 14 Casual Male XL outlet stores, and a digital business, including an e-commerce site at </w:t>
      </w:r>
      <w:r>
        <w:rPr>
          <w:rFonts w:ascii="Times New Roman" w:hAnsi="Times New Roman"/>
          <w:i/>
          <w:sz w:val="20"/>
          <w:bdr w:val="single" w:sz="8" w:space="1" w:color="000000"/>
        </w:rPr>
        <w:t xml:space="preserve">www.dxl.com, </w:t>
      </w:r>
      <w:r>
        <w:rPr>
          <w:rFonts w:ascii="Times New Roman" w:hAnsi="Times New Roman"/>
          <w:sz w:val="20"/>
          <w:bdr w:val="single" w:sz="8" w:space="1" w:color="000000"/>
        </w:rPr>
        <w:t xml:space="preserve">a mobile site </w:t>
      </w:r>
      <w:r>
        <w:rPr>
          <w:rFonts w:ascii="Times New Roman" w:hAnsi="Times New Roman"/>
          <w:i/>
          <w:sz w:val="20"/>
          <w:bdr w:val="single" w:sz="8" w:space="1" w:color="000000"/>
        </w:rPr>
        <w:t>m.destinationXL.com</w:t>
      </w:r>
      <w:r>
        <w:rPr>
          <w:rFonts w:ascii="Times New Roman" w:hAnsi="Times New Roman"/>
          <w:sz w:val="20"/>
          <w:bdr w:val="single" w:sz="8" w:space="1" w:color="000000"/>
        </w:rPr>
        <w:t xml:space="preserve"> and mobile app.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FBB Holdings I,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One New York Plaza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New York, New York 10004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(212) 613-9500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Holdings I, Inc., a Delaware corporation (“FBB”) and parent company of FULLBEAUTY Brands, Inc., is the industry leader in extended sizes and a pioneer in size inclusive fashions for plus-size women and big &amp; tall men seeking fashion inspiration, style advice, and clothing tailored to their individual needs. Beginning in 1901 with a mission to serve the plus sized customer, the company’s mission continues over 120 years later. The FULLBEAUTY family of premier fashion brands includes OneStopPlus®, the world’s first and largest online shopping destination for plus-size women, Catherines®, WomanWithin®, Jessica London®, Roaman’s®, SwimsuitsForAll®, Ellos®, Active For All®, Shoes For All®, Intimates For All®, KingSize®, Brylane Home®, June &amp; Vie, Eloquii®, CUUP®, Dia Shop, Dia &amp; Co®, Avenue®, Joe Browns®, FullBeauty® and FullBeauty Outlet®, collectively offering more than 100 individual brands.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Combined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 of the combined company would be expected to be located in Canton,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of the merger agreement, the merger subsidiary, a wholly owned direct subsidiary of DXL formed by DXL in connection with the merger, would merge with and into FBB, with FBB continuing as the surviving corporation as a wholly owned subsidiary of DXL.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Accordingly, the DXL Board unanimously recommends that DXL stockholders vote (i) </w:t>
      </w:r>
      <w:r>
        <w:rPr>
          <w:rFonts w:ascii="Times New Roman" w:hAnsi="Times New Roman"/>
          <w:sz w:val="20"/>
          <w:bdr w:val="single" w:sz="8" w:space="1" w:color="000000"/>
        </w:rPr>
        <w:t>“</w:t>
      </w:r>
      <w:r>
        <w:rPr>
          <w:rFonts w:ascii="Times New Roman" w:hAnsi="Times New Roman"/>
          <w:b/>
          <w:sz w:val="20"/>
          <w:bdr w:val="single" w:sz="8" w:space="1" w:color="000000"/>
        </w:rPr>
        <w:t xml:space="preserve">AGAINST” the issuance proposal, (ii) </w:t>
      </w:r>
      <w:r>
        <w:rPr>
          <w:rFonts w:ascii="Times New Roman" w:hAnsi="Times New Roman"/>
          <w:sz w:val="20"/>
          <w:bdr w:val="single" w:sz="8" w:space="1" w:color="000000"/>
        </w:rPr>
        <w:t>“</w:t>
      </w:r>
      <w:r>
        <w:rPr>
          <w:rFonts w:ascii="Times New Roman" w:hAnsi="Times New Roman"/>
          <w:b/>
          <w:sz w:val="20"/>
          <w:bdr w:val="single" w:sz="8" w:space="1" w:color="000000"/>
        </w:rPr>
        <w:t>FOR” the reverse stock split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(iii)</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FOR” the 2016 plan proposal, and (iv) </w:t>
      </w:r>
      <w:r>
        <w:rPr>
          <w:rFonts w:ascii="Times New Roman" w:hAnsi="Times New Roman"/>
          <w:sz w:val="20"/>
          <w:bdr w:val="single" w:sz="8" w:space="1" w:color="000000"/>
        </w:rPr>
        <w:t>“</w:t>
      </w:r>
      <w:r>
        <w:rPr>
          <w:rFonts w:ascii="Times New Roman" w:hAnsi="Times New Roman"/>
          <w:b/>
          <w:sz w:val="20"/>
          <w:bdr w:val="single" w:sz="8" w:space="1" w:color="000000"/>
        </w:rPr>
        <w:t>FOR” the adjournment proposal.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decision in December 2025 to approve the merger agreement, the merger and the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considerations associated with combining the businesses, operations and assets of DXL and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structure of the combined company following the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LLC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 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defined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Following its review in August 2026 of additional information regarding FBB’s deteriorating financial condition, continued decline in operating performance and significantly increased indebtedness, the DXL Board reaffirmed that determination and reassessed the foregoing factors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light of developments since the execution of the merger agreement, including developments relating to market conditions, DXL’s business performance and updated information regarding FBB, and considered a number of additional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including whether the exchange ratio and resulting ownership allocation continued to reflect the relative values of DXL and FBB in light of developments following the execution of the merger agreement in December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increased execution risk and uncertainty associated with achieving projected operating performance and anticipated synergies. During the first half of 2026, the DXL Board determined that these conditions had become more challenging relative to the market conditions and assumptions considered when the DXL Board approved the merger agreement in December 2025 and evaluated the effect of those developments on the outlook for DXL, FBB and the combined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importance of successful integration and execution in order to realize any projected benefits of the merger. In May 2026, the DXL Board reviewed updated information and analyses regarding FBB’s capital structure and indebtedness and reevaluated the effect of that indebtedness on the financial profile and financial flexibility of the combined company relative to the information and assumptions considered in December 2025. The DXL Board further considered that the additional $15 million debt-for-equity conversion reflected in the amendment to the private placement commitments that occurred in August 2026 did not materially improve the anticipated post-closing leverage profile or overall financial condition of the combined company. The DXL Board’s view was that FBB’s indebtedness and financial condition had deteriorated further since its June 2026 determination to change its recommendation with respect to the issuance proposal and that such developments reinforced, and in certain respects heightened, its concerns regarding FBB’s financial condition, future prospects and the advisability of the merger on its existing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the Combined ABL Facility and the resulting liquidity profile of the combined company. In August 2026, the DXL Board reviewed information regarding the Combined ABL Facility, including Bank of America’s concerns regarding FBB’s recent business trends and the projected liquidity profile of the combined company, the scheduled October 14, 2026 expiration of the related commitments and the risks associated with obtaining an extension, renewal or replacement financing. The DXL Board also considered the possibility that the combined company may not have access to the liquidity contemplated by the Combined ABL Facility and that any replacement financing, if available, could be on terms materially less favorable than those currently contemplated. The DXL Board viewed these developments as further increasing the financial and execution risks associated with the merger and the anticipated post-closing liquidity, financial flexibility and financial profile of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view that the May 2026 FBB-Provided Financial Projections did not represent the most likely future performance of FBB. In reaching this conclusion, the DXL Board considered DXL senior management’s assessment of the assumptions underlying those projections, including projected improvements in FBB’s sales performance following more than four consecutive years of double-digit sales declines, notwithstanding a 10.7% decline in comparable sales during the first quarter of fiscal 2026. The DXL Board also considered DXL senior management’s concerns regarding the assumptions supporting projected improvements in FBB’s Classic Mall business, the inclusion of projected acquisition-related revenue that was not attributable to specifically identified acquisition opportunities and certain assumptions regarding FBB’s projected operating performance and profitability. The DXL Board further considered information presented by FBB management on June 1, 2026 regarding certain proposed cost-reduction and sales initiatives, but determined, based on DXL senior management’s assessment, that such information did not alter the DXL Board’s negative view regarding the reliability of the May 2026 FBB-Provided Financial Projections as an indication of FBB’s most likely future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increased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In reaching this view, the DXL Board considered, among other things, the May 2026 Supplemental Financial Analyses, which indicated that, under certain assumptions and methodologies, FBB could have limited or potentially negative equity value. The DXL Board had not considered analyses indicating a potential negative equity value for FBB when it approved the merger agreement in December 2025 and therefore evaluated whether those analyses affected the valuation assumptions underlying the merger agreement and the relative value attributed to FBB. See the section entitled “</w:t>
            </w:r>
            <w:r>
              <w:rPr>
                <w:rFonts w:ascii="Times New Roman" w:hAnsi="Times New Roman"/>
                <w:i/>
                <w:sz w:val="20"/>
              </w:rPr>
              <w:t>The Merger—May 2026 Supplemental Financial Analyses Prepared by Guggenheim Securities, Financial Advisor to DXL</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economic dilution that DXL stockholders would experience if the merger were consummated on its existing terms. Although the ownership allocation contemplated by the merger agreement had not changed, the DXL Board’s assessment of the economic effect of that ownership allocation changed in light of the updated information and analyses reviewed in May 2026. In particular, the DXL Board reevaluated whether the percentage of the combined company that would be held by DXL stockholders remained appropriate and continued to reflect the relative values of DXL and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w:t>
            </w:r>
            <w:r>
              <w:rPr>
                <w:rFonts w:ascii="Times New Roman" w:hAnsi="Times New Roman"/>
                <w:b/>
                <w:sz w:val="20"/>
              </w:rPr>
              <w:t>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this ongoing evaluation, the DXL Board also revisited the assumptions underlying the anticipated strategic, financial and operational benefits of the merger, including expected synergies, growth opportunities and integration-related efficiencies, and considered whether those assumptions remained achievable in light of the developments described above and the updated information and analyses reviewed by the DXL Board during the first half of 2026. In particular, the DXL Board considered whether the increasingly challenging consumer and retail environment, FBB’s continuing decline in operating performance and financial results, FBB’s indebtedness and the related execution risks, and the uncertainty regarding the availability of the Combined ABL Facility and the risk that the combined company may not have access to the liquidity contemplated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facility or be able to obtain alternative financing on comparable terms, if at all, reduced the likelihood that the anticipated benefits of the merger could be achieved within the time periods and to the extent contemplated when the DXL Board approved the merger agreement in December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Board’s concerns regarding FBB’s financial condition, operating performance, liquidity profile and future prospects were further reinforced by additional information received following the DXL Board’s June 2, 2026 determination to change its recommendation with respect to the issuance proposal. In particular, the DXL Board considered the continued deterioration in FBB’s operating performance and financial results, as well as the further increase in FBB’s indebtedness and the resulting effect on the anticipated post-closing financial profile of the combined company. The DXL Board concluded that, notwithstanding the additional $15 million debt-for-equity conversion reflected in the August 2026 amendment to the private placement commitments, FBB’s financial condition and indebtedness had deteriorated further since its June 2026 determination and that such developments reinforced, and in certain respects heightened, the concerns regarding FBB’s financial condition, operating performance and future prospects that had led to that determination.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DXL Board determined that, taken together, the risks and uncertainties associated with the merger, including those described above and in the section entitled “</w:t>
      </w:r>
      <w:r>
        <w:rPr>
          <w:rFonts w:ascii="Times New Roman" w:hAnsi="Times New Roman"/>
          <w:i/>
          <w:sz w:val="20"/>
          <w:bdr w:val="single" w:sz="8" w:space="1" w:color="000000"/>
        </w:rPr>
        <w:t>Risk Factors</w:t>
      </w:r>
      <w:r>
        <w:rPr>
          <w:rFonts w:ascii="Times New Roman" w:hAnsi="Times New Roman"/>
          <w:b/>
          <w:sz w:val="20"/>
          <w:bdr w:val="single" w:sz="8" w:space="1" w:color="000000"/>
        </w:rPr>
        <w:t xml:space="preserve">,”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on the DXL Board’s recommendation, please see the section entitled “</w:t>
      </w:r>
      <w:r>
        <w:rPr>
          <w:rFonts w:ascii="Times New Roman" w:hAnsi="Times New Roman"/>
          <w:i/>
          <w:sz w:val="20"/>
          <w:bdr w:val="single" w:sz="8" w:space="1" w:color="000000"/>
        </w:rPr>
        <w:t>The Merger—DXL’s Reasons for Recommending Against the Issuance Proposal; Updated Recommendation of the DXL Board</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December 2025 Opinion of Guggenheim Securities, Financial Advisor to DXL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w:t>
      </w:r>
      <w:r>
        <w:rPr>
          <w:rFonts w:ascii="Times New Roman" w:hAnsi="Times New Roman"/>
          <w:sz w:val="20"/>
          <w:bdr w:val="single" w:sz="8" w:space="1" w:color="000000"/>
        </w:rPr>
        <w:t xml:space="preserve"> </w:t>
      </w:r>
      <w:r>
        <w:rPr>
          <w:rFonts w:ascii="Times New Roman" w:hAnsi="Times New Roman"/>
          <w:b/>
          <w:sz w:val="20"/>
          <w:bdr w:val="single" w:sz="8" w:space="1" w:color="000000"/>
        </w:rPr>
        <w:t>rely on the December 2025 Opinion expressed in Guggenheim Securities’ December 10, 2025 letter to the</w:t>
      </w:r>
      <w:r>
        <w:rPr>
          <w:rFonts w:ascii="Times New Roman" w:hAnsi="Times New Roman"/>
          <w:sz w:val="20"/>
          <w:bdr w:val="single" w:sz="8" w:space="1" w:color="000000"/>
        </w:rPr>
        <w:t xml:space="preserve"> </w:t>
      </w:r>
      <w:r>
        <w:rPr>
          <w:rFonts w:ascii="Times New Roman" w:hAnsi="Times New Roman"/>
          <w:b/>
          <w:sz w:val="20"/>
          <w:bdr w:val="single" w:sz="8" w:space="1" w:color="000000"/>
        </w:rPr>
        <w:t>DXL Board or on the financial analyses Guggenheim Securities reviewed with the DXL Board at the</w:t>
      </w:r>
      <w:r>
        <w:rPr>
          <w:rFonts w:ascii="Times New Roman" w:hAnsi="Times New Roman"/>
          <w:sz w:val="20"/>
          <w:bdr w:val="single" w:sz="8" w:space="1" w:color="000000"/>
        </w:rPr>
        <w:t xml:space="preserve"> </w:t>
      </w:r>
      <w:r>
        <w:rPr>
          <w:rFonts w:ascii="Times New Roman" w:hAnsi="Times New Roman"/>
          <w:b/>
          <w:sz w:val="20"/>
          <w:bdr w:val="single" w:sz="8" w:space="1" w:color="000000"/>
        </w:rPr>
        <w:t>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w:t>
      </w:r>
      <w:r>
        <w:rPr>
          <w:rFonts w:ascii="Times New Roman" w:hAnsi="Times New Roman"/>
          <w:sz w:val="20"/>
          <w:bdr w:val="single" w:sz="8" w:space="1" w:color="000000"/>
        </w:rPr>
        <w:t xml:space="preserve"> </w:t>
      </w:r>
      <w:r>
        <w:rPr>
          <w:rFonts w:ascii="Times New Roman" w:hAnsi="Times New Roman"/>
          <w:b/>
          <w:sz w:val="20"/>
          <w:bdr w:val="single" w:sz="8" w:space="1" w:color="000000"/>
        </w:rPr>
        <w:t>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 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connection with the merger, Guggenheim Securities rendered the December 2025 Opinion to the DXL Board to the effect that, as of December 10, 2025 and based on and subject to the matters considered, the procedures followed, the assumptions made and various limitations of and qualifications to the review undertaken, the merger consideration was fair, from a financial point of view, to the stockholders of DXL. The December 2025 Opinion was provided to the DXL Board (in its capacity as such) for its information and assistance in connection with its evaluation of the merger consideration in December 2025. The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text of the December 2025 Opinion, which was rendered only on and as of December 10, 2025 and has not been and will not be updated, is attached as Annex B to this proxy statement and which you should read carefully and in its entirety, is subject to the assumptions, limitations, qualifications and other conditions contained in such opinion and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December 2025 Opinion that Guggenheim Securities provided to the DXL Board, please see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May 2026 Supplemental Financial Analyses Prepared by</w:t>
      </w:r>
      <w:r>
        <w:rPr>
          <w:rFonts w:ascii="Times New Roman" w:hAnsi="Times New Roman"/>
          <w:sz w:val="20"/>
          <w:bdr w:val="single" w:sz="8" w:space="1" w:color="000000"/>
        </w:rPr>
        <w:t xml:space="preserve"> </w:t>
      </w:r>
      <w:r>
        <w:rPr>
          <w:rFonts w:ascii="Times New Roman" w:hAnsi="Times New Roman"/>
          <w:b/>
          <w:sz w:val="20"/>
          <w:bdr w:val="single" w:sz="8" w:space="1" w:color="000000"/>
        </w:rPr>
        <w:t>Guggenheim Securities, Financial Advisor to DXL</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w:t>
      </w:r>
      <w:r>
        <w:rPr>
          <w:rFonts w:ascii="Times New Roman" w:hAnsi="Times New Roman"/>
          <w:sz w:val="20"/>
          <w:bdr w:val="single" w:sz="8" w:space="1" w:color="000000"/>
        </w:rPr>
        <w:t xml:space="preserve"> </w:t>
      </w:r>
      <w:r>
        <w:rPr>
          <w:rFonts w:ascii="Times New Roman" w:hAnsi="Times New Roman"/>
          <w:b/>
          <w:sz w:val="20"/>
          <w:bdr w:val="single" w:sz="8" w:space="1" w:color="000000"/>
        </w:rPr>
        <w:t>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May 2026 Supplemental Financial Analyses were</w:t>
      </w:r>
      <w:r>
        <w:rPr>
          <w:rFonts w:ascii="Times New Roman" w:hAnsi="Times New Roman"/>
          <w:sz w:val="20"/>
          <w:bdr w:val="single" w:sz="8" w:space="1" w:color="000000"/>
        </w:rPr>
        <w:t xml:space="preserve"> </w:t>
      </w:r>
      <w:r>
        <w:rPr>
          <w:rFonts w:ascii="Times New Roman" w:hAnsi="Times New Roman"/>
          <w:b/>
          <w:sz w:val="20"/>
          <w:bdr w:val="single" w:sz="8" w:space="1" w:color="000000"/>
        </w:rPr>
        <w:t>provided to the DXL Board (in its capacity as such) for its information and assistance in connection with its ongoing evaluation of the merger. The May 2026</w:t>
      </w:r>
      <w:r>
        <w:rPr>
          <w:rFonts w:ascii="Times New Roman" w:hAnsi="Times New Roman"/>
          <w:sz w:val="20"/>
          <w:bdr w:val="single" w:sz="8" w:space="1" w:color="000000"/>
        </w:rPr>
        <w:t xml:space="preserve"> </w:t>
      </w:r>
      <w:r>
        <w:rPr>
          <w:rFonts w:ascii="Times New Roman" w:hAnsi="Times New Roman"/>
          <w:b/>
          <w:sz w:val="20"/>
          <w:bdr w:val="single" w:sz="8" w:space="1" w:color="000000"/>
        </w:rPr>
        <w:t>Supplemental Financial Analyses do not constitute an opinion, view, report or appraisal as to the fairness, from a financial point of view,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consideration</w:t>
      </w:r>
      <w:r>
        <w:rPr>
          <w:rFonts w:ascii="Times New Roman" w:hAnsi="Times New Roman"/>
          <w:sz w:val="20"/>
          <w:bdr w:val="single" w:sz="8" w:space="1" w:color="000000"/>
        </w:rPr>
        <w:t xml:space="preserve"> </w:t>
      </w:r>
      <w:r>
        <w:rPr>
          <w:rFonts w:ascii="Times New Roman" w:hAnsi="Times New Roman"/>
          <w:b/>
          <w:sz w:val="20"/>
          <w:bdr w:val="single" w:sz="8" w:space="1" w:color="000000"/>
        </w:rPr>
        <w:t>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connection with the DXL Board’s ongoing evaluation of the merger, (i) DXL’s senior management updated the December 2025 DXL-Provided Financial Projections for DXL and the December 2025 Synergy Estimates, all as prepared by, discussed with and approved for Guggenheim Securities’ use by DXL’s senior management and (ii) FBB’s senior management updated the December 2025 FBB-Provided Financial Projections (such defined terms in clauses (i) and (ii), each as defined in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as prepared by and discussed with DXL’s and FBB’s respective senior management. Guggenheim Securities was directed by the DXL Board to rely upon the May 2026 DXL-Provided Financial Projections for DXL and FBB and the May 2026 Synergy Estimates in connection with the preparation of the May 2026 Supplemental Financial Analyses.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May 2026 Supplemental Financial Analyses that Guggenheim Securities provided to the DXL Board and the defined terms used in this summary section, please see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Summary Comparison of Key Analytical Results — May 2026 Supplemental Financial Analyses versus December 2025 Opinion</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This “</w:t>
      </w:r>
      <w:r>
        <w:rPr>
          <w:rFonts w:ascii="Times New Roman" w:hAnsi="Times New Roman"/>
          <w:i/>
          <w:sz w:val="20"/>
          <w:bdr w:val="single" w:sz="8" w:space="1" w:color="000000"/>
        </w:rPr>
        <w:t xml:space="preserve">Summary Comparison of Key Analytical Results </w:t>
      </w:r>
      <w:r>
        <w:rPr>
          <w:rFonts w:ascii="Times New Roman" w:hAnsi="Times New Roman"/>
          <w:sz w:val="20"/>
          <w:bdr w:val="single" w:sz="8" w:space="1" w:color="000000"/>
        </w:rPr>
        <w:t xml:space="preserve">— </w:t>
      </w:r>
      <w:r>
        <w:rPr>
          <w:rFonts w:ascii="Times New Roman" w:hAnsi="Times New Roman"/>
          <w:i/>
          <w:sz w:val="20"/>
          <w:bdr w:val="single" w:sz="8" w:space="1" w:color="000000"/>
        </w:rPr>
        <w:t>May 2026 Supplemental Financial Analyses versus December 2025 Opinion</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Should be read only together with, and is qualified in its entirety by the caveats, disclaimers, limitations, qualifications and other considerations noted in, the sections entitled “</w:t>
            </w:r>
            <w:r>
              <w:rPr>
                <w:rFonts w:ascii="Times New Roman" w:hAnsi="Times New Roman"/>
                <w:i/>
                <w:sz w:val="20"/>
              </w:rPr>
              <w:t>The Merger</w:t>
            </w:r>
            <w:r>
              <w:rPr>
                <w:rFonts w:ascii="Times New Roman" w:hAnsi="Times New Roman"/>
                <w:sz w:val="20"/>
              </w:rPr>
              <w:t>—December 2025 Opinion of Guggenheim Securities, Financial Advisor to DXL” and “</w:t>
            </w:r>
            <w:r>
              <w:rPr>
                <w:rFonts w:ascii="Times New Roman" w:hAnsi="Times New Roman"/>
                <w:i/>
                <w:sz w:val="20"/>
              </w:rPr>
              <w:t>The Merger</w:t>
            </w:r>
            <w:r>
              <w:rPr>
                <w:rFonts w:ascii="Times New Roman" w:hAnsi="Times New Roman"/>
                <w:sz w:val="20"/>
              </w:rPr>
              <w:t>—</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intended to summarize all aspects of Guggenheim Securities’ financial analyses in connection with the December 2025 Opinion or the May 2026 Supplemental Financial Analyses.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summary comparison of key analytical results from the December 2025 Opinion and the May 2026 Supplemental Financial Analyses, respectively: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5879"/>
        <w:gridCol w:w="349"/>
        <w:gridCol w:w="1392"/>
        <w:gridCol w:w="349"/>
        <w:gridCol w:w="1419"/>
      </w:tblGrid>
      <w:tr>
        <w:trPr/>
        <w:tc>
          <w:tcPr>
            <w:tcW w:w="587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9388" w:type="dxa"/>
            <w:gridSpan w:val="5"/>
            <w:tcBorders/>
            <w:vAlign w:val="bottom"/>
          </w:tcPr>
          <w:p>
            <w:pPr>
              <w:pStyle w:val="TableContents"/>
              <w:bidi w:val="0"/>
              <w:spacing w:before="0" w:after="283"/>
              <w:jc w:val="center"/>
              <w:rPr>
                <w:b/>
              </w:rPr>
            </w:pPr>
            <w:r>
              <w:rPr>
                <w:b/>
              </w:rPr>
              <w:t>Summary Comparison of Key Analytical Results</w:t>
              <w:br/>
              <w:t>($ in millions, except per share data)</w:t>
            </w:r>
          </w:p>
        </w:tc>
      </w:tr>
      <w:tr>
        <w:trPr/>
        <w:tc>
          <w:tcPr>
            <w:tcW w:w="58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Standalone DCF Equity Value (Midpoints)</w:t>
            </w:r>
          </w:p>
        </w:tc>
        <w:tc>
          <w:tcPr>
            <w:tcW w:w="349" w:type="dxa"/>
            <w:tcBorders/>
            <w:vAlign w:val="bottom"/>
          </w:tcPr>
          <w:p>
            <w:pPr>
              <w:pStyle w:val="TableContents"/>
              <w:bidi w:val="0"/>
              <w:spacing w:before="0" w:after="283"/>
              <w:jc w:val="left"/>
              <w:rPr/>
            </w:pPr>
            <w:r>
              <w:rPr/>
              <w:t> </w:t>
            </w:r>
          </w:p>
        </w:tc>
        <w:tc>
          <w:tcPr>
            <w:tcW w:w="1392" w:type="dxa"/>
            <w:tcBorders>
              <w:bottom w:val="single" w:sz="8" w:space="0" w:color="000000"/>
            </w:tcBorders>
            <w:tcMar>
              <w:bottom w:w="28" w:type="dxa"/>
            </w:tcMar>
            <w:vAlign w:val="bottom"/>
          </w:tcPr>
          <w:p>
            <w:pPr>
              <w:pStyle w:val="TableContents"/>
              <w:bidi w:val="0"/>
              <w:spacing w:before="0" w:after="283"/>
              <w:jc w:val="center"/>
              <w:rPr>
                <w:b/>
              </w:rPr>
            </w:pPr>
            <w:r>
              <w:rPr>
                <w:b/>
              </w:rPr>
              <w:t>December</w:t>
              <w:br/>
              <w:t>2025 Opinion</w:t>
            </w:r>
          </w:p>
        </w:tc>
        <w:tc>
          <w:tcPr>
            <w:tcW w:w="349" w:type="dxa"/>
            <w:tcBorders/>
            <w:vAlign w:val="bottom"/>
          </w:tcPr>
          <w:p>
            <w:pPr>
              <w:pStyle w:val="TableContents"/>
              <w:bidi w:val="0"/>
              <w:spacing w:before="0" w:after="283"/>
              <w:jc w:val="left"/>
              <w:rPr/>
            </w:pPr>
            <w:r>
              <w:rPr/>
              <w:t> </w:t>
            </w:r>
          </w:p>
        </w:tc>
        <w:tc>
          <w:tcPr>
            <w:tcW w:w="1419" w:type="dxa"/>
            <w:tcBorders>
              <w:bottom w:val="single" w:sz="8" w:space="0" w:color="000000"/>
            </w:tcBorders>
            <w:tcMar>
              <w:bottom w:w="28" w:type="dxa"/>
            </w:tcMar>
            <w:vAlign w:val="bottom"/>
          </w:tcPr>
          <w:p>
            <w:pPr>
              <w:pStyle w:val="TableContents"/>
              <w:bidi w:val="0"/>
              <w:spacing w:before="0" w:after="283"/>
              <w:jc w:val="center"/>
              <w:rPr>
                <w:b/>
              </w:rPr>
            </w:pPr>
            <w:r>
              <w:rPr>
                <w:b/>
              </w:rPr>
              <w:t>May 2026</w:t>
              <w:br/>
              <w:t>Supplemental</w:t>
              <w:br/>
              <w:t>Financial</w:t>
              <w:br/>
              <w:t>Analyses</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shd w:fill="CCEEFF" w:val="clear"/>
          </w:tcPr>
          <w:p>
            <w:pPr>
              <w:pStyle w:val="TableContents"/>
              <w:bidi w:val="0"/>
              <w:spacing w:before="0" w:after="283"/>
              <w:jc w:val="left"/>
              <w:rPr>
                <w:b/>
              </w:rPr>
            </w:pPr>
            <w:r>
              <w:rPr>
                <w:b/>
              </w:rPr>
              <w:t>DXL Including Net Operating Loss Tax Benefit per Share</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$1.72</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$1.40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tcPr>
          <w:p>
            <w:pPr>
              <w:pStyle w:val="TableContents"/>
              <w:bidi w:val="0"/>
              <w:spacing w:before="0" w:after="0"/>
              <w:jc w:val="left"/>
              <w:rPr>
                <w:rFonts w:ascii="Times New Roman" w:hAnsi="Times New Roman"/>
                <w:b/>
                <w:sz w:val="20"/>
              </w:rPr>
            </w:pPr>
            <w:r>
              <w:rPr>
                <w:rFonts w:ascii="Times New Roman" w:hAnsi="Times New Roman"/>
                <w:b/>
                <w:sz w:val="20"/>
              </w:rPr>
              <w:t>FBB Including §163(j) Tax Benefit</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$129</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($14)</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DXL DCF-Based Equity Value Contribution (Based on Midpoint</w:t>
              <w:br/>
              <w:t>Standalone DCF Equity Values for DXL and FBB)</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44%</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100%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b/>
                <w:sz w:val="20"/>
              </w:rPr>
              <w:t xml:space="preserve">DXL </w:t>
            </w:r>
            <w:r>
              <w:rPr>
                <w:rFonts w:ascii="Times New Roman" w:hAnsi="Times New Roman"/>
                <w:b/>
                <w:i/>
                <w:sz w:val="20"/>
              </w:rPr>
              <w:t>Pro Forma</w:t>
            </w:r>
            <w:r>
              <w:rPr>
                <w:rFonts w:ascii="Times New Roman" w:hAnsi="Times New Roman"/>
                <w:sz w:val="20"/>
              </w:rPr>
              <w:t xml:space="preserve"> </w:t>
            </w:r>
            <w:r>
              <w:rPr>
                <w:rFonts w:ascii="Times New Roman" w:hAnsi="Times New Roman"/>
                <w:b/>
                <w:sz w:val="20"/>
              </w:rPr>
              <w:t>DCF Accretion/(Dilution) Analysis</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+87%(1)</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+4%(2)</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Required Incremental Debt Reduction by FBB for Equivalent</w:t>
              <w:br/>
              <w:t>Value Proposition for DXL’s Stockholders</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N/A</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($112)</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$30.0 million. </w:t>
            </w:r>
          </w:p>
        </w:tc>
      </w:tr>
    </w:tbl>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$22.5 million (i.e., midpoint of $20.0 million and $25.0 million).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of Guggenheim Securities’ financial analyses regarding FBB reflect the $92 million debt/equitization that FBB is obligated to effect under the terms and conditions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In discussing the May 2026 Supplemental Financial Analyses with the DXL Board, Guggenheim Securities noted that the primary drivers of the variances in the items in the table above were the May 2026 DXL-Provided Financial Projections for DXL and FBB and the May 2026 Synergy Estimates (each as described in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versus the December 2025 DXL-Provided Financial Projections for DXL and FBB and the December 2025 Synergy Estimates (each as described in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Overview of the Merger Agreement</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Consideration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of the merger, each share of FBB common stock outstanding immediately prior to the effective time of the merger (other than (i) “Excluded Shares”, (ii) “Appraisal Shares”, and (iii) “Unaccredited 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DXL or merger subsidiary immediately prior to the effective time of the merger. At the effective time of the merger, if consummated, all Excluded Shares would be cancelled and cease to exist and no consideration would be delivered in exchange.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of the merger, if consummated,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cash consideration for the Unaccredited Investor Shares, without any interest thereon.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Exchange Ratio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Unaccredited Investor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FBB common stock held immediately prior to the effective time by an FBB stockholder that is an unaccredited investor would be converted into the right to receive the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FBB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DXL Equity and Performance-Based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DXL performance-based award that is outstanding under the LTIP at the effective time of the merger (a) would be cancelled and paid out on a pro rata basis equal to the product of (i) the earned amount of the award 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Closing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2026, the last practicable date before the printing of the proxy statement, the closing price per share of DXL common stock as reported on Nasdaq was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Nasdaq-listing condition to the completion of the merger. Approval of the 2016 plan proposal and the adjournment proposal are not conditions to the completion of the merger with FBB. Additionally, each of the other closing conditions set forth in the merger agreement and described in the section entitled “</w:t>
      </w:r>
      <w:r>
        <w:rPr>
          <w:rFonts w:ascii="Times New Roman" w:hAnsi="Times New Roman"/>
          <w:i/>
          <w:sz w:val="20"/>
          <w:bdr w:val="single" w:sz="8" w:space="1" w:color="000000"/>
        </w:rPr>
        <w:t>The Merger Agreement—Conditions to the Closing of the Merger</w:t>
      </w:r>
      <w:r>
        <w:rPr>
          <w:rFonts w:ascii="Times New Roman" w:hAnsi="Times New Roman"/>
          <w:sz w:val="20"/>
          <w:bdr w:val="single" w:sz="8" w:space="1" w:color="000000"/>
        </w:rPr>
        <w:t xml:space="preserve">” must be satisfied or waived.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Non-Solicitation of Acquisition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an FBB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 DXL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Fee; Expense Reimbursement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DXL or FBB can terminate the merger agreement under specified circumstances, which would prevent the merger from being consummated. The merger agreement provides for the payment of a termination fee of $2.5 million by either DXL or FBB to the other party upon termination of the merger agreement under specified circumstances, and up to a maximum of $950,000 for all reasonable out-of-pocket fees and expenses incurred by either DXL or FBB in connection with the negotiation of the merger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Nasdaq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issuance proposal is approved, prior to the effective time of the merger, DXL has agreed to prepare and submit to Nasdaq a listing application or notification, as applicable, covering the shares of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merger agreement, the current directors (including DXL’s interim chief executive officer), DXL’s chief financial officer, the former chief executive officer and former director of DXL, and Fund 1 Investments, LLC (an entity of which Pleasant Lake Partners LLC serves as investment advisor) (“PLP”) entered into voting agreements with FBB, pursuant to which they agreed, among other things, at any meeting of the stockholders of DXL and in connection with any action proposed to be taken by written consent of the stockholders of DXL, that they will: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them to be counted as present for the purpose of determining a quorum;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deliver a written consent with respect to, all shares held by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against any Adverse Proposal (described in the section entitled “</w:t>
            </w:r>
            <w:r>
              <w:rPr>
                <w:rFonts w:ascii="Times New Roman" w:hAnsi="Times New Roman"/>
                <w:i/>
                <w:sz w:val="20"/>
              </w:rPr>
              <w:t>Agreements Related To The Merger—Voting Agreements</w:t>
            </w:r>
            <w:r>
              <w:rPr>
                <w:rFonts w:ascii="Times New Roman" w:hAnsi="Times New Roman"/>
                <w:sz w:val="20"/>
              </w:rPr>
              <w:t xml:space="preserve">”), except as permitted under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In addition, the current directors (including DXL’s interim chief executive officer), the DXL’s chief financial officer, and the former chief executive officer and former director of DXL also agreed not to transfer any DXL shares held by them, and any transferee pursuant to an involuntary transfer will agree to hold such DXL shares subject to the restrictions, obligations, liabilities and rights under the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the stockholders subject to the voting agreements held approximately [●]% of the outstanding shares of DXL common stock entitled to vote at the special meeting, including approximately [●]% held by PLP. After giving effect to the shares of DXL common stock subject to the voting agreements, holders of an additional [●] shares of DXL common stock not subject to the voting agreements, representing approximately [●]% of the shares of DXL common stock not subject to the voting agreements, would be required to be present in person or represented by proxy at the special meeting to constitute a quorum.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bdr w:val="single" w:sz="8" w:space="1" w:color="000000"/>
        </w:rPr>
      </w:pPr>
      <w:r>
        <w:rPr>
          <w:bdr w:val="single" w:sz="8" w:space="1" w:color="000000"/>
        </w:rPr>
        <w:t> </w:t>
      </w:r>
    </w:p>
    <w:tbl>
      <w:tblPr>
        <w:tblW w:w="12050" w:type="dxa"/>
        <w:jc w:val="center"/>
        <w:tblInd w:w="0" w:type="dxa"/>
        <w:tblLayout w:type="fixed"/>
        <w:tblCellMar>
          <w:top w:w="0" w:type="dxa"/>
          <w:left w:w="0" w:type="dxa"/>
          <w:bottom w:w="0" w:type="dxa"/>
          <w:right w:w="0" w:type="dxa"/>
        </w:tblCellMar>
      </w:tblPr>
      <w:tblGrid>
        <w:gridCol w:w="2165"/>
        <w:gridCol w:w="120"/>
        <w:gridCol w:w="94"/>
        <w:gridCol w:w="2311"/>
        <w:gridCol w:w="275"/>
        <w:gridCol w:w="60"/>
        <w:gridCol w:w="768"/>
        <w:gridCol w:w="1217"/>
        <w:gridCol w:w="500"/>
        <w:gridCol w:w="60"/>
        <w:gridCol w:w="1540"/>
        <w:gridCol w:w="2440"/>
        <w:gridCol w:w="50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Present and Voting on</w:t>
              <w:br/>
              <w:t>Issuance Proposal</w:t>
              <w:br/>
              <w:t>(as % of Outstanding Shares)</w:t>
            </w:r>
          </w:p>
        </w:tc>
        <w:tc>
          <w:tcPr>
            <w:tcW w:w="120" w:type="dxa"/>
            <w:tcBorders/>
            <w:vAlign w:val="bottom"/>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Required for</w:t>
              <w:br/>
              <w:t>Approval</w:t>
              <w:br/>
              <w:t>(Majority of Votes Cast)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w:t>
              <w:br/>
              <w:t>Voting Agreements</w:t>
            </w:r>
          </w:p>
        </w:tc>
        <w:tc>
          <w:tcPr>
            <w:tcW w:w="500" w:type="dxa"/>
            <w:tcBorders/>
            <w:vAlign w:val="bottom"/>
          </w:tcPr>
          <w:p>
            <w:pPr>
              <w:pStyle w:val="TableContents"/>
              <w:bidi w:val="0"/>
              <w:spacing w:before="0" w:after="283"/>
              <w:jc w:val="left"/>
              <w:rPr/>
            </w:pPr>
            <w:r>
              <w:rPr/>
              <w:t> </w:t>
            </w:r>
          </w:p>
        </w:tc>
      </w:tr>
      <w:tr>
        <w:trPr/>
        <w:tc>
          <w:tcPr>
            <w:tcW w:w="21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51.0%</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25.5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165" w:type="dxa"/>
            <w:tcBorders/>
          </w:tcPr>
          <w:p>
            <w:pPr>
              <w:pStyle w:val="TableContents"/>
              <w:bidi w:val="0"/>
              <w:spacing w:before="0" w:after="0"/>
              <w:jc w:val="center"/>
              <w:rPr>
                <w:rFonts w:ascii="Times New Roman" w:hAnsi="Times New Roman"/>
                <w:sz w:val="20"/>
              </w:rPr>
            </w:pPr>
            <w:r>
              <w:rPr>
                <w:rFonts w:ascii="Times New Roman" w:hAnsi="Times New Roman"/>
                <w:sz w:val="20"/>
              </w:rPr>
              <w:t>60.0%</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30.0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1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70.0%</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35.0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165" w:type="dxa"/>
            <w:tcBorders/>
          </w:tcPr>
          <w:p>
            <w:pPr>
              <w:pStyle w:val="TableContents"/>
              <w:bidi w:val="0"/>
              <w:spacing w:before="0" w:after="0"/>
              <w:jc w:val="center"/>
              <w:rPr>
                <w:rFonts w:ascii="Times New Roman" w:hAnsi="Times New Roman"/>
                <w:sz w:val="20"/>
              </w:rPr>
            </w:pPr>
            <w:r>
              <w:rPr>
                <w:rFonts w:ascii="Times New Roman" w:hAnsi="Times New Roman"/>
                <w:sz w:val="20"/>
              </w:rPr>
              <w:t>80.0%</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40.0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1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90.0%</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45.0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165" w:type="dxa"/>
            <w:tcBorders/>
          </w:tcPr>
          <w:p>
            <w:pPr>
              <w:pStyle w:val="TableContents"/>
              <w:bidi w:val="0"/>
              <w:spacing w:before="0" w:after="0"/>
              <w:jc w:val="center"/>
              <w:rPr>
                <w:rFonts w:ascii="Times New Roman" w:hAnsi="Times New Roman"/>
                <w:sz w:val="20"/>
              </w:rPr>
            </w:pPr>
            <w:r>
              <w:rPr>
                <w:rFonts w:ascii="Times New Roman" w:hAnsi="Times New Roman"/>
                <w:sz w:val="20"/>
              </w:rPr>
              <w:t>100.0%</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which reflect the decisions of the respective stockholders as of the execution of the merger agreement, may increase the likelihood that the issuance proposal is approved notwithstanding the DXL Board’s recommendation against it.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Lock-Up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merger agreement, certain stockholders of FBB, expected to represent approximately 38.5% of the outstanding shares of DXL common stock as of immediately following the merger, entered into lock-up agreements, pursuant to which they accepted certain restrictions on transfers of the 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in connection with the private placement, the private placement investors were granted certain registration rights with respect to the shares of DXL common stock they would receive in the merger in exchange for shares of FBB common stock. Such registration rights would require the combined company to use reasonable best efforts to prepare and file a registration statement with the SEC as soon as practicable following the closing of the merger, if consummated, but in no event later than the 30th day following such closing to register the resale of the shares purchased in the private placement. The closing of the private placement is expected to occur immediately prior to the closing of the merger and is a condition to closing the merger. The private placement is discussed in more detail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at the effective time of the merger, the executive management team of the combined company would be expected to include the following individuals: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2"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 with the Combined</w:t>
            </w:r>
          </w:p>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Current Position with either DXL</w:t>
            </w:r>
          </w:p>
          <w:p>
            <w:pPr>
              <w:pStyle w:val="TableContents"/>
              <w:bidi w:val="0"/>
              <w:spacing w:before="0" w:after="20"/>
              <w:jc w:val="center"/>
              <w:rPr>
                <w:rFonts w:ascii="Times New Roman" w:hAnsi="Times New Roman"/>
                <w:b/>
                <w:sz w:val="16"/>
              </w:rPr>
            </w:pPr>
            <w:r>
              <w:rPr>
                <w:rFonts w:ascii="Times New Roman" w:hAnsi="Times New Roman"/>
                <w:b/>
                <w:sz w:val="16"/>
              </w:rPr>
              <w:t>or FBB</w:t>
            </w:r>
          </w:p>
        </w:tc>
      </w:tr>
      <w:tr>
        <w:trPr/>
        <w:tc>
          <w:tcPr>
            <w:tcW w:w="3573" w:type="dxa"/>
            <w:tcBorders/>
          </w:tcPr>
          <w:p>
            <w:pPr>
              <w:pStyle w:val="TableContents"/>
              <w:bidi w:val="0"/>
              <w:spacing w:before="0" w:after="283"/>
              <w:jc w:val="left"/>
              <w:rPr/>
            </w:pPr>
            <w:r>
              <w:rPr/>
              <w:t>Jim Fogarty</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Executive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Executive Officer of FBB</w:t>
            </w:r>
          </w:p>
        </w:tc>
      </w:tr>
      <w:tr>
        <w:trPr/>
        <w:tc>
          <w:tcPr>
            <w:tcW w:w="3573" w:type="dxa"/>
            <w:tcBorders/>
          </w:tcPr>
          <w:p>
            <w:pPr>
              <w:pStyle w:val="TableContents"/>
              <w:bidi w:val="0"/>
              <w:spacing w:before="0" w:after="283"/>
              <w:jc w:val="left"/>
              <w:rPr/>
            </w:pPr>
            <w:r>
              <w:rPr/>
              <w:t>Peter H. Stratton, Jr.</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Financial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Financial Officer of DXL</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Board of Directors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DXL’s Directors and Executive Officers in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DXL’s directors and executive officers have economic interests in the merger that are different from, or in addition to, those of DXL stockholders generally. These interests are discussed in more detail in the section entitled “</w:t>
      </w:r>
      <w:r>
        <w:rPr>
          <w:rFonts w:ascii="Times New Roman" w:hAnsi="Times New Roman"/>
          <w:i/>
          <w:sz w:val="20"/>
          <w:bdr w:val="single" w:sz="8" w:space="1" w:color="000000"/>
        </w:rPr>
        <w:t>The Merger—Interests of DXL’s Directors and Executive Officers in the Merger</w:t>
      </w:r>
      <w:r>
        <w:rPr>
          <w:rFonts w:ascii="Times New Roman" w:hAnsi="Times New Roman"/>
          <w:sz w:val="20"/>
          <w:bdr w:val="single" w:sz="8" w:space="1" w:color="000000"/>
        </w:rPr>
        <w:t xml:space="preserve">”. The DXL Board was aware of and considered these interests, among other matters, in reaching its decision to approve the merger agreement in December 2025, and in evaluating and negotiating the merger agreement and the merger. Following developments since the execution of the merger agreement, the DXL Board now recommends that DXL stockholders vote “AGAINST” the issuance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Federal Securities Law Consequences; Resale Restrictions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respective shares unless the shares are registered under the Securities Act or an exemption is available under the Securities Act. FBB represented and warranted to DXL in the merger agreement that less than thirty (30) holders of FBB common stock have not executed an investor questionnaire certifying that such stockholder is an “accredited investor” pursuant to Regulation D under the Securities Act (such investors “unaccredited investors”).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Consequences of the Merger and the Reverse Stock Split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would not sell, exchange or dispose of any shares of DXL common stock as a result of the merger if the merger is consummated. Thus, there would be no material U.S. federal income tax consequences to DXL stockholders as a result of the merger. DXL stockholders would not be expected to recognize gain or loss upon the reverse stock split.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complete description of the material U.S. federal income tax consequences of the reverse stock split and merger, please see the section entitled “</w:t>
      </w:r>
      <w:r>
        <w:rPr>
          <w:rFonts w:ascii="Times New Roman" w:hAnsi="Times New Roman"/>
          <w:i/>
          <w:sz w:val="20"/>
          <w:bdr w:val="single" w:sz="8" w:space="1" w:color="000000"/>
        </w:rPr>
        <w:t>The Merger—Material U.S. Federal Income Tax Consequences of the Merger and the Reverse Stock Split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the merger would be treated by DXL as a reverse acquisition under U.S. generally accepted accounting principles (“GAAP”). For accounting purposes, FBB would be considered the accounting acquirer in this transaction even though DXL would be the legal acquirer.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are not entitled to appraisal rights in connection with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The DXL Board no longer recommends that stockholders approve the merger. As a result, stockholders are being asked to vote on a transaction that the DXL Board has determined is not in the best interests of DXL stockholders on its current terms. These developments since the execution of the merger agreement may materially affect stockholders’ assessment of the merger and the likelihood that the merger will be completed.</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bdr w:val="single" w:sz="8" w:space="1" w:color="000000"/>
        </w:rPr>
        <w:t>The Merger</w:t>
      </w:r>
      <w:r>
        <w:rPr>
          <w:rFonts w:ascii="Times New Roman" w:hAnsi="Times New Roman"/>
          <w:sz w:val="20"/>
          <w:bdr w:val="single" w:sz="8" w:space="1" w:color="000000"/>
        </w:rPr>
        <w:t>—</w:t>
      </w:r>
      <w:r>
        <w:rPr>
          <w:rFonts w:ascii="Times New Roman" w:hAnsi="Times New Roman"/>
          <w:b/>
          <w:i/>
          <w:sz w:val="20"/>
          <w:bdr w:val="single" w:sz="8" w:space="1" w:color="000000"/>
        </w:rPr>
        <w:t>May 2026 Supplemental Financial Analyses</w:t>
      </w:r>
      <w:r>
        <w:rPr>
          <w:rFonts w:ascii="Times New Roman" w:hAnsi="Times New Roman"/>
          <w:sz w:val="20"/>
          <w:bdr w:val="single" w:sz="8" w:space="1" w:color="000000"/>
        </w:rPr>
        <w:t xml:space="preserve"> </w:t>
      </w:r>
      <w:r>
        <w:rPr>
          <w:rFonts w:ascii="Times New Roman" w:hAnsi="Times New Roman"/>
          <w:b/>
          <w:i/>
          <w:sz w:val="20"/>
          <w:bdr w:val="single" w:sz="8" w:space="1" w:color="000000"/>
        </w:rPr>
        <w:t>Prepared by Guggenheim Securities, Financial Advisor to DXL”)</w:t>
      </w:r>
      <w:r>
        <w:rPr>
          <w:rFonts w:ascii="Times New Roman" w:hAnsi="Times New Roman"/>
          <w:b/>
          <w:sz w:val="20"/>
          <w:bdr w:val="single" w:sz="8" w:space="1" w:color="000000"/>
        </w:rPr>
        <w:t>, Guggenheim Securities advised the DXL Board that, in light of the May 2026 DXL-Provided Financial Projections and the May 2026 Synergy Estimates (each as defined in the section entitled “</w:t>
      </w:r>
      <w:r>
        <w:rPr>
          <w:rFonts w:ascii="Times New Roman" w:hAnsi="Times New Roman"/>
          <w:b/>
          <w:i/>
          <w:sz w:val="20"/>
          <w:bdr w:val="single" w:sz="8" w:space="1" w:color="000000"/>
        </w:rPr>
        <w:t>The Merger—May 2026 Supplemental Financial Analyses Prepared by Guggenheim</w:t>
      </w:r>
      <w:r>
        <w:rPr>
          <w:rFonts w:ascii="Times New Roman" w:hAnsi="Times New Roman"/>
          <w:sz w:val="20"/>
          <w:bdr w:val="single" w:sz="8" w:space="1" w:color="000000"/>
        </w:rPr>
        <w:t xml:space="preserve"> </w:t>
      </w:r>
      <w:r>
        <w:rPr>
          <w:rFonts w:ascii="Times New Roman" w:hAnsi="Times New Roman"/>
          <w:b/>
          <w:sz w:val="20"/>
          <w:bdr w:val="single" w:sz="8" w:space="1" w:color="000000"/>
        </w:rPr>
        <w:t>Securities, Financial Advisor to DXL”)</w:t>
      </w:r>
      <w:r>
        <w:rPr>
          <w:rFonts w:ascii="Times New Roman" w:hAnsi="Times New Roman"/>
          <w:sz w:val="20"/>
          <w:bdr w:val="single" w:sz="8" w:space="1" w:color="000000"/>
        </w:rPr>
        <w:t xml:space="preserve"> </w:t>
      </w:r>
      <w:r>
        <w:rPr>
          <w:rFonts w:ascii="Times New Roman" w:hAnsi="Times New Roman"/>
          <w:b/>
          <w:i/>
          <w:sz w:val="20"/>
          <w:bdr w:val="single" w:sz="8" w:space="1" w:color="000000"/>
        </w:rPr>
        <w:t xml:space="preserve">and the </w:t>
      </w:r>
      <w:r>
        <w:rPr>
          <w:rFonts w:ascii="Times New Roman" w:hAnsi="Times New Roman"/>
          <w:b/>
          <w:sz w:val="20"/>
          <w:bdr w:val="single" w:sz="8" w:space="1" w:color="000000"/>
        </w:rPr>
        <w:t>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Both DXL and FBB are subject to various risks associated with their businesses and their industries. In addition, the merger, including the possibility that the merger may not be completed, poses a number of risks to each company and its respective stockholders, including the following risks: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that stockholders vote against the issuance proposal may create uncertainty regarding the outcome of the stockholder vote and may adversely affect the market price of DXL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change in recommendation, resulting from its ongoing evaluation of the merger and its fiduciary obligations to DXL and its stockholders, has resulted in disputes with FBB regarding the parties’ respective rights and obligations under the merger agreement, which could adversely affect DXL, the merger and the market price of DXL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increase the likelihood that the merger is not consummated and that DXL will be subject to the risks associated with remaining a standalone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encourage alternative transactions or unsolicited proposals, which could create additional uncertainty and volatility.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differing views between DXL and FBB regarding the merger may adversely affect the parties’ ability to complete the transaction or collaborate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FBB and the potential benefits of the merger in this proxy statement is based in part on information provided by FBB, and stockholders are presented with differing perspectives regarding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directors and executive officers have conflicts of interest that may influence them to support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may be completed even though material adverse changes may result from the announcement of the merger, industry-wide changes and other causes.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may decline as a result of the merger, if consummated.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not realize a benefit from the merger commensurate with the ownership dilution they will experience in connection with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pendency of the merger, DXL may not be able to enter into a business combination with another party and will be subject to contractual limitations on certain actions because of restrictions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expected to result in an annual limitation on DXL’s ability to utilize its net operating loss carryforwards.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consummate the merger may result in DXL paying a termination fee and/or out-of-pocket fees and expenses to FBB and could harm the price of DXL common stock and the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the merger has consummated, there can be no further recourse by either party or its stockholders for a breach of representation or warranty.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of the merger agreement may discourage third parties from submitting alternative takeover proposals, including proposals that may be superior to the arrangements contemplated by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merger are not met, the merger may not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result in some stockholders owning “odd lots” that may be more difficult to sell or require greater transaction costs per share to sell.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reduced number of issued shares of DXL common stock resulting from the reverse stock split could adversely affect the liquidity of DXL common stock and result in higher transaction costs if the merger is not consummated.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Additional discussion of the risks summarized in this risk factor summary, and other risks that DXL and FBB face, can be found below under the heading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and should be carefully considered, together with other information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76201_3"/>
      <w:bookmarkEnd w:id="5"/>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common stock is listed for trading on The Nasdaq Capital Market under the symbol “DXLG”.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last trading day prior to the public announcement of the proposed merger on December 11, 2025, the closing price per share of DXL common stock as reported on Nasdaq was $1.08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this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and subject to successful application for initial listing with Nasdaq, DXL common stock would be expected to continue to be listed on The Nasdaq Capital Market under the symbol “DXLG”.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DXL had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stockholders of record. </w:t>
      </w:r>
    </w:p>
    <w:p>
      <w:pPr>
        <w:pStyle w:val="TextBody"/>
        <w:bidi w:val="0"/>
        <w:spacing w:before="240" w:after="0"/>
        <w:jc w:val="left"/>
        <w:rPr>
          <w:rFonts w:ascii="Times New Roman" w:hAnsi="Times New Roman"/>
          <w:sz w:val="20"/>
        </w:rPr>
      </w:pPr>
      <w:r>
        <w:rPr>
          <w:rFonts w:ascii="Times New Roman" w:hAnsi="Times New Roman"/>
          <w:sz w:val="20"/>
        </w:rPr>
        <w:t xml:space="preserve">DXL has never declared or paid cash dividends on DXL common stock. DXL currently anticipates that all of its earnings in the foreseeable future will be used for the operation and growth of its business and paying down debt. Future payment of dividends and share buybacks, if any, will be at the discretion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FBB common stock is not listed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76201_4"/>
      <w:bookmarkEnd w:id="6"/>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the documents incorporated by reference into this proxy statement, contains “forward-looking” statements within the meaning of Section 21E of the Securities Exchange Act of 1934, as amended, and the Private Securities Litigation Reform Act of 1995, known as the PSLRA. These statements, as they relate to DXL or FBB, the management of either such company or the proposed transaction between DXL or FBB, involve risks and uncertainties that may cause results to differ materially from those set forth in the statements. Forward-looking statements are not historical facts but rather are based on current plans, expectations,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DXL, as well as assumptions made by, and information currently available to management. No forward-looking statement can be guaranteed, and actual results may differ materially from those projected. In light of developments since the execution of the merger agreement as described in this proxy statement, including the DXL Board’s withdrawal of its prior recommendation and its recommendation that stockholders vote “AGAINST” the issuance proposal, the forward-looking statements in this proxy statement should be evaluated in that context. DXL and FBB undertake no obligation to publicly update any forward-looking statement, whether as a result of new information, future events or otherwise, except to the extent required by law. DXL uses words such as “anticipates,” “believes,” “plans,” “expects,” “projects,” “future,” “intends,” “may,” “will,” “should,” “could,” “estimates,” “outlook,” “predicts,” “potential,” “continue,” and similar expressions that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DXL has filed with the SEC as well as the possibility that (i) risks associated with DXL’s ability to obtain the stockholder approval required to consummate the proposed transaction, including approval of the issuance of shares of DXL common stock in the merger and the resulting “change of control” of DXL under the Nasdaq rules or the contemplated reverse stock split, and the timing of the closing of the proposed transaction, including the risks that a condition to closing would not be satisfied within the expected timeframe, or at all, or that the closing of the proposed transaction, will not occur; (ii) the response of DXL stockholders to the proposed transaction; (iii) the DXL Board’s recommendation that stockholders vote “AGAINST” the issuance proposal and the resulting uncertainty regarding whether the merger will be completed; (iv) risks related to DXL’s ability to manage its operating expenses and its expenses associated with the proposed transaction pending closing; (v) risks related to the failure or delay in obtaining required approvals from any governmental or quasi-governmental entity necessary to consummate the proposed transaction, including continued listing on Nasdaq; (vi) the risk that as a result of adjustments to the post-closing equity split, DXL stockholders and FBB stockholders could own more or less of the combined company than is currently anticipated; (vii) risks related to the market price of DXL common stock relative to the exchange ratio; (viii) unexpected liabilities, costs, charges, expenditures or expenses resulting from the proposed transaction; (ix) potential adverse reactions or changes to business relationships resulting from the announcement or completion of the proposed transaction; (x) DXL’s ability to retain personnel as a result of the announcement or completion of the proposed transaction; (xi) risks associated with the possible failure to realize certain anticipated benefits of the proposed transaction, including with respect to future financial and operating results; and (xii) risks associated with the possible failure to properly and effectively integrate the proposed transaction. Additionally, forward-looking statements related to FBB’s future expectations are subject to numerous risks and uncertainties. Neither DXL nor FBB gives any assurance that either DXL or FBB will achieve its expectations. </w:t>
      </w:r>
    </w:p>
    <w:p>
      <w:pPr>
        <w:pStyle w:val="TextBody"/>
        <w:bidi w:val="0"/>
        <w:spacing w:before="240" w:after="0"/>
        <w:jc w:val="left"/>
        <w:rPr>
          <w:rFonts w:ascii="Times New Roman" w:hAnsi="Times New Roman"/>
          <w:sz w:val="20"/>
        </w:rPr>
      </w:pPr>
      <w:r>
        <w:rPr>
          <w:rFonts w:ascii="Times New Roman" w:hAnsi="Times New Roman"/>
          <w:sz w:val="20"/>
        </w:rPr>
        <w:t>The foregoing list of factors is not exhaustive. You should carefully consider the foregoing factors and the other risks and uncertainties that affect the businesses of DXL described in the “</w:t>
      </w:r>
      <w:r>
        <w:rPr>
          <w:rFonts w:ascii="Times New Roman" w:hAnsi="Times New Roman"/>
          <w:i/>
          <w:sz w:val="20"/>
        </w:rPr>
        <w:t>Risk Factors</w:t>
      </w:r>
      <w:r>
        <w:rPr>
          <w:rFonts w:ascii="Times New Roman" w:hAnsi="Times New Roman"/>
          <w:sz w:val="20"/>
        </w:rPr>
        <w:t>” section of this proxy statement, DXL’s Annual Report on Form 10-K, Quarterly Reports on Form 10-Q, Current Reports on Form 8-K and other documents filed by DXL from time to time with the SEC. Please see the section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All forward-looking statements included in this proxy statement are based upon information available to DXL and FBB on the date hereof. If any of these risks or uncertainties materialize or any of these assumptions prove incorrect, the results of operations of DXL, FBB or the combined company, if the merger is consummated, could differ materially from the forward-looking statements. All forward-looking statements in this proxy statement are current only as of the date on which the statements were made. DXL and FBB do not undertake any obligation to publicly update any forward-looking statements to reflect events or circumstances after the date on which any statement is made, the occurrence of unanticipated events or any new information that becomes available in the future,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7620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relating to the consummation of the merger and to the combined company following the merger in deciding how to vote for the proposals presented in this proxy statement. These factors should be considered in conjunction with the other information included or incorporated by reference by DXL in this proxy statement. </w:t>
      </w:r>
    </w:p>
    <w:p>
      <w:pPr>
        <w:pStyle w:val="TextBody"/>
        <w:bidi w:val="0"/>
        <w:spacing w:before="480" w:after="0"/>
        <w:jc w:val="center"/>
        <w:rPr>
          <w:rFonts w:ascii="Times New Roman" w:hAnsi="Times New Roman"/>
          <w:b/>
          <w:sz w:val="20"/>
        </w:rPr>
      </w:pPr>
      <w:bookmarkStart w:id="8" w:name="tx76201_6"/>
      <w:bookmarkEnd w:id="8"/>
      <w:r>
        <w:rPr>
          <w:rFonts w:ascii="Times New Roman" w:hAnsi="Times New Roman"/>
          <w:b/>
          <w:sz w:val="20"/>
        </w:rPr>
        <w:t xml:space="preserve">Risks Related to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DXL Board’s recommendation that stockholders vote against the issuance proposal may create uncertainty regarding the outcome of the stockholder vote and may adversely affect the market price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determined to recommend that DXL stockholders vote against the issuance proposal. This recommendation may create significant uncertainty regarding the likelihood that the merger will be consummated. Such uncertainty may result in increased volatility in the trading price of DXL common stock and may adversely affect DXL’s ability to maintain or attract investors, including institutional investors that may have investment mandates tied to transaction outcomes or strategic direction. </w:t>
      </w:r>
    </w:p>
    <w:p>
      <w:pPr>
        <w:pStyle w:val="TextBody"/>
        <w:bidi w:val="0"/>
        <w:spacing w:before="240" w:after="0"/>
        <w:jc w:val="left"/>
        <w:rPr>
          <w:rFonts w:ascii="Times New Roman" w:hAnsi="Times New Roman"/>
          <w:sz w:val="20"/>
        </w:rPr>
      </w:pPr>
      <w:r>
        <w:rPr>
          <w:rFonts w:ascii="Times New Roman" w:hAnsi="Times New Roman"/>
          <w:sz w:val="20"/>
        </w:rPr>
        <w:t xml:space="preserve">Moreover, market participants may interpret the DXL Board’s recommendation as an indication that the merger is not in the best interests of DXL or its stockholders or that there are risks or uncertainties not fully reflected in the trading price of DXL common stock, which could negatively impact investor confidence and the market price of DXL common stock, potentially for an extended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change in recommendation, resulting from its ongoing evaluation of the merger and its fiduciary obligations to DXL and its stockholders, has resulted in disputes with FBB regarding the parties’ respective rights and obligations under the merger agreement, which could adversely affect DXL, the merger and the market price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that stockholders vote against the issuance proposal, which resulted from the DXL Board’s ongoing evaluation of the merger and its fiduciary obligations to DXL and its stockholders, has resulted, and may continue to result in disagreements with FBB regarding the parties’ respective rights and obligations under the merger agreement, including provisions governing changes in recommendation, fiduciary duties, efforts covenants or termination rights. </w:t>
      </w:r>
    </w:p>
    <w:p>
      <w:pPr>
        <w:pStyle w:val="TextBody"/>
        <w:bidi w:val="0"/>
        <w:spacing w:before="240" w:after="0"/>
        <w:jc w:val="left"/>
        <w:rPr>
          <w:rFonts w:ascii="Times New Roman" w:hAnsi="Times New Roman"/>
          <w:sz w:val="20"/>
        </w:rPr>
      </w:pPr>
      <w:r>
        <w:rPr>
          <w:rFonts w:ascii="Times New Roman" w:hAnsi="Times New Roman"/>
          <w:sz w:val="20"/>
        </w:rPr>
        <w:t>As described in the section entitled “</w:t>
      </w:r>
      <w:r>
        <w:rPr>
          <w:rFonts w:ascii="Times New Roman" w:hAnsi="Times New Roman"/>
          <w:i/>
          <w:sz w:val="20"/>
        </w:rPr>
        <w:t>The Merger—Background of the Merger</w:t>
      </w:r>
      <w:r>
        <w:rPr>
          <w:rFonts w:ascii="Times New Roman" w:hAnsi="Times New Roman"/>
          <w:sz w:val="20"/>
        </w:rPr>
        <w:t xml:space="preserve">,” FBB has asserted that DXL breached its obligations under the merger agreement in connection with the preparation of the proxy statement and related timing matters. DXL strongly disputes those allegations and believes it has complied with its obligations under the merger agreement. FBB may pursue litigation or other remedies based on those allegations or other claims relating to the parties’ respective rights and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Such disputes may result in litigation, including actions seeking damages, injunctive relief or the enforcement of contractual provisions, including specific performance, which could be costly and time-consuming and could divert management’s attention from DXL’s business and, if adversely determined, could result in monetary or equitable remedies that could have a material adverse effect on DXL’s financial condition and results of operations. In addition, such disputes or litigation could delay or prevent the completion of the merger, increase transaction-related costs and uncertainty, and adversely affect the market price of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of DXL entered into voting agreements pursuant to which they have agreed to vote their shares of DXL common stock in favor of the issuance proposal. These voting agreements were entered into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As a result of these voting commitments, the likelihood that the issuance proposal will be approved may be increased, even though the DXL Board has withdrawn its prior recommendation in favor of the merger and the issuance proposal and now recommends that stockholders vote “AGAINST” the issuance proposal, and such outcome may occur irrespective of the views of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these voting agreements may make it more difficult for other DXL stockholders to influence the outcome of the vote on the issuance proposal, and may reduce the practical impact of votes cast by stockholders who do not support the issuance proposal. Accordingly, the issuance proposal could be approved despite the DXL Board’s recent determination, after its ongoing evaluation of the merger and in light of developments since the execution of the merger agreement, that the merger and the transactions contemplated by the merger agreement, including the issuance proposal, are not in the best interests of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issuance proposal is approved, and the other conditions to the merger are satisfied or waived (including the reverse stock split approval), the merger would be completed, notwithstanding the DXL Board’s recommendation against the issuance proposal, and stockholders who did not vote in favor of the issuance proposal would nevertheless be subject to the effects of the completed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increase the likelihood that the merger is not consummated and that DXL will be subject to the risks associated with remaining a standalone company. </w:t>
      </w:r>
    </w:p>
    <w:p>
      <w:pPr>
        <w:pStyle w:val="TextBody"/>
        <w:bidi w:val="0"/>
        <w:spacing w:before="120" w:after="0"/>
        <w:jc w:val="left"/>
        <w:rPr>
          <w:rFonts w:ascii="Times New Roman" w:hAnsi="Times New Roman"/>
          <w:sz w:val="20"/>
        </w:rPr>
      </w:pPr>
      <w:r>
        <w:rPr>
          <w:rFonts w:ascii="Times New Roman" w:hAnsi="Times New Roman"/>
          <w:sz w:val="20"/>
        </w:rPr>
        <w:t xml:space="preserve">In light of the DXL Board’s recommendation, there is a heightened risk that DXL stockholders will not approve the merger. If the merger is not consummated, DXL will continue to operate as a standalone company. In that event, DXL would remain subject to the risks associated with its standalone business, including those described elsewhere in this proxy statement, and may have incurred significant costs and disruption in pursuing the merger without realizing any corresponding benefits, which could adversely affect DXL’s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encourage alternative transactions or unsolicited proposals, which could create additional uncertainty and volatility.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may signal to third parties that DXL could be open to alternative strategic transactions, subject to the limitations in the merger agreement. As a result, DXL may receive unsolicited acquisition proposals or be subject to takeover attempts or proxy contests, including actions by stockholders or other parties seeking to influence the composition of the DXL Board or DXL’s strategic direction. While such developments could result in alternative transactions that may be favorable to stockholders, they could also lead to additional uncertainty, increased volatility in the price of DXL common stock, additional transaction costs and potential disruption to DXL’s business operations, as well as increased demands on management and the DXL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existence of differing views between DXL and FBB regarding the merger may adversely affect the parties’ ability to complete the transaction or collaborate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reflects a divergence in views between DXL and FBB regarding the merits of the transaction. This divergence may impair the parties’ ability to cooperate effectively in fulfilling their respective obligations under the merger agreement, including efforts to satisfy closing conditions and to manage ongoing obligations during the interim period. This lack of alignment could create operational inefficiencies, delay required actions, and adversely affect the overall business performance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DXL during the pendency of the transaction, including by creating uncertainty among employees, customers, suppliers and other business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regarding FBB and the potential benefits of the merger in this proxy statement is based in part on information provided by FBB, and stockholders are presented with differing perspectives regarding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includes information regarding FBB, its business, financial condition and prospects, as well as statements regarding the potential strategic and financial benefits of the merger and the expected performance of the combined company. Certain of this information has been provided by FBB or its representatives and reflects FBB’s views regarding the anticipated benefits of the transaction, which may involve assumptions, projections and judgments that are inherently uncertain and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As a result, certain statements identified in this proxy statement as having been made or provided by FBB or its representatives regarding the expected benefits of the merger, the outlook for the combined company or the strategic rationale for the transaction may differ from, or be inconsistent with, the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240" w:after="0"/>
        <w:jc w:val="left"/>
        <w:rPr>
          <w:rFonts w:ascii="Times New Roman" w:hAnsi="Times New Roman"/>
          <w:sz w:val="20"/>
        </w:rPr>
      </w:pPr>
      <w:r>
        <w:rPr>
          <w:rFonts w:ascii="Times New Roman" w:hAnsi="Times New Roman"/>
          <w:sz w:val="20"/>
        </w:rPr>
        <w:t xml:space="preserve">Accordingly, stockholders are presented with differing perspectives in this proxy statement and should carefully consider the DXL Board’s recommendation against the issuance proposal, together with the other information included in this proxy statement, including the risks described in this section, in determining how to vote on the proposals presented, and should not place undue reliance on forward-looking statements or projections regarding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by DXL stockholders, approval by Nasdaq of DXL’s listing application for DXL common stock to be issued as merger consideration, and other customary closing conditions. If the merger is not consummated for any reason, including as a result of the DXL Board’s recommendation against the issuance proposal or a failure to obtain stockholder approval, DXL may be subject to a number of material risks, and its business and stock price could be adversely affected,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incurred and expects to continue to incur significant expenses related to the proposed merger with FBB even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contains covenants relating to DXL’s solicitation of competing acquisition proposals and the conduct of DXL’s business between the date of signing the merger agreement and the closing of the merger. As a result, significant business decisions and transactions before the closing of the merger are restricted or prohibited. Accordingly, DXL may be unable to pursue business opportunities that would otherwise be in its best interest as a standalone company. If the merger agreement is terminated after DXL has invested significant time and resources in the transaction process, DXL may have a limited ability to continue its current operations without obtaining additional financing to fund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$2.5 million termination fee in connection with the termination of the merger agreement, depending on the reason for the termination.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$950,000 out-of-pocket fees and expense reimbursement in connection with the termination of the merger agreement, depending on the reason for the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business partners and investors in general may view the failure to consummate the merger as a poor reflection on its business or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suppliers and other business partners may seek to change or terminate their relationships with DXL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proposed merger, current and prospective employees could experience uncertainty about their future roles within the combined company. This uncertainty may adversely affect DXL’s ability to retain its key employees, who may seek other employment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management team may be distracted from day-to-day operations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DXL common stock may decline to the extent that the current market price reflects a market assumption that the proposed merger will be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DXL’s directors and executive officers have conflicts of interest and/or economic interests in connection with the merger that are different from, or in addition to, those of DXL stockholders generally. </w:t>
      </w:r>
    </w:p>
    <w:p>
      <w:pPr>
        <w:pStyle w:val="TextBody"/>
        <w:bidi w:val="0"/>
        <w:spacing w:before="120" w:after="0"/>
        <w:jc w:val="left"/>
        <w:rPr>
          <w:rFonts w:ascii="Times New Roman" w:hAnsi="Times New Roman"/>
          <w:sz w:val="20"/>
        </w:rPr>
      </w:pPr>
      <w:r>
        <w:rPr>
          <w:rFonts w:ascii="Times New Roman" w:hAnsi="Times New Roman"/>
          <w:sz w:val="20"/>
        </w:rPr>
        <w:t>When considering how to vote on the proposals related to the merger, DXL stockholders should be aware that DXL’s directors and executive officers have conflicts of interest and/or certain interests, including economic interests, in the merger that may be different from, or in addition to, the interests of DXL stockholders more generally, including, among others, their continued service as a director of either the combined company or DXL as a standalone company, retention and severance benefits, the potential payout of certain DXL LTIP awards, and continued indemnification. For a more detailed discussion, see “</w:t>
      </w:r>
      <w:r>
        <w:rPr>
          <w:rFonts w:ascii="Times New Roman" w:hAnsi="Times New Roman"/>
          <w:i/>
          <w:sz w:val="20"/>
        </w:rPr>
        <w:t>The Merger—Interests of DXL’s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material adverse changes may result from the announcement of the merger, industry-wide changes and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either party can refuse to complete the merger upon the occurrence of a material adverse effect affecting the other party between December 11, 2025, the date of the merger agreement, and the closing of the merger. However, some types of changes do not permit either party to refuse to complete the merger, even if such changes would have a material adverse effect on DXL or FBB, to the extent they resulted from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conditions in the United States or any other country or region in the world, or changes in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financial markets, credit markets or capital markets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industries in which such persons generally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legislative or political conditions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hurricanes, tsunamis, tornadoes, floods, mudslides, wildfires or other natural disasters, weather conditions, epidemics, pandemics or disease outbreaks and other force majeure events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the announcement of the merger agreement or the pendency of the merger and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compliance by any party with the terms of the merger agreement, including any action taken or refrained from being taken pursuant to or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refrained from being taken, in each case which such person has expressly approved, consented to or requested in writing following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GAAP or other accounting standards or in any applicable laws or regulations (or the enforcement or interpretation of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price or trading volume of the DXL common stock, in and of itself (it being understood that any cause of such change may be deemed to constitute, in and of itself, a material adverse effect under the merger agreement and may be taken into consideration when determining whether a material adverse effect has occurred, to the extent not otherwise excluded under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under the merger agreement and may be taken into consideration when determining whether a material adverse effect has occurred, to the extent not otherwise excluded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under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stockholders may not realize a benefit from the merger commensurate with the ownership dilution they will experience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if the combined company is unable to realize the strategic and financial benefits currently anticipated from the merger, DXL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pendency of the merger, DXL may not be able to enter into a business combination with another party and will be subject to contractual limitations on certain actions because of restrictions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DXL or FBB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or facilitating the communication, engaging in any communications, discussions or negotiations, or taking any action that could reasonably be expected to lead to certain acquisition inquiries or acquisition proposal, such as certain acquisitions of such party’s common stock, tender offers for such party’s common stock, and mergers or other business combinations. Any such transactions could be favorable to DXL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 capital of FBB is privately held and is not traded in any public market. The lack of a public market makes it extremely difficult to determine the fair market value of FBB. Because the percentage of DXL’s equity to be issued to FBB stockholders was determined based on negotiations between the parties, it is possible that the value of the DXL common stock to be issued in connection with the merger would be greater than the fair market value of FBB. Alternatively, it is possible that the value of the shares of DXL common stock to be issued in connection with the merger would be less than the fair market value of FBB.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consummated, the combined company would incur significant transaction costs as a result of the merger, including investment banking, legal and accounting fees. In addition, the combined company would incur significant consolidation and integration expenses, which cannot be accurately estimated at this time. These costs could include the possible relocation of certain operations as well as costs associated with terminating existing office leases and the loss of benefits of certain favorable office leases. Actual transaction costs may substantially exceed FBB’s estimates and may have an adverse effect on the combined company’s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would result in an annual limitation on DXL’s ability to utilize its net operating loss carryforwards.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382 of the Code, use of DXL’s net operating loss carryforwards (“NOLs”) would be limited if DXL experiences an “ownership change.” For these purposes, an ownership change generally occurs where the aggregate stock ownership of one or more stockholders or groups of stockholders who own at least 5% of a corporation’s stock increases by more than 50 percentage points over its lowest ownership percentage within a specified testing period. DXL would experience an ownership change as a result of the merger, and therefore its ability to utilize its NOLs and certain credit carryforwards remaining at the effective time would be limited. The limitation would be determined by the fair market value of DXL common stock outstanding prior to the ownership change, multiplied by the applicable federal rate. Limitations imposed on DXL’s ability to utilize NOLs could cause U.S. federal and state income taxes to be paid earlier than they would be paid if such limitations were not in effect and could cause such NOLs to expire unused, in each case reducing or eliminating the benefit of such NOLs.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p>
      <w:pPr>
        <w:pStyle w:val="TextBody"/>
        <w:bidi w:val="0"/>
        <w:spacing w:before="120" w:after="0"/>
        <w:jc w:val="left"/>
        <w:rPr>
          <w:rFonts w:ascii="Times New Roman" w:hAnsi="Times New Roman"/>
          <w:sz w:val="20"/>
        </w:rPr>
      </w:pPr>
      <w:r>
        <w:rPr>
          <w:rFonts w:ascii="Times New Roman" w:hAnsi="Times New Roman"/>
          <w:sz w:val="20"/>
        </w:rPr>
        <w:t xml:space="preserve">Securities litigation or stockholder derivative litigation frequently follows the announcement of certain significant business transactions, such as the sale of a business division or announcement of a business combination transaction. DXL, FBB and the combined company may become involved in this type of litigation in connection with the merger in the future. Litigation often is expensive and diverts management’s attention and resources, which could adversely affect the business of DXL, FBB and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consummate the merger may result in DXL paying a termination fee and/or out-of-pocket fees and expenses to FBB and could harm the price of DXL common stock and the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and the merger agreement is terminated under certain circumstances, DXL may be required to pay FBB a termination fee of $2.5 million and/or an out-of-pocket fees and expense reimbursement of up to $950,000. Even if a termination fee or expense reimbursement is not payable in connection with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of the merger agreement, DXL will have incurred significant fees and expenses, which must be paid whether or not the merger is consummated. Further, if the merger is not consummated, it could significantly harm the market price of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merger has consummated, there can be no further recourse by either party or its stockholders for a breach of any representation or warranty.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of FBB, DXL and the merger subsidiary contained in the merger agreement or any certificate or instrument delivered pursuant to the merger agreement would terminate at the effective time of the merger, and there would be no recourse for any breach of such representations and warranties following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of the merger, each share of FBB common stock (excluding (i) shares held as treasury stock by FBB or held or owned by DXL, the merger subsidiary or any subsidiary of DXL or FBB, (ii) dissenting shares, and (iii) unaccredited investor shares), after giving effect to the cancellation of all FBB warrants outstanding, would be converted solely into the right to receive a number of validly issued, fully paid and nonassessable shares of DXL’s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DXL common stock before the completion of the merger would not affect the number of shares of DXL common stock issuable to FBB stockholders pursuant to the merger agreement. Therefore, if before the completion of the merger the market price of DXL common stock declines from the market price on the date of the merger agreement, then FBB stockholders would receive, if the merger is consummated, merger consideration with substantially lower value than the value of such merger consideration on the date of the merger agreement. Similarly, if before the completion of the merger the market price of DXL common stock increases from the market price of DXL common stock on the date of the merger agreement, then FBB stockholders would receive, if the merger is consummated,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DXL common stock, for each one percentage point change in the market price of DXL common stock, there is a corresponding one percentage point rise or decline, respectively, in the value of the total merger consideration payable to FBB stockholders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alternative takeover proposals, including proposals that may be superior to the arrangements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merger agreement prohibit each of DXL and FBB from soliciting alternative takeover proposals or cooperating with persons making unsolicited takeover proposals, except in limited circumstances when, among other things, the DXL Board or the board of directors of FBB, as applicable, determines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after consultation with its financial advisors and outside legal counsel that an unsolicited alternative takeover proposal is or is reasonably likely to result in a superior takeover proposal, and that failure to cooperate with the proponent of the proposal could be reasonably likely to violate the fiduciary duties of the DXL Board or the board of directors of FBB,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met,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share issuances and amendments to the restated certificate of incorporation to effect the reverse stock split expected to be necessary for the merger are approved by DXL stockholders, specified conditions must be satisfied or waived to complete the merger. These conditions are set forth in the merger agreement and described in the section entitled “</w:t>
      </w:r>
      <w:r>
        <w:rPr>
          <w:rFonts w:ascii="Times New Roman" w:hAnsi="Times New Roman"/>
          <w:i/>
          <w:sz w:val="20"/>
        </w:rPr>
        <w:t>The Merger Agreement—Conditions to the Closing of the Merger</w:t>
      </w:r>
      <w:r>
        <w:rPr>
          <w:rFonts w:ascii="Times New Roman" w:hAnsi="Times New Roman"/>
          <w:sz w:val="20"/>
        </w:rPr>
        <w:t xml:space="preserve">”. DXL cannot assure you that all of the conditions would be satisfied or waived. If the conditions are not satisfied or waived, the merger would not occur or would be delayed, and DXL and FBB each may lose some or all of the intended benefits of the merger. </w:t>
      </w:r>
    </w:p>
    <w:p>
      <w:pPr>
        <w:pStyle w:val="TextBody"/>
        <w:bidi w:val="0"/>
        <w:spacing w:before="480" w:after="0"/>
        <w:jc w:val="center"/>
        <w:rPr>
          <w:rFonts w:ascii="Times New Roman" w:hAnsi="Times New Roman"/>
          <w:b/>
          <w:sz w:val="20"/>
        </w:rPr>
      </w:pPr>
      <w:bookmarkStart w:id="9" w:name="tx76201_7"/>
      <w:bookmarkEnd w:id="9"/>
      <w:r>
        <w:rPr>
          <w:rFonts w:ascii="Times New Roman" w:hAnsi="Times New Roman"/>
          <w:b/>
          <w:sz w:val="20"/>
        </w:rPr>
        <w:t xml:space="preserve">Risks Related to the Reverse Stock Split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reverse stock split is to increase the per-share market price of DXL common stock above the minimum bid price requirement under the Nasdaq rules so that DXL can maintain its listing on Nasdaq. Also, in order to consummate the merger with FBB, DXL must satisfy the Nasdaq initial listing standards, which require, among other things, a minimum bid price of $4.00 per share. However, there can be no assurance that the market price per share of DXL common stock after the reverse stock split will be unchanged or increase in proportion to the reduction in the number of shares of DXL common stock issued and outstanding before the reverse stock split. For example, based on the closing price of DXL common stock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of $0.</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if the DXL Board were to implement the reverse stock split and utilize a ratio of 1-for-</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the per share price of DXL common stock immediately after giving effect to the reverse stock split would be expected to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DXL cannot assure you that the market price per post-reverse stock split share will exceed or remain in excess of the (i) $4.00 minimum bid price initial listing requirement in connection with the merger, which requires the combined company to have a minimum bid price of $4.00 per share, or the (ii) $1.00 minimum bid price for a sustained period of time to meet the continued listing requirements should the merger not be completed. In addition, the reverse stock split may not result in a per share price that would attract brokers and investors who do not trade in lower-priced stocks. If the merger is not consummated, even if the market price per post-split share of DXL common stock remains in excess of $1.00 per share, DXL may be delisted due to a failure to meet other Nasdaq continued listing requirements, including requirements related to the minimum stockholders’ equity requirement, the minimum number of shares that must be in the public float, the minimum market value of the public float and the minimum number of “round lot”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proposal is not approved, DXL may be unable to regain compliance with Nasdaq’s minimum bid price requirement, which could result in the delisting of DXL common stock and have a material adverse effect on DXL and, if the merger is completed,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to regain compliance with the minimum bid price requirement, which expired on August 3, 2026. On June 30, 2026, DXL (i) submitted a transfer application to Nasdaq to transfer to The Nasdaq Capital Market and (ii)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DXL’s application to transfer its listing to The Nasdaq Capital Market, having determined that DXL met the applicable requirements for initial listing on The Nasdaq Capital Market, other than the minimum bid price requirement. DXL’s common stock listing transferred to The Nasdaq Capital Market on August 7, 2026. In connection with the transfer, Nasdaq granted DXL an additional 180-calendar-day compliance period, through February 1, 2027, to regain compliance with the minimum bid price requirement. To regain compliance, the closing bid price of DXL common stock must be at least $1.00 per share for a minimum of ten consecutive business days during the additional compliance period. </w:t>
      </w:r>
    </w:p>
    <w:p>
      <w:pPr>
        <w:pStyle w:val="TextBody"/>
        <w:bidi w:val="0"/>
        <w:spacing w:before="240" w:after="0"/>
        <w:jc w:val="left"/>
        <w:rPr>
          <w:rFonts w:ascii="Times New Roman" w:hAnsi="Times New Roman"/>
          <w:sz w:val="20"/>
        </w:rPr>
      </w:pPr>
      <w:r>
        <w:rPr>
          <w:rFonts w:ascii="Times New Roman" w:hAnsi="Times New Roman"/>
          <w:sz w:val="20"/>
        </w:rPr>
        <w:t xml:space="preserve">DXL is seeking stockholder approval for the reverse stock split to provide the DXL Board the ability, if necessary, to increase the price of DXL common stock in order to meet the minimum bid price requirement for continued listing of DXL common stock on Nasdaq, should DXL be unable to regain compliance during the additional compliance period provided by Nasdaq, which expires on February 1, 2027. Additionally, if the DXL Board does not implement the reverse stock split within one year of the date on which the reverse stock split is approved by DXL stockholders, the authority granted in this proposal to implement the reverse stock split will terminate, which could further limit DXL’s flexibility to address any future non-compliance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requires approval by DXL stockholders, and there can be no assurance that such approval will be obtained. If the reverse stock split proposal is not approved, the DXL Board will not have the authority to effect the reverse stock split and DXL may be unable to cure the minimum bid price deficiency within the applicable compliance period. As a result, DXL common stock could become subject to delisting from Nasdaq. If DXL common stock were delisted, it may trade on an over-the-counter market, which could result in reduced liquidity, increased volatility and a diminished trading market for DXL common stock. Additionally, delisting from Nasdaq could result in, among other things: (i) reduced institutional investor interest, as many institutional investors and investment funds are restricted from investing in or maintaining positions in securities not listed on a national securities exchange; (ii) a significant impairment of DXL’s ability, or, if the merger is completed, the combined company’s ability, to raise capital through public or private equity offerings on acceptable terms, or at all; and (iii) reputational harm, which could negatively impact relationships with customers, suppliers, employees and other business partners. In addition, if the merger is completed prior to DXL regaining compliance with the minimum bid price requirement, the combined company would inherit this deficiency and, if the reverse stock split has not been implemented, would face the same risk of delisting from Nasdaq, which could have a material adverse effect on the combined company’s stock price, liquidity and ability to raise capital. Even if the reverse stock split proposal is approved and the DXL Board implements the reverse stock split, there can be no assurance that the market price of DXL common stock will increase proportionately, or that the market price will remain at a level sufficient to satisfy or maintain Nasdaq’s minimum bid price requirement or any other continued listing requirements. Accordingly, even if the reverse stock split is approved and implemented, there is no guarantee that DXL common stock, or, if the merger is completed, the combined company’s common stock, will not ultimately be delisted from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p>
      <w:pPr>
        <w:pStyle w:val="TextBody"/>
        <w:bidi w:val="0"/>
        <w:spacing w:before="120" w:after="0"/>
        <w:jc w:val="left"/>
        <w:rPr>
          <w:rFonts w:ascii="Times New Roman" w:hAnsi="Times New Roman"/>
          <w:sz w:val="20"/>
        </w:rPr>
      </w:pPr>
      <w:r>
        <w:rPr>
          <w:rFonts w:ascii="Times New Roman" w:hAnsi="Times New Roman"/>
          <w:sz w:val="20"/>
        </w:rPr>
        <w:t xml:space="preserve">While the DXL Board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DXL common stock may not necessarily improve.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apply to the number of authorized shares available for issuance under DXL’s charter. Therefore, because the number of issued and outstanding shares of DXL common stock will decrease as a result of the reverse stock split, it will have the effect of increasing the number of authorized shares available for issuance. Future issuances of DXL common stock may, depending on the circumstances, have a dilutive effect on the earnings per share, voting power and other interests of existing DXL stockholders. For example, DXL may use the additional authorized but unissued shares to restructure existing indebtedness, raise additional capital through equity financing, enter into strategic partnerships, or sell securities convertible into or exercisable for DXL common stock, any of which may result in substantial dilution to existing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result in some stockholders owning “odd lots” that may be more difficult to sell or require greater transaction costs per share to sell.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DXL common stock on a post-split basis. These odd lots may be more difficult to sell, or require greater transaction costs per share to sell, than shares in “round lots” of even multiples of 100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reduced number of issued shares of DXL common stock resulting from the reverse stock split could adversely affect the liquidity of DXL common stock and result in higher transaction costs if the merger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Although the DXL Board believes that the decrease in the number of shares of DXL common stock issued as a result of the reverse stock split and the anticipated increase in the market price of DXL common stock could encourage interest in DXL common stock and possibly promote greater liquidity for its stockholders, such liquidity could also be adversely affected by the reduced number of shares issued after the reverse stock split. The reverse stock split may also result in higher transaction costs if the merger is not consummated. The liquidity of DXL common stock may be negatively impacted by the reverse stock split, given the reduced number of shares that would be outstanding after the reverse stock split if the merger is not consummated, particularly if the stock price does not increase as a result of the reverse stock split. Accordingly, the reverse stock split may not achieve the desired results of increasing marketability and liquidity of DXL common stock if the merger is not consummated. </w:t>
      </w:r>
    </w:p>
    <w:p>
      <w:pPr>
        <w:pStyle w:val="TextBody"/>
        <w:bidi w:val="0"/>
        <w:spacing w:before="480" w:after="0"/>
        <w:jc w:val="center"/>
        <w:rPr>
          <w:rFonts w:ascii="Times New Roman" w:hAnsi="Times New Roman"/>
          <w:b/>
          <w:sz w:val="20"/>
        </w:rPr>
      </w:pPr>
      <w:bookmarkStart w:id="10" w:name="tx76201_8"/>
      <w:bookmarkEnd w:id="10"/>
      <w:r>
        <w:rPr>
          <w:rFonts w:ascii="Times New Roman" w:hAnsi="Times New Roman"/>
          <w:b/>
          <w:sz w:val="20"/>
        </w:rPr>
        <w:t xml:space="preserve">Risks Related to DXL </w:t>
      </w:r>
    </w:p>
    <w:p>
      <w:pPr>
        <w:pStyle w:val="TextBody"/>
        <w:bidi w:val="0"/>
        <w:spacing w:before="240" w:after="0"/>
        <w:jc w:val="left"/>
        <w:rPr>
          <w:rFonts w:ascii="Times New Roman" w:hAnsi="Times New Roman"/>
          <w:sz w:val="20"/>
        </w:rPr>
      </w:pPr>
      <w:r>
        <w:rPr>
          <w:rFonts w:ascii="Times New Roman" w:hAnsi="Times New Roman"/>
          <w:sz w:val="20"/>
        </w:rPr>
        <w:t>For risks related to the business of DXL, please refer to the section entitled “</w:t>
      </w:r>
      <w:r>
        <w:rPr>
          <w:rFonts w:ascii="Times New Roman" w:hAnsi="Times New Roman"/>
          <w:i/>
          <w:sz w:val="20"/>
        </w:rPr>
        <w:t>Item 1A. Risk Factors</w:t>
      </w:r>
      <w:r>
        <w:rPr>
          <w:rFonts w:ascii="Times New Roman" w:hAnsi="Times New Roman"/>
          <w:sz w:val="20"/>
        </w:rPr>
        <w:t xml:space="preserve">” set forth in DXL’s Annual Report on Form 10-K for the year ended January 31, 2026 as filed with the SEC on March 19, 2026. </w:t>
      </w:r>
    </w:p>
    <w:p>
      <w:pPr>
        <w:pStyle w:val="TextBody"/>
        <w:bidi w:val="0"/>
        <w:spacing w:before="480" w:after="0"/>
        <w:jc w:val="center"/>
        <w:rPr>
          <w:rFonts w:ascii="Times New Roman" w:hAnsi="Times New Roman"/>
          <w:b/>
          <w:sz w:val="20"/>
        </w:rPr>
      </w:pPr>
      <w:bookmarkStart w:id="11" w:name="tx76201_9"/>
      <w:bookmarkEnd w:id="11"/>
      <w:r>
        <w:rPr>
          <w:rFonts w:ascii="Times New Roman" w:hAnsi="Times New Roman"/>
          <w:b/>
          <w:sz w:val="20"/>
        </w:rPr>
        <w:t xml:space="preserve">Risks Related to FBB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for the current fiscal year), (iii) FBB’s increased level of indebtedness, (iv) uncertainty regarding the availability of the Combined ABL Facility and the resulting risk that the combined company may not have access to the liquidity contemplated by such facility, together with concerns that alternative financing may not be available on comparable terms, if at all, (v) concerns regarding FBB’s potential negative equity value, and (vi)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would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Risks Related to FBB section to “FullBeauty Brands,” the “Company,” “we,” “us,” “our” and other similar terms collectively refer to FBB Holdings I, Inc. and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We operate in an industry that involves numerous risks and uncertainties. You should carefully consider the risk factors discussed below, as well as the other information presented herein, as described in “FBB’s Management’s Discussion and Analysis of Financial Condition and Results of Operations” and our consolidated financial statements and related notes included elsewhere in this proxy statement, in evaluating us and our business. The risks and uncertainties described below may change over time and other risks and uncertainties, including those that we do not currently consider material, may impair our business. If any of the risks discussed below actually occur, our business, financial condition, operating results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economic conditions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performance is subject to macroeconomic conditions and their impact on levels of consumer spending. Some of the factors negatively impacting discretionary consumer spending include general economic conditions, high unemployment, increased taxation, high consumer debt, reductions in net worth based on severe market declines (such as in residential real estate markets), higher fuel, energy and other prices, increasing interest rates, inflation, severe weather conditions and low consumer confidence. In addition, any significant volatility in the financial markets could negatively impact the levels of future discretionary consumer spending. Consumer confidence is also affected by the domestic and international political situation. Our financial condition and operations could be impacted by changes in government regulations in areas including, but not limited to, taxes, trade policies, tariffs, customs regulations, data privacy and security and artificial intelligence (“AI”). The outbreak or escalation of war, geopolitical instability, or the occurrence of terrorist acts or other hostilities primarily in or affecting the United States,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 Such macroeconomic and other factors could have a negative effect on consumer spending in the United States, which in turn could have a material and adverse effect on our business, results of operations, financial condition, and cash flows. While our business is diversified across product categories and is not heavily concentrated in any single selling period, we generally experience modestly higher sales volume in the second and fourth quarters, and a downturn in consumer spending during those periods could have a disproportionate effect on our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depends on customers’ use of our digital platforms, including our e-commerce websites, and response to print media and digital marketing strategies; if our overall marketing strategies, including maintenance of a robust customer list, are not successful, our business and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Our business depends on customers’ use of our e-commerce websites and their response to our digital marketing and print media strategies. The level of customer traffic and volume of customer purchases on our e-commerce websites is substantially dependent on our ability to provide attractive and accessible websites that promote a high-quality customer experience. Customer response to our print media and digital marketing is substantially dependent on merchandise assortment, merchandise availability and creative presentation, as well as the selection of customers to whom our marketing is directed, changes in marketing strategies and the size and frequency of our communications. Although we utilize sophisticated in-house database modeling to enhance the effectiveness of our targeted online and print marketing campaigns, there can be no assurance that our efforts will be successful. Our maintenance of a robust customer list, which we believe includes desirable demographic characteristics for the products we offer, has also been a key component of our overall strategy. If we are unable to maintain and increase customers’ use of our e-commerce websites and the volume of goods they purchase, if the performance of our e-commerce websites, emails and catalogs declines, if our overall marketing strategy is not successful, or if evolving laws and regulations impact how we are able to use our digital marketing channels or otherwise govern e-commerce websites, our business and results of operations could be adversely affected. See “—</w:t>
      </w:r>
      <w:r>
        <w:rPr>
          <w:rFonts w:ascii="Times New Roman" w:hAnsi="Times New Roman"/>
          <w:i/>
          <w:sz w:val="20"/>
        </w:rPr>
        <w:t>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acquire new customers, or fail to do so in a cost-effective manner, we may not be able to increase or maintain revenue or profitability.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acquire customers in a cost-effective manner. In order to expand our customer base, we may need to appeal to and acquire customers who have historically used other means of commerce to purchase fashion apparel and home goods and may prefer alternatives to our offerings, such as traditional brick and mortar retailers or the websites of our competitors. We have made significant investments related to customer acquisition and expect to continue to spend significant amounts to acquire additional customers, and we cannot be assured that we will always succeed in doing so in a cost-effective manner. If the quality of our shopping experience declines or if consumers do not perceive the products we offer to be of high value and quality, we may not be able to acquire new customers. If we are unable to acquire new customers who purchase products in numbers sufficient to grow our business, our net revenue may stagnate or decrease, and our business, financial condition and operating results may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We utilize paid and non-paid advertising to acquire new customers. Our paid advertising includes search engine marketing, display advertising and paid social media advertisements. Our non-paid advertising efforts include search engine optimization, non-paid social media, mobile “push” notifications and email. We obtain a significant amount of traffic via search engines, and we also seek to obtain traffic via social networking websites and other channels used by our current and prospective customers. Search engines frequently update and change the logic that determines the placement and display of results of a user’s search, such that the purchased or algorithmic placement of links to our sites can be negatively affected. A major search engine could change its algorithms in a manner that negatively affects our paid or non-paid search ranking, and competitive dynamics could impact the effectiveness of search engine marketing or search engine optimization. As e-commerce and social networking continue to evolve, we may be unable to establish, develop or maintain relationships with these channels on acceptable terms. Increased competition for online advertising inventory, reduced effectiveness of targeted advertising due to evolving data privacy regulations, and higher customer acquisition costs could further reduce marketing efficiency and negatively impact our profitability and cash flow. In addition, evolving laws and regulations governing digital marketing and data privacy may impact our ability to use our current advertising strategies more broadly. If we are unable to cost-effectively drive traffic to our sites, our ability to acquire new customers and our financial condition would suffer. See “—</w:t>
      </w:r>
      <w:r>
        <w:rPr>
          <w:rFonts w:ascii="Times New Roman" w:hAnsi="Times New Roman"/>
          <w:i/>
          <w:sz w:val="20"/>
        </w:rPr>
        <w:t>Regulatory, administrative and litigation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results of operations could be adversely affected if we fail to accurately predict apparel trends and customer preferences.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continued success depends on our ability to provide a compelling value proposition for our customers. Our products and services must satisfy the desires of our customers, whose preferences may change over time. Apparel trends and customer preferences are volatile and tend to change rapidly, particularly women’s apparel. In order to be successful, we must identify, obtain supplies of, and offer to customers attractive, high-quality and affordable merchandise on a continuous and timely basis.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and missed opportunities. In response, we may be forced to rely on markdowns or promotional sales to dispose of excess, slow-moving inventory, which would decrease our revenues and margins. Failure to effectively gauge the direction of customer preferences, or convey a compelling brand image or price/value equation to customers may result in lower sales and lower operating income. This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and planned expansion of AI technologies present operational, regulatory, cybersecurity, legal, and reputational risks that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increasingly leveraging AI, machine learning, and automated decision-making tools in certain aspects of our business and may expand such use in the future. While we believe these technologies may improve operational efficiency, enhance customer experience, and support data-driven decision-making, their use presents risks and uncertainties that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AI technologies are complex and rapidly evolving. Our AI systems, including those developed internally or provided by third-party vendors, may produce inaccurate, misleading, or biased outputs, or may fail to perform as intended. Such failures could have a negative impact on our business, customer interactions, or brand reputation and could expose us to liability, regulatory actions, and threats of litigation. In addition, our use of AI technologies may present challenges in asserting intellectual property ownership over the resulting output, and could increase our exposure to claims of intellectual property infringement, data privacy violations, cybersecurity risks, or contractual disputes, particularly where AI systems rely on third-party data, models, or infrastructure. Securing and enforcing intellectual property rights in rapidly evolving areas can be costly and time-consuming, and our current protections may be insufficient. See “—We may be unable to protect our trademarks and other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environment surrounding AI is evolving in the United States and internationally. New or proposed laws and regulations may impose compliance obligations, require changes to our practices, increase costs, or restrict our ability to deploy AI tools in certain contexts. For example, federal and state legislatures have enacted or are considering enacting laws governing the use of artificial intelligence technologies to make decisions, such as pricing decisions or decisions that could have a significant impact on consumers. Regulatory scrutiny, litigation, or governmental investigations related to AI usage could result in reputational harm, penalties, or operational limitations. </w:t>
      </w:r>
    </w:p>
    <w:p>
      <w:pPr>
        <w:pStyle w:val="TextBody"/>
        <w:bidi w:val="0"/>
        <w:spacing w:before="240" w:after="0"/>
        <w:jc w:val="left"/>
        <w:rPr>
          <w:rFonts w:ascii="Times New Roman" w:hAnsi="Times New Roman"/>
          <w:sz w:val="20"/>
        </w:rPr>
      </w:pPr>
      <w:r>
        <w:rPr>
          <w:rFonts w:ascii="Times New Roman" w:hAnsi="Times New Roman"/>
          <w:sz w:val="20"/>
        </w:rPr>
        <w:t xml:space="preserve">AI systems may also require significant investments in technology infrastructure, data governance, cybersecurity controls, and personnel training. If we are unable to successfully integrate AI into our operations, manage associated risks, or realize anticipated benefits, our competitive position and financial performance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growing adoption of AI-driven search and discovery tools by consumers may reduce the effectiveness of traditional digital marketing channels, including search engine marketing and search engine optimization, on which we rely to drive traffic to our e-commerce websites. If consumers increasingly discover and purchase products through AI-powered platforms rather than conventional search engines or direct website visits, our customer acquisition model could be disrupted, and our marketing costs could increase without a corresponding increase in sales. </w:t>
      </w:r>
    </w:p>
    <w:p>
      <w:pPr>
        <w:pStyle w:val="TextBody"/>
        <w:bidi w:val="0"/>
        <w:spacing w:before="240" w:after="0"/>
        <w:jc w:val="left"/>
        <w:rPr>
          <w:rFonts w:ascii="Times New Roman" w:hAnsi="Times New Roman"/>
          <w:sz w:val="20"/>
        </w:rPr>
      </w:pPr>
      <w:r>
        <w:rPr>
          <w:rFonts w:ascii="Times New Roman" w:hAnsi="Times New Roman"/>
          <w:sz w:val="20"/>
        </w:rPr>
        <w:t xml:space="preserve">Furthermore, reliance on third-party AI-related service providers subjects us to risks related to service availability, model performance, data handling practices, and vendor solvency. Any disruption, security incident, or failure by such providers could materially impact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implement appropriate governance, oversight, and internal controls over our AI initiatives, or if stakeholders perceive our use of AI as unethical, unsafe, or inconsistent with applicable standards, our reputation and stakeholder trust in us could be harmed and we may be subject to regulatory scrutiny, litigation or governmental investigations. Ensuring that our employees use only Company-approved AI technologies presents an additional challenge; unauthorized use of AI tools could expose us to data security, intellectual property, or regulatory risks outside of our existing controls.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largely depends on a strong brand image and, if we are unable to maintain and enhance our brand image, or fail to adequately protect our brand image, we may be unable to increase or maintain our level of sales.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brand image and brand awareness around our different brands has contributed significantly to the success of our business. We also believe that maintaining and enhancing our brand image is important to maintaining and expanding our customer base. Our ability to successfully integrate new brands and to expand into new markets or to maintain the strength and distinctiveness of our brand image in our existing markets will be adversely impacted if we fail to connect with our target customers. Maintaining and enhancing our brand image may require us to make substantial investments in areas such as merchandising, marketing, operations, community relations, catalog and website graphics and employee training, which could adversely affect our cash flow, and which may ultimately be unsuccessful. Furthermore, our brand image could be jeopardized if we fail to maintain high standards for merchandise quality, if we fail to comply with local laws and regulations or if we experience negative publicity or other negative events that affect our image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Some of these risks may be beyond our ability to control, such as the effects of negative publicity, including on social media, regarding our company, our vendors or other strategic partners. Failure to successfully market and maintain our brand image in new and existing markets could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efficiently manage inventory levels, our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must maintain sufficient inventory levels to operate our business successfully, but we must also avoid accumulating excess inventory, which increases working capital needs and may lower gross margins. We obtain most of our inventory from vendors located outside the United States. Some of these vendors often require lengthy advance notice of order requirements to be able to supply products in the quantities requested. This usually requires us to order merchandise and enter commitments for the purchase of such merchandise, well in advance of the time these products will be offered for sale. In addition, certain of our vendors may require minimum order quantities for certain of our products that exceed our near-term sales expectations, which may require us to purchase and hold excess inventory. As a result, it may be difficult to respond to changes in the consumer preferences or other changes in the markets for our products. If we do not accurately forecast demand for our products or the time it will take to obtain new inventory, inventory levels will not be appropriate, and our results of operations could be adversely affected. Excess inventory may also require increased markdown activity, which could materially reduce gross margins and negatively impact operating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tariffs on product imported to the United States, retaliatory trade actions taken by other countries, and resulting trade wars have had, and may continue to have, a material adverse impact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Because most of our inventory is sourced from vendors located outside the United States, our business is subject to risks associated with international trade. These risks include the imposition of new or increased tariffs, duties or other import-related charges, changes in trade agreements, trade restrictions, quotas, sanctions, and changes in the interpretation or enforcement of existing trade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2025, the United States government announced the imposition of additional tariffs and reciprocal tariffs on most goods imported into the United States. Multiple nations, including China, responded with reciprocal tariffs and other trade actions, which triggered the U.S. government to increase the reciprocal tariffs on countries that retaliated against the U.S. enacted trade policy. The recent and ongoing enactment of tariffs by the government of the United States (including as a result of the recent Supreme Court ruling on tariff authority), along with the unpredictability of the tariff rates, pose a significant risk to our business operations, and have, and may continue to, materially increase our costs and reduce our margins. The tariffs have resulted in, and may also continue to lead to, additional order cancellations and higher pricing for our products, reducing consumer demand and further impacting our sales volume. Successful challenges to the authorization of certain tariffs, including under Learning Resources, Inc. v. Trump, may entitle companies to refunds or other offsets. There remains significant uncertainty regarding the implementation of such decision, including the process that will govern refund claims, the timing of any potential refunds, and the ultimate amounts, if any, that we recover. We are actively monitoring the impact of any tariffs that become effective, as well as potential retaliatory tariffs imposed by other countries and will continue to work on strategies to moderate or minimize the effects of trade actions.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efforts to diversify sourcing across geographies, negotiate cost sharing with vendors, adjust pricing without materially affecting demand, and manage inventory levels will be successful, or that they will fully or significantly offset the negative impact of the tariffs on our business. Given the uncertainty regarding the scope and duration of current and potential tariffs, as well as the potential for additional trade actions by the United States or other countries, the specific impact to our business, results of operations, cash flows, and financial condition is uncertain, but could continue to be material. The extent of any such impact will further depend on the ultimate tariff rates imposed under current and any future statutory authorities, the duration of such measures, and the outcome of ongoing and potential legal challenges.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success depends on our ability to build and maintain a high-quality workforce, and competition for talent may make it difficult to do so.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having a high-quality management team and workforce with the appropriate skills, experience and leadership capabilities to support our business and execute our strategic initiatives. Our success also depends, in part, on our ability to recruit, retain and motivate our employees sufficiently, both to maintain our current business and to execute our strategic initiatives. Competition for experienced and well-qualified employees in our industry is particularly intense in many of the places where we do business, and we may not be successful in attracting and retaining such personnel. Changes to our current and future office environments, adoption of new work models and our business requirements or expectations about when or how often employees work either on-site or remotely may not meet the expectations of our employees. As certain jobs and employers increasingly operate remotely, traditional geographic competition for talent may change in ways that cannot be fully predicted at this time. If our employment proposition is not perceived as favorable compared to other companies’ policies, it could negatively impact our ability to attract, hire and retain our employees. In addition, changes in U.S. immigration policy or the availability of work visas could affect our ability to attract and retain skilled employees in areas such as technology, data analytics, and e-commerce operations, and could more broadly affect labor availability in industries on which our supply chain and outsourced operations depend. </w:t>
      </w:r>
    </w:p>
    <w:p>
      <w:pPr>
        <w:pStyle w:val="TextBody"/>
        <w:bidi w:val="0"/>
        <w:spacing w:before="240" w:after="0"/>
        <w:jc w:val="left"/>
        <w:rPr>
          <w:rFonts w:ascii="Times New Roman" w:hAnsi="Times New Roman"/>
          <w:sz w:val="20"/>
        </w:rPr>
      </w:pPr>
      <w:r>
        <w:rPr>
          <w:rFonts w:ascii="Times New Roman" w:hAnsi="Times New Roman"/>
          <w:sz w:val="20"/>
        </w:rPr>
        <w:t xml:space="preserve">In particular, our success depends on the continued service and performance of our senior management team and other key personnel. The loss of one or more members of senior management could result in diminished organizational focus, weaker operating execution, and reduced ability to identify and pursue strategic initiatives.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could suffer because of increases in the price of raw materials, labor, energy and freight. </w:t>
      </w:r>
    </w:p>
    <w:p>
      <w:pPr>
        <w:pStyle w:val="TextBody"/>
        <w:bidi w:val="0"/>
        <w:spacing w:before="120" w:after="0"/>
        <w:jc w:val="left"/>
        <w:rPr>
          <w:rFonts w:ascii="Times New Roman" w:hAnsi="Times New Roman"/>
          <w:sz w:val="20"/>
        </w:rPr>
      </w:pPr>
      <w:r>
        <w:rPr>
          <w:rFonts w:ascii="Times New Roman" w:hAnsi="Times New Roman"/>
          <w:sz w:val="20"/>
        </w:rPr>
        <w:t xml:space="preserve">Raw materials used to manufacture our merchandise are subject to availability constraints and price volatility caused by a variety of factors including high or low demand for fabrics, labor conditions, transportation or freight costs, currency fluctuations, acreage devoted to cotton crops and crop yields, climate change, weather conditions, supply conditions, economic inflation, tariffs, environmental protection, other standards and other unpredictable factors. Increases in the price of cotton, wool, petroleum-based man-made materials and other raw materials used in the production of fabric and accessories, as well as increases in labor and energy costs, could result in increases in the costs of our products and the expense of transporting them to our distribution centers and to our customers. There can be no assurance that we will be able to reflect any such higher costs in the prices for our products. Consequently, higher product costs could have a negative effect on our gross profit margin and increased selling prices could have a negative effect on our sales volume. To the extent that we cannot offset cost increases with other cost reductions or efficiencies, such increased costs may result in increased product prices, which could lead to reduced customer demand and adversely affect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would suffer if our distribution center or customer care center were shut down, disrupted, or not successfully optimized. </w:t>
      </w:r>
    </w:p>
    <w:p>
      <w:pPr>
        <w:pStyle w:val="TextBody"/>
        <w:bidi w:val="0"/>
        <w:spacing w:before="120" w:after="0"/>
        <w:jc w:val="left"/>
        <w:rPr>
          <w:rFonts w:ascii="Times New Roman" w:hAnsi="Times New Roman"/>
          <w:sz w:val="20"/>
        </w:rPr>
      </w:pPr>
      <w:r>
        <w:rPr>
          <w:rFonts w:ascii="Times New Roman" w:hAnsi="Times New Roman"/>
          <w:sz w:val="20"/>
        </w:rPr>
        <w:t xml:space="preserve">Our business would suffer materially if our distribution center or customer care center were shut down, disrupted, or not successfully optimized. Most of the merchandise we purchase is shipped directly to our distribution center in Indianapolis, Indiana, where it is prepared for shipment to the customer. Our ability to meet consumer expectations, manage inventory, complete sales and achieve objectives for operating efficiencies depends on the proper operation of this facility. We also maintain a customer care center in El Paso, Texas, supplemented by outsourced resources in the Philippines, that collectively receive millions of points of contact, including phone calls, emails and live chats, annually, maintains a live online chat capability and responds to social media comments. As a result of damage to, or prolonged interruption of, operations at any of our distribution center or customer care facilities due to a work stoppage, supply chain disruption, weather conditions such as tornado, flood, blizzard, the impact of climate change, epidemics, pandemics, labor shortages, or other disruptions or other natural disaster or event, we could lose sales or incur significantly higher costs and longer lead times associated with distributing our products to customers, or experience delayed response time to customers at our customer care center. </w:t>
      </w:r>
    </w:p>
    <w:p>
      <w:pPr>
        <w:pStyle w:val="TextBody"/>
        <w:bidi w:val="0"/>
        <w:spacing w:before="240" w:after="0"/>
        <w:jc w:val="left"/>
        <w:rPr>
          <w:rFonts w:ascii="Times New Roman" w:hAnsi="Times New Roman"/>
          <w:sz w:val="20"/>
        </w:rPr>
      </w:pPr>
      <w:r>
        <w:rPr>
          <w:rFonts w:ascii="Times New Roman" w:hAnsi="Times New Roman"/>
          <w:sz w:val="20"/>
        </w:rPr>
        <w:t xml:space="preserve">We maintain business interruption and property insurance, but our insurance coverage may not be sufficient, or insurance proceeds may not be paid to us timely if our distribution center or our customer care center is shut down for any unplanned reason. These factors could have a material adverse effect on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do not adequately predict customer demand or otherwise optimize and operate our distribution center successfully, it could result in excess or insufficient fulfillment capacity, or result in increased costs, or both, or harm our business in other ways. Orders from several of our websites are fulfilled primarily from a single location. As we continue to add distribution center capability or add new businesses with different requirements, our distribution center systems become increasingly complex and operating them becomes more challenging. We may be unable to adequately operate and staff our distribution center efficiently.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a failure to optimize inventory in our distribution center will increase our net shipping cost by requiring, among other things, partial shipments. Our ability to receive inbound inventory efficiently and ship completed orders to customers also may be negatively affected by inclement weather, fire, flood, power loss, earthquakes, labor disputes, acts of war or terrorism, acts of God and similar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deliver our merchandise and catalogs to our customers, and our business could be negatively impacted by disruptions in the operations of these third-party service providers. </w:t>
      </w:r>
    </w:p>
    <w:p>
      <w:pPr>
        <w:pStyle w:val="TextBody"/>
        <w:bidi w:val="0"/>
        <w:spacing w:before="120" w:after="0"/>
        <w:jc w:val="left"/>
        <w:rPr>
          <w:rFonts w:ascii="Times New Roman" w:hAnsi="Times New Roman"/>
          <w:sz w:val="20"/>
        </w:rPr>
      </w:pPr>
      <w:r>
        <w:rPr>
          <w:rFonts w:ascii="Times New Roman" w:hAnsi="Times New Roman"/>
          <w:sz w:val="20"/>
        </w:rPr>
        <w:t xml:space="preserve">We rely on third-party shipping partners, such as FedEx and DHL, to deliver our merchandise and on the United States Postal Service (“USPS”) to deliver our catalogs to our customers. Relying on these third-party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puts us at risk for cost increases that they may demand or disruptions in their operations, such as employee strikes, inclement weather and their inability to meet our shipping demands. If we are forced to use other delivery services, our costs could increase and we may be unable to meet shipment deadlines.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These circumstances may negatively impact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System interruptions that impair customer access to our sites or other performance failures in our technology infrastructure could damage our business, reputation and brand and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We rely extensively on our information technology systems to track inventory, manage our supply chain, record and process transactions, manage customer communications, summarize results and manage our business. We must periodically update or upgrade our IT platforms to ensure that we continue to provide compelling customer experiences. The failure of our IT systems to operate properly or effectively, problems with transitioning to upgraded or replacement systems or difficulty in integrating new systems could adversely impact our business. In addition, our IT systems may be subject to damage and/or interruption from power outages, computer, network and telecommunications failures, computer viruses, hackers, terrorist attacks, denial of service attacks, security breaches, ransomware, phishing and social engineering scams, usage errors by our employees and harmful acts by our website visitors, and similar events. If our IT systems are damaged or cease to function properly, we may have to make a significant investment to fix or replace them, and we may suffer loss of critical data (including customer data) and interruptions or delays in our operations in the interim. Any significant disruption in our IT systems or loss of or access to data could harm our reputation and credibility and could adversely affect our business, financial condition or results of operations. See “—</w:t>
      </w:r>
      <w:r>
        <w:rPr>
          <w:rFonts w:ascii="Times New Roman" w:hAnsi="Times New Roman"/>
          <w:i/>
          <w:sz w:val="20"/>
        </w:rPr>
        <w:t>Unauthorized disclosure of sensitive or confidential information, whether through a breach of our computer system or otherwise, could severely hurt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use complex proprietary hardware and software in our technology infrastructure, which we seek to continually update and improve. We may not always be successful in executing these upgrades and improvements, and the operation of our systems may be subject to failure. We have in the past and may in the future experience slowdowns or interruptions in some or all our sites when we are updating them, and new technologies or infrastructures may not be fully integrated with existing systems on a timely basis, or at all. Significant capital investment may be required to keep up with rapid technological change (including the successful utilization of data analytics, AI and machine learning). The failure of our IT systems to operate effectively and remain innovative may result in reduced efficiency and may have an adverse effect on our reputation, results of operations and financial condition. See “—</w:t>
      </w:r>
      <w:r>
        <w:rPr>
          <w:rFonts w:ascii="Times New Roman" w:hAnsi="Times New Roman"/>
          <w:i/>
          <w:sz w:val="20"/>
        </w:rPr>
        <w:t>Our use and planned expansion of AI</w:t>
      </w:r>
      <w:r>
        <w:rPr>
          <w:rFonts w:ascii="Times New Roman" w:hAnsi="Times New Roman"/>
          <w:sz w:val="20"/>
        </w:rPr>
        <w:t xml:space="preserve"> </w:t>
      </w:r>
      <w:r>
        <w:rPr>
          <w:rFonts w:ascii="Times New Roman" w:hAnsi="Times New Roman"/>
          <w:i/>
          <w:sz w:val="20"/>
        </w:rPr>
        <w:t>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we expand our use of third-party services, including cloud-based services, our technology infrastructure may be subject to increased risk of slowdown or interruption as a result of integration with such services and/or failures by such third parties and our contractual and operational safeguards may not be effective in preventing the failure of these systems or services to operate effectively and be available. Our net revenue depends on the number of visitors who shop on our sites and the volume of orders we can handle. Unavailability of our sites or reduced order fulfillment performance would reduce the volume of goods sold and could also materially adversely affect consumer perception of our brand. As our transaction volume grows and we expand our use of third-party cloud-based services, the demands on our technology platform will increase, and there can be no assurance that we will be able to scale our systems and infrastructure on a timely or cost-effective basis. Any slowdown or failure of our sites and the underlying technological infrastructure could harm our business, reputation and our ability to acquire, retain and serve our customers, which could materially adversely affect our results of operations. Our disaster recovery plan may be inadequate, and our business interruption insurance may not be sufficient to compensate us for the losses that could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Unauthorized disclosure of sensitive or confidential information, whether through a breach of our computer system or otherwise, could severely hurt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involves the receipt, storage and transmission of customers’ personal information, consumer preferences and payment card information, as well as confidential information about our employees, suppliers and our business, some of which is entrusted to third-party service providers and vendors. Despite the security measures we have in place, including commercially available systems, software, tools and monitoring, our facilities and systems — and those of third parties with which we do business — may be vulnerable to security breaches, cyber-attacks, acts of vandalism, computer viruses, misplaced or lost data, AI-enabled threats, and human errors. The methods used to obtain unauthorized access to or penetrate our systems or systems of our third-party providers and to access our sensitive information are constantly evolving and may be difficult to anticipate or detect for extended periods. Our associates, contractors or third-party partners may also purposefully or inadvertently cause breaches. There is no guarantee that our safeguards will be adequate against all threats. </w:t>
      </w:r>
    </w:p>
    <w:p>
      <w:pPr>
        <w:pStyle w:val="TextBody"/>
        <w:bidi w:val="0"/>
        <w:spacing w:before="240" w:after="0"/>
        <w:jc w:val="left"/>
        <w:rPr>
          <w:rFonts w:ascii="Times New Roman" w:hAnsi="Times New Roman"/>
          <w:sz w:val="20"/>
        </w:rPr>
      </w:pPr>
      <w:r>
        <w:rPr>
          <w:rFonts w:ascii="Times New Roman" w:hAnsi="Times New Roman"/>
          <w:sz w:val="20"/>
        </w:rPr>
        <w:t xml:space="preserve">Despite our efforts, an electronic security breach in our systems (or in the systems of third parties with which we do business and that process data on our behalf) that results in the unauthorized release of individually identifiable customer or other sensitive data could nonetheless occur and have a material adverse effect on our reputation and lead to financial losses from remedial actions, loss of business or potential liability, including possible punitive damages. In the event of a security breach, there can be no assurance that limitations of liability in our contracts would be enforceable or adequate or would otherwise protect us from any such liabilities or damages with respect to any claim. We also cannot provide assurances that our existing cyber insurance coverage will continue to be available on acceptable terms or will be available in sufficient amounts to cover one or more large claims or that the insurer will not deny coverage as to any future claim. Successful assertion of one or more large claims against us that exceeds available insurance coverage or results in changes to our insurance policies, including premium increases or the imposition of large deductible or co-insurance requirements,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maintain a cybersecurity program that includes technical safeguards, employee training, incident response procedures, and third-party security assessments designed to protect our systems and data. Despite these measures, no security program can eliminate all risk, and our defenses may not be sufficient to prevent or detect every potential intrusion, attack, or data loss event.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combined company following the merger, we expect to integrate and align our cybersecurity practices with those of DXL, including its enterprise risk management framework. There can be no assurance that this integration will be achieved without disruption or that the combined company’s cybersecurity program will be sufficient to address the expanded threat surface of the larger organization. </w:t>
      </w:r>
    </w:p>
    <w:p>
      <w:pPr>
        <w:pStyle w:val="TextBody"/>
        <w:bidi w:val="0"/>
        <w:spacing w:before="240" w:after="0"/>
        <w:jc w:val="left"/>
        <w:rPr>
          <w:rFonts w:ascii="Times New Roman" w:hAnsi="Times New Roman"/>
          <w:sz w:val="20"/>
        </w:rPr>
      </w:pPr>
      <w:r>
        <w:rPr>
          <w:rFonts w:ascii="Times New Roman" w:hAnsi="Times New Roman"/>
          <w:sz w:val="20"/>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subject us to fines or other regulatory sanctions and potentially to lawsuits. See “—</w:t>
      </w:r>
      <w:r>
        <w:rPr>
          <w:rFonts w:ascii="Times New Roman" w:hAnsi="Times New Roman"/>
          <w:i/>
          <w:sz w:val="20"/>
        </w:rPr>
        <w:t>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Further, we could be required to expend significant capital and other resources to address any data security incident or breach, which may not be covered or fully covered by our insurance, and which may involve payments for investigations, forensic analyses, legal advice, public relations advice, system repair or replacement or other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Increases in postage, paper and printing costs could adversely affect the costs of producing and distributing our catalog and promotional mailings, which could have an adverse effect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Mailings of catalogs and other print media are a key aspect of our business. We currently use the USPS for distribution of substantially all our catalogs and are therefore vulnerable to postal rate increases, including potential discontinuation of bulk mailing discounts we currently leverage for cost savings. Increases in postage, paper and printing costs would increase the cost of our catalog mailings and could reduce our profitability to the extent that we are unable to offset such increases by raising prices, by implementing more efficient printing, mailing, delivery and order fulfillment systems or by using alternative direct-mail formats.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for paper has fluctuated significantly in the past and may continue to fluctuate in the future. We do not have multi-year fixed-price contracts for the supply of paper and are not guaranteed access to, or reasonable prices for, the amounts required for our business over the long term. We also depend upon a limited number of external vendors to print and mail our catalogs, which subjects us to pricing risks and disruption if any printer experiences production issues or fails to perform. Any inability to source paper or printing services in the quality and quantity required, or any material increase in associated costs, could impact customer acquisition, result in lost sales or otherwise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increasing popularity of GLP-1 medications could reduce demand for our products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GLP-1 receptor agonists used as weight-loss medications, including widely publicized drugs such as Wegovy and Ozempic, have experienced accelerated development, rapid adoption and significant media attention. These medications are designed to promote weight loss and may result in meaningful and sustained reductions in body weight for certain individuals. To the extent that these medications become more widely available, more affordable, or more commonly prescribed, a portion of our customer base may experience weight loss that reduces their need for plus-size apparel.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focused on serving plus-size and extended plus-size individuals. If a significant number of current or potential customers reduce their apparel size or shift their purchasing preferences to smaller-size assortments not offered by us, overall demand for our products could decline. In addition, customers experiencing rapid or ongoing weight changes may defer apparel purchases, reduce purchase frequency, or migrate to competitors with broader size ranges. Any such changes in customer behavior could negatively impact our sales, inventory planning, merchandising strategy, and long-term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long-term magnitude and duration of any such demand shifts remain uncertain. Weight changes may occur gradually and may vary significantly by individual customer. At the same time, these trends may also present potential opportunities for our business. Customers experiencing size transitions may require replacement wardrobes across multiple size ranges over time, which could increase purchase frequency or demand for a broader range of sizes and fits. We may also benefit from opportunities to introduce new fits or product lines, expand adjacent size categories, or strengthen customer relationships through personalized service and size-inclusive offerings. </w:t>
      </w:r>
    </w:p>
    <w:p>
      <w:pPr>
        <w:pStyle w:val="TextBody"/>
        <w:bidi w:val="0"/>
        <w:spacing w:before="240" w:after="0"/>
        <w:jc w:val="left"/>
        <w:rPr>
          <w:rFonts w:ascii="Times New Roman" w:hAnsi="Times New Roman"/>
          <w:sz w:val="20"/>
        </w:rPr>
      </w:pPr>
      <w:r>
        <w:rPr>
          <w:rFonts w:ascii="Times New Roman" w:hAnsi="Times New Roman"/>
          <w:sz w:val="20"/>
        </w:rPr>
        <w:t xml:space="preserve">Our portfolio of established plus-size brands, combined with our direct-to-consumer customer data and digital marketing capabilities, may position us to serve customers through weight transitions in ways that traditional retailers cannot. However, our ability to realize any such benefits will depend on our ability to anticipate and respond effectively to evolving consumer preferences, manage inventory and costs, and execute our strategic initiatives successfully. If the use of GLP-1 medications continues to grow and materially alters the purchasing patterns of our target demographics, the net effect on our business and results of operations could be adverse.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inability of our customers to access credit could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our customers finance their purchases of our products with credit, including our private label credit cards, co-branded credit cards and other general purpose credit cards. If the banks providing such credit limit the amount of credit they make available to our customers, or otherwise increase the fees associated with such credit, or if access to credit is otherwise limited due to regulatory restrictions on credit card interest rates, our business and results of operations could be adversely affected. Any deterioration in consumer credit quality, increased delinquencies or changes in underwriting standards by our credit partners could reduce purchasing power among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indebtedness could adversely affect our financial health, limit our ability to obtain future financing, and reduce our flexibility to respond to changes in our business. In addition, any inability to access liquidity or the capital markets on acceptable terms could adversely affect our business, results of operations, financial position and cash flows. </w:t>
      </w:r>
    </w:p>
    <w:p>
      <w:pPr>
        <w:pStyle w:val="TextBody"/>
        <w:bidi w:val="0"/>
        <w:spacing w:before="120" w:after="0"/>
        <w:jc w:val="left"/>
        <w:rPr>
          <w:rFonts w:ascii="Times New Roman" w:hAnsi="Times New Roman"/>
          <w:sz w:val="20"/>
        </w:rPr>
      </w:pPr>
      <w:r>
        <w:rPr>
          <w:rFonts w:ascii="Times New Roman" w:hAnsi="Times New Roman"/>
          <w:sz w:val="20"/>
        </w:rPr>
        <w:t>As of January 3, 2026, we had significant indebtedness consisting of amounts outstanding under our term loan and asset-based revolving credit facility. For a description of our indebtedness please refer to the section entitled “</w:t>
      </w:r>
      <w:r>
        <w:rPr>
          <w:rFonts w:ascii="Times New Roman" w:hAnsi="Times New Roman"/>
          <w:i/>
          <w:sz w:val="20"/>
        </w:rPr>
        <w:t>FBB’s Management’s Discussion and Analysis of Financial Condition and Results of Operations — Description of Indebtedness</w:t>
      </w:r>
      <w:r>
        <w:rPr>
          <w:rFonts w:ascii="Times New Roman" w:hAnsi="Times New Roman"/>
          <w:sz w:val="20"/>
        </w:rPr>
        <w:t>.” In connection with the merger, our indebtedness is expected to be modified as further described in the section entitled “</w:t>
      </w:r>
      <w:r>
        <w:rPr>
          <w:rFonts w:ascii="Times New Roman" w:hAnsi="Times New Roman"/>
          <w:i/>
          <w:sz w:val="20"/>
        </w:rPr>
        <w:t>The Merger Agreement—Financing.</w:t>
      </w:r>
      <w:r>
        <w:rPr>
          <w:rFonts w:ascii="Times New Roman" w:hAnsi="Times New Roman"/>
          <w:sz w:val="20"/>
        </w:rPr>
        <w:t xml:space="preserve">” Our indebtedness could have significant consequences. Because of our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our obligations with respect to our debt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more vulnerable to adverse economic and general industry conditions, including interest rate fluctuations, because a portion of our borrowings are at variable rates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or pursue strategic acquisitions and investments may be limited, and we may be required to make non-strategic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cash flow from operations may have to be dedicated to the payment of principal and interest on our debt, thereby reducing our ability to use that cash flow to fund our operations, capital expenditures and future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renew or refinance our debt on terms as favorable as our existing debt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flexibility to adjust to changing market conditions and our ability to withstand competitive pressures could be diminished.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cash flow declines, we may be required to reduce capital expenditure, limit strategic investments, delay growth initiatives, or seek additional capital on terms that may be less favorable. In addition, increases in interest rates could increase our debt service obligations where borrowings are subject to variable rates. </w:t>
      </w:r>
    </w:p>
    <w:p>
      <w:pPr>
        <w:pStyle w:val="TextBody"/>
        <w:bidi w:val="0"/>
        <w:spacing w:before="240" w:after="0"/>
        <w:jc w:val="left"/>
        <w:rPr>
          <w:rFonts w:ascii="Times New Roman" w:hAnsi="Times New Roman"/>
          <w:sz w:val="20"/>
        </w:rPr>
      </w:pPr>
      <w:r>
        <w:rPr>
          <w:rFonts w:ascii="Times New Roman" w:hAnsi="Times New Roman"/>
          <w:sz w:val="20"/>
        </w:rPr>
        <w:t xml:space="preserve">We largely depend on cash generated from our existing operations to support our growth. If we were unable to generate sufficient cash from our existing operations, changes in the credit and capital markets, including market disruptions, limited liquidity and interest rate fluctuations, may increase the cost of financing or restrict the company’s access to this potential source of future liquidity. In addition, a decrease in the ratings that rating agencies assign to our short and long-term debt may also negatively impact our access to the debt capital markets and increase our cost of borrowing. As a result of occasional instability in the global financial markets, our liquidity may be affected, or our capital resources may not be sufficient to satisfy our liquidity needs. Although we believe that our existing cash and cash equivalents, cash provided by operations and available borrowings under our existing credit facilities will be adequate to satisfy our capital needs for the next 12 months, any renewed tightening of the credit markets could make it more difficult for us to access funds, enter into an agreement for new indebtedness or obtain funding through the issuance of our securities. Our credit facilities also have financial covenants which, if not met, may further impede our ability to access funds under such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terms of our credit facilities may restrict our current and future operations, which could adversely affect our ability to respond to changes in our business and to manage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our credit facility agreements are directly between our wholly owned subsidiaries and the relevant banking institutions. Our term loan and asset-based revolving credit facility, and any additional debt financing we may incur would likely contain, covenants requiring us to maintain or adhere to certain covenants that restrict our operations, which include limitations on our ability to, among other things: incur additional indebtedness; create liens on property; engage in mergers, consolidations and other fundamental changes; dispose of assets; make investments, loans or advances; make certain acquisitions; engage in certain transactions with affiliates; declare or pay dividends on, or repurchase, our stock; and change our lines of business or fiscal year. Our term loan facility includes a financial maintenance covenant based on leverage, and our asset-based revolving credit facility includes a springing financial maintenance covenant based on a fixed charge coverage ratio that becomes applicable in certain circumstances. Additionally, the ability of our subsidiaries to pay upstream dividends and make other distributions to us is subject to certain covenants and limitations pursuant to our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Complying with these covenants could adversely affect our ability to respond to changes in our business, manage our operations, invest capital in new businesses and fund capital expenditures. Our ability to comply with these covenants may be affected by changes in our operating and financial performance, changes in general business and economic conditions, adverse regulatory developments or other events beyond our control. A failure to comply could result in an event of default, upon which lenders could elect to declare all amounts outstanding to be due and payable. If we are in default, we may be unable to borrow additional amounts under our facilities and our ability to obtain future financing may be negatively impacted. If our indebtedness were to be accelerated, it would have a material adverse effect on our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own sensitive and proprietary business information, we handle transactional and personal information about our employees, customers, consumers and users of our e-commerce websites. We also process data for a variety of marketing and advertising purposes, including email communications, affiliate partnerships, social media interactions, influencer partnerships, digital marketing, direct mailers and public relations initiatives, and, because of our data collection and processing activities, we are subject to various laws, regulations and industry standards. Increasingly complex and rigorous, and sometimes conflicting laws, regulatory standards, industry standards, external and internal privacy and security policies, contracts and other obligations govern the collection, use, retention, sharing and security of personal data, particularly in the context of digital marketing, which we rely upon to attract new customers. For example, the California Consumer Privacy Act of 2018 and similar state privacy laws impose obligations on companies to disclose to consumers information about how their personal data is collected, used, shared and stored and to provide certain individual privacy rights to persons, such as the right to request correction or deletion of personal data and the right to opt-out of certain sales or disclosures of personal data. </w:t>
      </w:r>
    </w:p>
    <w:p>
      <w:pPr>
        <w:pStyle w:val="TextBody"/>
        <w:bidi w:val="0"/>
        <w:spacing w:before="240" w:after="0"/>
        <w:jc w:val="left"/>
        <w:rPr>
          <w:rFonts w:ascii="Times New Roman" w:hAnsi="Times New Roman"/>
          <w:sz w:val="20"/>
        </w:rPr>
      </w:pPr>
      <w:r>
        <w:rPr>
          <w:rFonts w:ascii="Times New Roman" w:hAnsi="Times New Roman"/>
          <w:sz w:val="20"/>
        </w:rPr>
        <w:t xml:space="preserve">Laws, regulations and industry standards relating to privacy, data protection, marketing and advertising and consumer protection continue to evolve as various federal and state legislative and regulatory bodies, or self-regulatory organizations, expand current laws or regulations, enact new laws or regulations or issue revised rules or guidance regarding privacy, data protection, consumer protection and advertising. These requirements may be interpreted and applied in a manner that is inconsistent from one jurisdiction to another or may conflict with other rules or our practices. Such evolving legislation may add additional complexity, variation in requirements, restrictions and potential legal risk, require additional investment in resources for compliance programs, and impact strategies and availability of previously useful data and could result in increased compliance costs and/or changes in business practices and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practices may not have complied with or may not comply in the future with all such laws, regulations, standards, requirements and obligations. Any failure, or perceived failure, by us to comply with any federal or state privacy or consumer protection-related laws, regulations, industry self-regulatory principles, industry standards or codes of conduct, regulatory guidance, orders to which we may be subject, contracts by which we are bound, or other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Any such claims, proceedings or actions may also hurt our reputation, brand and business, force us to incur significant expenses in defense of such proceedings or actions, distract our management, increase our costs of doing business, result in a loss of customers, suppliers or vendors or result in the imposition of monetary penalties.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 we may publish privacy policies, marketing materials, and other statements, such as statements regarding compliance with certain certifications or self-regulatory principles, regarding data privacy and security. If these policies, materials or statements are found to be deficient, lacking in transparency, deceptive, unfair or misrepresentative of our practices, then we may be subject to investigation, enforcement actions by regulators or other adverse consequences. For example, our compliance with our privacy policies and our general consumer data privacy and security practices may be subject to review by the Federal Trade Commission or the Attorney General of the states in which we operate, which may bring enforcement actions to challenge allegedly unfair and deceptive trade practices, including the violation of privacy policies and representations or material omissions therein. Negative publicity we might receive regarding any actual or perceived violations of consumer privacy rights, including fines and enforcement actions against us or other similarly placed businesses, may also impair consumers’ trust in our privacy practices and make them reluctant to give their consent to share their data with us. </w:t>
      </w:r>
    </w:p>
    <w:p>
      <w:pPr>
        <w:pStyle w:val="TextBody"/>
        <w:bidi w:val="0"/>
        <w:spacing w:before="240" w:after="0"/>
        <w:jc w:val="left"/>
        <w:rPr>
          <w:rFonts w:ascii="Times New Roman" w:hAnsi="Times New Roman"/>
          <w:sz w:val="20"/>
        </w:rPr>
      </w:pPr>
      <w:r>
        <w:rPr>
          <w:rFonts w:ascii="Times New Roman" w:hAnsi="Times New Roman"/>
          <w:sz w:val="20"/>
        </w:rPr>
        <w:t xml:space="preserve">Federal and state governmental authorities continue to evaluate the privacy implications of third-party cookies and other online tracking methods used for behavioral advertising. Our use of such technologies subjects us to potential claims under the California Invasion of Privacy Act and similar laws, as well as risks from evolving legislation and browser-level restrictions that could limit the effectiveness of our digital marketing practices. If the use of these technologies is significantly restricted or our ability to employ them is impaired, our costs of operations could increase and our ability to acquire new customers on cost-effective terms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derive a significant portion of our operating income from our private label and co-brand credit card programs, and changes in consumer behavior, credit performance, or regulatory developments could materially reduce this revenue. </w:t>
      </w:r>
    </w:p>
    <w:p>
      <w:pPr>
        <w:pStyle w:val="TextBody"/>
        <w:bidi w:val="0"/>
        <w:spacing w:before="120" w:after="0"/>
        <w:jc w:val="left"/>
        <w:rPr>
          <w:rFonts w:ascii="Times New Roman" w:hAnsi="Times New Roman"/>
          <w:sz w:val="20"/>
        </w:rPr>
      </w:pPr>
      <w:r>
        <w:rPr>
          <w:rFonts w:ascii="Times New Roman" w:hAnsi="Times New Roman"/>
          <w:sz w:val="20"/>
        </w:rPr>
        <w:t xml:space="preserve">Our credit card operations facilitate sales and generate significant revenue from fees related to extending credit. Through both our primary private label credit card program and our “second look” co-branded credit card program, we receive royalty payments and other revenue sharing based primarily on net sales. The amount of revenue we earn is directly affected by customer purchase volume, revolving balances, credit quality, fee structures (including late fees), and applicable regulatory requirements. Regulatory developments, such as legislative actions by Consumer Financial Protection Bureau (CFPB), may materially reduce fee income and alter the economics of our agreement with our credit card partner. If certain fee limits are reduced or other regulatory changes occur, our royalty rates, marketing funds, and other revenue components may be reduced or restructured. In addition, declines in consumer spending, higher charge-offs, reduced approval rates, tighter credit standards, or operational changes by our bank partner could adversely impact net sales under the program. Any material reduction in credit card program revenue could have a material adverse effect on our financial condition, results of operations, and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payment-related risks, including in our credit card operations. </w:t>
      </w:r>
    </w:p>
    <w:p>
      <w:pPr>
        <w:pStyle w:val="TextBody"/>
        <w:bidi w:val="0"/>
        <w:spacing w:before="120" w:after="0"/>
        <w:jc w:val="left"/>
        <w:rPr>
          <w:rFonts w:ascii="Times New Roman" w:hAnsi="Times New Roman"/>
          <w:sz w:val="20"/>
        </w:rPr>
      </w:pPr>
      <w:r>
        <w:rPr>
          <w:rFonts w:ascii="Times New Roman" w:hAnsi="Times New Roman"/>
          <w:sz w:val="20"/>
        </w:rPr>
        <w:t>We accept payments using a variety of methods, including our private label credit cards, co-branded credit cards, credit and debit cards, gift cards, mobile payments and online payments. Acceptance of these payment options subjects us to rules, regulations, contractual obligations and compliance requirements, including payment network rules and operating guidelines and rules governing electronic funds transfers. These requirements may change over time or be reinterpreted, making compliance more difficult, costly, or uncertain.</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Payment Card Industry Data Security Standard (“PCI-DSS”), which is a multifaceted security standard that is designed to protect credit card account data as mandated by payment card industry entities. The PCI-DSS requires companies to adopt certain measures to ensure the security of cardholder information, and noncompliance with PCI-DSS can result in penalties ranging from $5,000 to $100,000 per month by credit card companies, litigation, damage to our reputation and revenue losses. We use vendors to help us with PCI-DSS compliance. Despite our compliance efforts, we may become subject to claims that we have violated PCI-DSS, based on past, present, and future business practices, which could have an adverse impact on our business and reputation. </w:t>
      </w:r>
    </w:p>
    <w:p>
      <w:pPr>
        <w:pStyle w:val="TextBody"/>
        <w:bidi w:val="0"/>
        <w:spacing w:before="240" w:after="0"/>
        <w:jc w:val="left"/>
        <w:rPr>
          <w:rFonts w:ascii="Times New Roman" w:hAnsi="Times New Roman"/>
          <w:sz w:val="20"/>
        </w:rPr>
      </w:pPr>
      <w:r>
        <w:rPr>
          <w:rFonts w:ascii="Times New Roman" w:hAnsi="Times New Roman"/>
          <w:sz w:val="20"/>
        </w:rPr>
        <w:t>The payment and payment process methods that we accept subject us to potential fraud and theft by threat actors, which could negatively impact our revenue and profitability. If we fail to comply with applicable rules or requirements for the payment methods we accept, or if payment-related data is compromised due to a breach or misuse of data, we may be liable for costs incurred by third parties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adversely affecting our business and operating results.</w:t>
      </w:r>
    </w:p>
    <w:p>
      <w:pPr>
        <w:pStyle w:val="TextBody"/>
        <w:bidi w:val="0"/>
        <w:spacing w:before="240" w:after="0"/>
        <w:jc w:val="left"/>
        <w:rPr>
          <w:rFonts w:ascii="Times New Roman" w:hAnsi="Times New Roman"/>
          <w:sz w:val="20"/>
        </w:rPr>
      </w:pPr>
      <w:r>
        <w:rPr>
          <w:rFonts w:ascii="Times New Roman" w:hAnsi="Times New Roman"/>
          <w:sz w:val="20"/>
        </w:rPr>
        <w:t xml:space="preserve">Changes in credit card use and applications, payment patterns, credit fraud, and default rates may also result from a variety of economic, legal, social, and other factors that we cannot control or predict with certainty. Changes that adversely impact our ability to extend credit and collect payments or our customers’ ability to use credit products could negatively affect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Reliance on promotions and markdowns to encourage customer purchases could adversely affect our gross margins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is dominated by large brands and national/mass retailers, where price competition, promotion and branded product assortment drive differentiation between competitors in the industry. To be competitive, we must offer customers compelling products at attractive prices, including through promotions and markdowns. Increased reliance on promotions and markdowns to encourage customers to purchase our merchandise could have a negative impact on our gross margins, results of operations and brand image.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relies heavily on email and other messaging services, and any restrictions on the sending of emails or messages or an inability to timely deliver such communications could have a material adverse effect on our net revenue and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highly dependent upon email and other messaging services for promoting our sites and products. Daily promotions offered through emails and other messages sent by us generate a significant portion of our revenue. We provide daily emails and periodic “push” communications to customers and other prospects informing them of what is available for purchase on our sites, and we believe these messages are an important part of our customer experience and help generate a substantial portion of our net revenue. If we are unable to successfully deliver emails or other messages to our subscribers, or if subscribers decline to open our emails or other messages, or otherwise “opt-out” of receiving emails from us, our net revenue and profitability would be materially adversely affected. Changes in how webmail applications organize and prioritize email may result in our emails being delivered in a less prominent location in a subscriber’s inbox or viewed as “spam” by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subscribers and may reduce the likelihood of that subscriber opening our emails. Actions by third parties to block, impose restrictions on or charge for the delivery of emails or other messages could also adversely impact our business. From time to time, internet service providers or other regulations that limit our ability to send such communications or impose additional requirements upon us in connection with sending such communications would also adversely impact our business. Our use of email and other messaging services to send communications about our sites or other matters may also result in legal claims against us, which may cause us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that increase costs, limit promotional communications, limit our ability or our customers’ ability to send communications through their services, or disruptions or downtime experienced by these social networking services or decline in the use of or engagement with social networking services by customers and potential customers, could materially adversely affect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merchandise returns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allow our customers to return products, subject to our return policy. If merchandise returns are significant, or significantly more than we estimate, our business, prospects, financial condition and results of operations could be harmed. Further, we modify our policies relating to returns from time to time, which may result in customer dissatisfaction or an increase in the number of product returns. From time to time, our products are damaged in transit, or we may experience undetected production issues that result in products that do not meet our expected quality, which can increase return rates and harm our brand.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and increased competition in the apparel industry or decreasing demand for plus-size products may adversely affect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compete with numerous direct-to-consumer companies and retailers, including national department store chains, men’s and women’s specialty apparel chains, outdoor specialty stores, apparel catalog businesses, sportswear marketers and online apparel businesses that sell similar lines of merchandise, for customers, vendors and personnel. Decreased demand for plus-sized clothing compared to an unchanged or increased number of competitors could lead to increased competition. Our competitors may be able to adopt more aggressive pricing and promotional policies, adapt to changes in customer tastes or requirements more quickly, devote greater resources to the design, sourcing, distribution, marketing and sale of their products or generate greater national brand recognition than us. In addition, our competitors may seek to emulate facets of our business strategy, which could result in a reduction of any competitive advantage or special appeal that we might possess. An inability to overcome these potential competitive disadvantages or effectively market our products relative to our competitors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From time to time, we may acquire new companies, enter strategic partnerships, expand our existing brand portfolio or launch new brands or collections, and our failure to successfully perform these activities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growth strategy, we may pursue acquisitions or enter strategic partnerships that are consistent with our mission and enable us to leverage our competitive strengths. We have made strategic acquisitions in the past and may in the future consider strategic transactions and business arrangements, including acquisitions, asset purchases, strategic partnerships, joint ventures, restructurings, divestitures and investments. Acquiring and integrating new businesses involves additional risks that could adversely affect our growth and results of operations, including difficulties assimilating acquired operations, personnel, financial systems and general operating procedures, diversion of our capital and management’s attention from other business issues and opportunities, and the need to make accurate assumptions regarding valuation, operations and growth potential. Newly acquired businesses may be unprofitable, and we may incur significant costs and expenses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any acquisition, including in remerchandising and rebranding. Our ability to integrate newly acquired products or other acquired assets will depend on the successful expansion of our existing financial controls, distribution models, information systems, management and human resources and on attracting, training and retaining qualified employees. Any such transaction may require us to incur non-recurring or other charges, may increase our near and long-term expenditure and may pose significant integration challenges or disrupt our management or business, which could harm our operations and financial results. In addition, we may finance any future acquisition with equity or debt financing. Equity financing could result in dilution of stockholders, and any additional leverage that may be incurred with respect to any future acquisitions could adversely affect our profitability and limit our ability to capitalize on future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launch new collections or expand our existing brand portfolio, both of which may require significant upfront investments, including investments in marketing, information technology and additional personnel. We may not be able to generate satisfactory revenue from these efforts to offset these upfront costs. Any lack of market acceptance of our efforts to launch new collections or expand our existing brand portfolio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Laws and regulations at the local, state, federal and international levels frequently change, and the ultimate cost of compliance cannot be precisely estimated. In addition, we cannot predict the impact that may result from regulatory or administrative changes. Changes in regulations, the imposition of additional regulations, or the enactment of any new or more stringent legislation that impacts employment and labor, advertising, data privacy, labeling, trade, product safety, transportation and logistics, tax, accounting, operations, or environmental issues, among others, could have an adverse impact on our results of operations, financial position and cash flows. Additionally, from time to time, we are involved in litigation incidental to our business. Our current exposure could change in the event of the discovery of damaging facts with respect to legal matters pending against us or determinations by judges, juries or other finders of fact that are not in accordance with management’s evaluation of the claims. Should management’s evaluation prove incorrect, our exposure could greatly exceed expectations and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In addition, laws and regulations governing the use of digital marketing channels are rapidly evolving. It may become more difficult for us to comply with such laws, and future data privacy laws and regulations or industry standards, as well as related enforcement, may restrict or limit our ability to use some or all the marketing strategies on which we currently rely. The failure by us, our employees or third parties acting at our direction to abide by applicable laws and regulations in the use of these digital marketing channels could adversely impact our reputation or subject us to fines or other penalties. See “—</w:t>
      </w:r>
      <w:r>
        <w:rPr>
          <w:rFonts w:ascii="Times New Roman" w:hAnsi="Times New Roman"/>
          <w:i/>
          <w:sz w:val="20"/>
        </w:rPr>
        <w:t>Failure to comply with federal and state laws and regulations and industry standards relating to privacy, data protection, advertising and consumer protection, or</w:t>
      </w:r>
      <w:r>
        <w:rPr>
          <w:rFonts w:ascii="Times New Roman" w:hAnsi="Times New Roman"/>
          <w:sz w:val="20"/>
        </w:rPr>
        <w:t xml:space="preserve"> </w:t>
      </w:r>
      <w:r>
        <w:rPr>
          <w:rFonts w:ascii="Times New Roman" w:hAnsi="Times New Roman"/>
          <w:i/>
          <w:sz w:val="20"/>
        </w:rPr>
        <w:t>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cannot be sure that our agents’, suppliers’ and other partners’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proceedings or actions could force us to spend significant amounts in defense of these proceedings, distract our management, increase our costs of doing business, decrease the use of our sites by customers and vendors and may result in the imposition of monetary liability. We may also be contractually liable to indemnify and hold harmless third parties from the costs or consequences of non-compliance with any such laws or regulations. Adverse legal or regulatory developments could substantially harm our business. In particular, if we are restricted, in whole or in part, from operating in one or more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retain or increase our customer base may be adversely affected, and we may not be able to maintain or grow our net revenue and expand our business as anticipated.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part of the combined public company following the merger, we may become subject to evolving disclosure and compliance obligations related to environmental, social, and governance matters, including proposed federal and state requirements regarding climate-related financial risk and greenhouse gas emissions disclosures. Many of these requirements remain subject to ongoing legal challenges and implementation uncertainty, and compliance could require the development of new data collection processes, internal controls, and reporting capabilities that we have not previously maintained as a private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risks associated with global sourcing and 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source substantially all our products from a network of vendors primarily in Asia and Africa, both directly and through the utilization of agents in select countries. We may also source products indirectly through domestic vendors with foreign sources. Our inability to effectively source inventory directly could negatively impact our ability to deliver our inventory supply and could disrupt our business, which may adversely affect our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We are at risk for increases in vendor costs and cannot be certain that we will not experience operational difficulties with these third-party vendors, such as reductions in the availability of production capacity, decline in plus-size clothing expertise, errors in complying with merchandise specifications, insufficient quality control and failure to meet production deadlines. The inability of a vendor to ship orders in a timely manner or to meet our safety, quality and social compliance standards could have a material adverse impact on our business,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face a variety of risks generally associated with doing business in foreign markets and importing merchandise from abroad (see also “— </w:t>
      </w:r>
      <w:r>
        <w:rPr>
          <w:rFonts w:ascii="Times New Roman" w:hAnsi="Times New Roman"/>
          <w:i/>
          <w:sz w:val="20"/>
        </w:rPr>
        <w:t>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political or labor instability in any of the countries in which our merchandise is manufactured or the channels through which it passes;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value of the U.S. dollar against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our manufacturers to comply with local laws, including labor laws, health and safety laws or labor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security and regulatory requirements applicable to imported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natural disasters, industrial accidents and public health concerns on our foreign sourcing offices and vendor manufacturing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and disruptions in shipping due to port security considerations, labor disputes, political instability or access restrictions to shipping routes such as the Suez Canal;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under the United States Foreign Corrupt Practices Act of 1977, as amended, and similar laws, economic sanctions laws, regulations and regimes (including those administered by the Office of Foreign Assets Control of the United States Department of the Treasury), restrictions related to forced labor and human rights concerns, and other international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and delays of transportation.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ship most of our products from vendors to our domestic distribution centers by ocean. If a disruption occurs in the operation of ports through which our products transit, including disruptions caused by geopolitical instability affecting shipping routes, we and our vendors may have to ship some or all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from Asia or other regions by air freight or to alternative shipping destinations in the United States or Canada. Shipping by air is significantly more expensive than shipping by ocean and our profitability could be reduced. Similarly, shipping to alternative destinations in the United States or neighboring countries could lead to increased lead times and costs for our products. A disruption at ports (domestic or abroad) through which our products are imported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require our independent manufacturers to operate in compliance with applicable laws and our internal requirements, and we work with a third-party audit vendor to confirm a responsible and ethical supply chain. Our vendor code of conduct, guidelines for vendors or other vendor compliance programs promote ethical business practices and we monitor compliance with them; however, we do not control these manufacturers, their labor practices, the health and safety conditions of their facilities or from where they buy their raw materials. Any violation of labor, health, environmental, safety or other laws, including issues relating to human rights abuses, forced labor, or workplace safety violations, by any of the independent manufacturers we use could damage our reputation and could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Unseasonal or severe weather conditions may adversely affect our merchandise sales.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may be adversely affected by unseasonal weather conditions. Sales of certain seasonal apparel items, are dependent in part on the weather and may decline in years in which weather conditions do not favor the use of these products. Sales of our spring and summer products, which traditionally consist of lighter clothing, swimwear, and the like, may be adversely affected by cool or wet weather. Similarly, sales of our fall and winter products, which include sweaters, flannel, outerwear, and the like, may be adversely affected by mild, dry or warm weather. </w:t>
      </w:r>
    </w:p>
    <w:p>
      <w:pPr>
        <w:pStyle w:val="TextBody"/>
        <w:bidi w:val="0"/>
        <w:spacing w:before="240" w:after="0"/>
        <w:jc w:val="left"/>
        <w:rPr>
          <w:rFonts w:ascii="Times New Roman" w:hAnsi="Times New Roman"/>
          <w:sz w:val="20"/>
        </w:rPr>
      </w:pPr>
      <w:r>
        <w:rPr>
          <w:rFonts w:ascii="Times New Roman" w:hAnsi="Times New Roman"/>
          <w:sz w:val="20"/>
        </w:rPr>
        <w:t xml:space="preserve">The effects of climate change may result in an increase in the frequency, severity, and duration of extreme weather conditions and natural disasters, as well as shifts in traditional seasonal weather patterns. Severe weather events may impact our ability to deliver orders to customers on schedule and staff our distribution and customer care centers, which could have an adverse effect on our business and results of operations. In addition, because we purchase inventory based in part on anticipated weather patterns, unanticipated weather or unseasonably severe weather may result in excess inventory or lost sales, either of which would have an adverse impact on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protect our trademarks and other intellectual property rights, and third parties may claim that we infringe on their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trademarks and service marks are important to our success and competitive position due to their name recognition with our customers. We devote substantial resources to the establishment and protection of our trademarks and service marks on a worldwide basis, including in certain of the countries in which we have business operations or plan to have business operations. While we have registered our primary trademarks in our core product categories in the United States, because we have not registered all our trademarks in all categories, or in all foreign countries in which we may fulfill orders through third-party vendors for our merchandise, our international expansion and product merchandising using these marks could be limited.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trademark protection, we protect our assets through a combination of copyrights, trade secrets, patents and other intellectual property rights. Nevertheless, the actions we have taken, including establishing and protecting our trademarks and service marks, may not be adequate to prevent others from imitating our products or to prevent others from seeking to block sales of our products if we were to expand into other markets. Also, others may assert proprietary rights in our intellectual property, and we may not be able to successfully resolve these types of conflicts to our satisfaction. In addition, the laws of certain foreign countries may not protect our proprietary rights to the same extent as do the laws of the United States and laws and enforcement mechanisms to protect our intellectual property from unauthorized usage in new technologies, like AI, are evolving and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inadequate. See “—</w:t>
      </w:r>
      <w:r>
        <w:rPr>
          <w:rFonts w:ascii="Times New Roman" w:hAnsi="Times New Roman"/>
          <w:i/>
          <w:sz w:val="20"/>
        </w:rPr>
        <w:t>Our use and planned expansion of AI 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litigation regarding our trademarks could be time-consuming and costly and we cannot assure that our rights in, or ownership of, our trademarks or other intellectual property rights would be upheld if challenged. The loss of exclusive use of our trademarks and other intellectual property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costly litigation in the event third parties claim our products or services infringe upon their proprietary rights. Third parties may have, or may in the future obtain, patents, including design patents, that our products, brands or technology may infringe. Any of these third parties could make a claim of infringement against us, and we may also be subject to claims by third parties that we have breached their copyright, trademark or license usage rights. We also face the risk of infringing third-party intellectual property rights from the use of outputs generated using AI which may contain or be substantially similar to third-party material protected by intellectual property, including patents, copyrights or trademarks. </w:t>
      </w:r>
    </w:p>
    <w:p>
      <w:pPr>
        <w:pStyle w:val="TextBody"/>
        <w:bidi w:val="0"/>
        <w:spacing w:before="240" w:after="0"/>
        <w:jc w:val="left"/>
        <w:rPr>
          <w:rFonts w:ascii="Times New Roman" w:hAnsi="Times New Roman"/>
          <w:sz w:val="20"/>
        </w:rPr>
      </w:pPr>
      <w:r>
        <w:rPr>
          <w:rFonts w:ascii="Times New Roman" w:hAnsi="Times New Roman"/>
          <w:sz w:val="20"/>
        </w:rPr>
        <w:t xml:space="preserve">Litigation could result in substantial expense to us and significant diversion of efforts by our technical and management personnel. An adverse determination in any such proceeding could subject us to significant liabilities to third parties, could prevent us from using our trademarks or other intellectual property rights or could require us to seek licenses from third parties and such licenses may be costly and may not be available on acceptable terms or at all. Adverse determinations in a judicial or administrative proceeding or failure to obtain necessary licenses could prevent us from commercializing our products, which would have a material adverse effect on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Matters relating to unionized employees and multiemployer plan obligations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Some of our employees are represented by a union. Participation in labor unions could put us at increased risk of labor strikes and disruption of our operations. Responding to unionization attempts may distract management and our workforce. If a significant number of our employees were to become unionized and collective bargaining agreement terms were significantly different from our current compensation arrangements, it could significantly increase our costs. Any of these changes could adversely affect our business, financial condition,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our collective bargaining agreements require us to make periodic contributions on behalf of our unionized employees to defined benefit multiemployer pension plans. These plans have been determined to be in “critical status,” and we could be subject to withdrawal liability in the event of a withdrawal from such plans, which would be payable over an extended period and could adversely impact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Labor shortages or increases in labor costs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Any labor shortage, particularly those of which occur in our distribution center during peak-selling periods, may negatively impact our ability to process inventory in a timely manner. Additionally, because of the tight labor market, our hourly rates have increased to attract candidates. If we are unable to pass on these higher costs through price increases or reduced workforce hours, our margins and profitability may be adversely impacted, which could have a material adverse effect on our results of operations, financial position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growth may place significant strains on our resources. </w:t>
      </w:r>
    </w:p>
    <w:p>
      <w:pPr>
        <w:pStyle w:val="TextBody"/>
        <w:bidi w:val="0"/>
        <w:spacing w:before="120" w:after="0"/>
        <w:jc w:val="left"/>
        <w:rPr>
          <w:rFonts w:ascii="Times New Roman" w:hAnsi="Times New Roman"/>
          <w:sz w:val="20"/>
        </w:rPr>
      </w:pPr>
      <w:r>
        <w:rPr>
          <w:rFonts w:ascii="Times New Roman" w:hAnsi="Times New Roman"/>
          <w:sz w:val="20"/>
        </w:rPr>
        <w:t xml:space="preserve">Our growth may place a significant strain on our managerial, operational and financial resources. Moving forward, our systems, procedures or controls may not be adequate to support our operations, and we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unable to achieve the rapid execution necessary to successfully implement our business plan. Our future operating results, if any, will also depend on our ability to add additional personnel commensurate with the growth of our operations, if any. If we are unable to manage growth effectively, our business, results of operations and financial condition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product liability claims or negative publicity if we need to recall any product we sell or if we fail to comply with applicable product safety laws. </w:t>
      </w:r>
    </w:p>
    <w:p>
      <w:pPr>
        <w:pStyle w:val="TextBody"/>
        <w:bidi w:val="0"/>
        <w:spacing w:before="120" w:after="0"/>
        <w:jc w:val="left"/>
        <w:rPr>
          <w:rFonts w:ascii="Times New Roman" w:hAnsi="Times New Roman"/>
          <w:sz w:val="20"/>
        </w:rPr>
      </w:pPr>
      <w:r>
        <w:rPr>
          <w:rFonts w:ascii="Times New Roman" w:hAnsi="Times New Roman"/>
          <w:sz w:val="20"/>
        </w:rPr>
        <w:t xml:space="preserve">The products we sell are regulated by many different governmental bodies, including but not limited to the Consumer Product Safety Commission and the Food and Drug Administration in the United States, and similar state laws (including California’s Proposition 65) and international regulatory authorities. Although we test the products sold on our websites, selected products still could present safety problems of which we are not aware. This could lead us to recall selected products, either voluntarily or at the direction of a governmental authority and may lead to a lack of consumer acceptance or loss of consumer trust. Product safety concerns, recalls, defects or errors could result in the rejection of our products by customers, damage to our reputation, lost sales, product liability litigation and increased costs, any or all of which could harm our business and have a material adverse effect on our financial position,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Some of the products we sell or manufacture may expose us to product liability claims relating to personal injury, death, or environmental or property damage. Certain third parties also sell products using our platform that may increase our exposure to product liability claims, such as if these sellers do not have sufficient protection from such claims. Although we maintain liability insurance, our coverage may not be adequate for liabilities actually incurred or insurance may not continue to be available to us on economically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taxation risks, including income tax liabilities and state and local tax obligations, which could adversely affect our business. We are subject to income taxes in the United States (federal and state). Tax laws, regulations and administrative practices in various jurisdictions may be subject to significant change due to economic, political and other conditions, and significant judgment is required in evaluating and estimating our provision and accruals for these taxes. Our effective tax rates could be adversely affected by a tax authority challenging a position taken by the company, earnings being lower than anticipated in jurisdictions where we have lower statutory rates and higher than anticipated in jurisdictions where we have higher statutory rates, losses incurred in jurisdictions for which we are not able to realize the related tax benefit, entry into new businesses and geographies and changes to our existing businesses, acquisitions (including integrations) and investments, changes in our deferred tax assets and liabilities and their valuation, and changes in the relevant tax, accounting, and other laws, regulations, administrative practices, principles, and interpretations. We are also subject to audit in various jurisdictions, and such jurisdictions may assess additional income tax liabilities against us.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our tax estimates are reasonable, the outcome of any tax audits, investigations, and related litigation could be materially different from our historical income tax provisions and accruals. </w:t>
      </w:r>
    </w:p>
    <w:p>
      <w:pPr>
        <w:pStyle w:val="TextBody"/>
        <w:bidi w:val="0"/>
        <w:spacing w:before="240" w:after="0"/>
        <w:jc w:val="left"/>
        <w:rPr>
          <w:rFonts w:ascii="Times New Roman" w:hAnsi="Times New Roman"/>
          <w:sz w:val="20"/>
        </w:rPr>
      </w:pPr>
      <w:r>
        <w:rPr>
          <w:rFonts w:ascii="Times New Roman" w:hAnsi="Times New Roman"/>
          <w:sz w:val="20"/>
        </w:rPr>
        <w:t xml:space="preserve">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One or more states or municipalities could assert that the Company is liable for sales and use, commerce, or similar type of taxes, which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ship product to retail customers throughout the United States. In </w:t>
      </w:r>
      <w:r>
        <w:rPr>
          <w:rFonts w:ascii="Times New Roman" w:hAnsi="Times New Roman"/>
          <w:i/>
          <w:sz w:val="20"/>
        </w:rPr>
        <w:t>South Dakota v. Wayfair, Inc. et al</w:t>
      </w:r>
      <w:r>
        <w:rPr>
          <w:rFonts w:ascii="Times New Roman" w:hAnsi="Times New Roman"/>
          <w:sz w:val="20"/>
        </w:rPr>
        <w:t xml:space="preserve"> (“Wayfair”), the U.S. Supreme Court ruled that states may charge tax on purchases made from out-of-state sellers, even if the seller does not have a physical presence in the taxing state. The effect of Wayfair was to uphold economic nexus principles in determining sales and use tax nexus. As a result of the decision, most states have adopted laws that require an out-of-state retailer to register and collect sales and use or other non-income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type taxes upon meeting certain economic nexus standards regardless of whether the company has physical presence in the state. Although we believe we are complying with the applicable legislative requirements and collecting taxes where obligated to do so, our interpretation and application of the legislation may differ from the states, which could result in the states’ attempt to impose additional tax liabilities, including potential penalties and interest. Furthermore, the requirements by state or local governments on out-of-state sellers to collect sales and use taxes could deter future sales, which could have an adverse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costs and the outcome of litigation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litigation claims through the ordinary course of our business operations regarding, but not limited to, employment matters, compliance with the Americans with Disabilities Act of 1990, footwear, apparel and accessory safety standards, product liability claims, security of customer and employee personal information, advertising and promotional practices, contractual relations with vendors, marketing and infringement of trademarks and other intellectual property rights. Litigation to defend ourselves against claims by third parties, or to enforce any rights that we may have against third parties, may be necessary, which could result in substantial costs and diversion of our resources, causing a material adverse effect on our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intangible assets become impaired, we may be required to record a significant charge to earnings.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intangible assets. Our intangible asset balances as of January 3, 2026, was approximately $131.1 million. We test indefinite-lived intangible assets for impairment at least annually or more frequently if indicators of impairment exist. Such assets are considered to be impaired when the net book value of an intangible asset exceeds its estimated fair value. An impairment of a significant portion of our intangible assets could materially adversely affect our financial condition and results of operations. </w:t>
      </w:r>
    </w:p>
    <w:p>
      <w:pPr>
        <w:pStyle w:val="TextBody"/>
        <w:bidi w:val="0"/>
        <w:spacing w:before="480" w:after="0"/>
        <w:jc w:val="center"/>
        <w:rPr>
          <w:rFonts w:ascii="Times New Roman" w:hAnsi="Times New Roman"/>
          <w:b/>
          <w:sz w:val="20"/>
        </w:rPr>
      </w:pPr>
      <w:bookmarkStart w:id="12" w:name="tx76201_10"/>
      <w:bookmarkEnd w:id="12"/>
      <w:r>
        <w:rPr>
          <w:rFonts w:ascii="Times New Roman" w:hAnsi="Times New Roman"/>
          <w:b/>
          <w:sz w:val="20"/>
        </w:rPr>
        <w:t xml:space="preserve">Risks Related to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risks relate to the combined company and would apply only if the merger is consummated. There can be no assurance that the merger will be consummated.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would have a substantial amount of indebtedness following the merger, which could materially adversely affect its financial condition and ability to comply with its covenants.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 would be expected to have a significant amount of indebtedness, including obligations under the A&amp;R Term Loan Facility (defined below) and the Combined ABL Facility (defined below). The combined company’s level of indebtedness could have material consequences, including requiring a substantial portion of its cash flow from operations to be dedicated to the payment of principal and interest thereon, increasing its vulnerability to adverse economic and industry conditions, limiting its flexibility in planning for or reacting to changes in its business or competitive environment, limiting its ability to obtain additional financing for working capital, capital expenditures, acquisitions or other corporate purposes, and placing it at a competitive disadvantage relative to competitors with less indebtedness. If the combined company’s cash flow declines, it may be required to reduce capital expenditure, delay growth initiatives, or seek additional capital on less favorable terms. </w:t>
      </w:r>
    </w:p>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and the Combined ABL Facility would contain financial and other restrictive covenants that limit our ability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or issue certain preferred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dividends, distributions or other restricted payments;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investments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mergers or other fundamental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certain transactions with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or repurchase certain subordinated or junior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would include a financial maintenance covenant requiring compliance with a maximum total net leverage ratio. The Combined ABL Facility is expected to include a springing minimum fixed charge coverage ratio that becomes operative when borrowing availability falls below a specified threshold.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ability to comply with these covenants may be affected by events beyond its control, including prevailing economic, financial and industry conditions. If the combined company fails to comply with these covenants and is unable to obtain waivers or amendments from its lenders, an event of default could occur, which could result in the acceleration of indebtedness and the enforcement of remedies against collateral securing such indebtedness. In such circumstances, the combined company may not have sufficient liquidity to repay accelerated obligations and may not be able to obtain alternative financing on acceptable terms, or at all. Any of these factors could have a material adverse effect on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For more information on the A&amp;R Term Loan Facility and the Combined ABL Facility, please see the section entitled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Bank of America has expressed concerns regarding FBB’s recent business trends and the projected liquidity profile of the combined company and may not extend its commitment for the Combined ABL Facility beyond October 14, 2026, which could adversely affect the combined company’s liquidity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ABL Facility is expected to be implemented in connection with the closing of the merger, subject to the terms and conditions set forth in the Bank of America Commitment Letter (as defined below). The Combined ABL Facility has not yet been entered into, and although DXL and FBB have agreed to use reasonable best efforts to establish the Combined ABL Facility, there can be no assurance that such facility would be entered into on the anticipated terms or within the expected timeframe if the conditions set forth in the Bank of America Commitment Letter are not met.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2026, Bank of America advised DXL that it had concerns regarding FBB’s recent business trends and the projected liquidity profile of the combined company and that it was unwilling to extend its commitment beyond October 14, 2026 without changes to the transaction terms to address those concerns. Bank of America is evaluating certain proposed modifications to the contemplated financing structure, but has not determined whether such modifications will satisfy its credit committee. </w:t>
      </w:r>
    </w:p>
    <w:p>
      <w:pPr>
        <w:pStyle w:val="TextBody"/>
        <w:bidi w:val="0"/>
        <w:spacing w:before="240" w:after="0"/>
        <w:jc w:val="left"/>
        <w:rPr>
          <w:rFonts w:ascii="Times New Roman" w:hAnsi="Times New Roman"/>
          <w:sz w:val="20"/>
        </w:rPr>
      </w:pPr>
      <w:r>
        <w:rPr>
          <w:rFonts w:ascii="Times New Roman" w:hAnsi="Times New Roman"/>
          <w:sz w:val="20"/>
        </w:rPr>
        <w:t xml:space="preserve">In addition, availability under the Combined ABL Facility is expected to be subject to a borrowing base based primarily on eligible inventory and accounts receivable and may be reduced by reserves or other adjustments imposed by lenders. As a result, the amount of loans available for borrowing may fluctuate based on seasonal or other changes in working capital and lender discretion under the applicable credit documentation. If the Combined ABL Facility is not established on anticipated terms or if borrowing availability thereunder is more limited than expected, the combined company’s liquidity and financial flexibility could be adversely affected, which could have a material adverse effect on its business, financial condition and results of operations. If the Combined ABL Facility is not available on the anticipated terms, or at all, the combined company may not have access to the liquidity contemplated by the merger and could have materially reduced financial flexibility. Moreover, if the Combined ABL Facility is not available on the anticipated terms, or at all, the combined company may not have access to the liquidity contemplated by the merger and could experience materially reduced financial flexibility.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Bank of America does not extend its commitment for the Combined ABL Facility beyond October 14, 2026, DXL and FBB may be unable to obtain replacement financing on comparable terms, or at all, and the combined company may not have access to the liquidity contemplated by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Combined ABL Facility is expected to be provided pursuant to the Bank of America Commitment Letter. Under the terms of the Bank of America Commitment Letter, the commitments thereunder expire upon the earliest of (i) 11:59 p.m. (Eastern time) on the date that is one business day after the end date under the merger agreement, (ii) October 14, 2026, (iii) the closing date, (iv) termination of the merger agreement prior to the closing of the merger and (v) consummation of the merger with or without the use of the Combined ABL Facility. Bank of America has advised DXL that it is unwilling to extend its commitment beyond October 14, 2026 without changes to the transaction terms to address its concerns regarding FBB’s recent business trends and the projected liquidity profile of the combined company. There can be no assurance that Bank of America will agree to extend or renew its commitment or that any proposed modifications to the contemplated financing structure will satisfy its credit committee. </w:t>
      </w:r>
    </w:p>
    <w:p>
      <w:pPr>
        <w:pStyle w:val="TextBody"/>
        <w:bidi w:val="0"/>
        <w:spacing w:before="240" w:after="0"/>
        <w:jc w:val="left"/>
        <w:rPr>
          <w:rFonts w:ascii="Times New Roman" w:hAnsi="Times New Roman"/>
          <w:sz w:val="20"/>
        </w:rPr>
      </w:pPr>
      <w:r>
        <w:rPr>
          <w:rFonts w:ascii="Times New Roman" w:hAnsi="Times New Roman"/>
          <w:sz w:val="20"/>
        </w:rPr>
        <w:t xml:space="preserve">Any effort to extend, renew or replace the commitments under the Bank of America Commitment Letter would occur against the backdrop of FBB’s continued deterioration in operating performance and financial condition and its increased indebtedness since execution of the merger agreement. Moreover, the same factors that have caused Bank of America to express concerns regarding the transaction may make it difficult for DXL and FBB to obtain alternative financing from another lender. As a result, there can be no assurance that replacement financing would be available on terms comparable to those contemplated by the Bank of America Commitment Letter, within the required timeframe, or at all. Any such financing may provide less borrowing capacity, impose more restrictive covenants or conditions, require additional credit support, or carry materially higher fees and interest costs than the Combined ABL Facility currently contemplated.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ABL Facility is not available and replacement financing cannot be obtained, the combined company may have materially less liquidity than anticipated following the merger and could be required to operate with reduced borrowing capacity. Even if alternative financing were obtained and the merger were completed, financing on less favorable terms or with reduced borrowing availability could materially impair the combined company’s liquidity, financial flexibility and ability to fund working capital, capital expenditures, integration activities and other operational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The combined company may need to increase brand awareness, successfully grow its store portfolio, grow its digital business, maintain a state-of-the-art website, predict and respond to fashion trends, grow its existing customer base, hire qualified personnel, build successful collaborations and alliances, grow and sustain the number of transactions, units-per-transaction and share of wallet and operate at appropriate operating margins. Failure to grow its market share could have a material adverse effect on the combined company’s results of operations, cash flows, and financial position. Even if the combined company does achieve profitability, it may not be able to sustain or increase profitability on a quarterly or annual basis.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integration of FBB with DXL may present significant challenges, and the combined company may not realize anticipated synergies and other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combination of independent businesses is complex, costly and time-consuming, and combining DXL’s and FBB’s businesses and operations may divert significant management attention and resources and disrupt the combined company’s business if the merger is consummated. The failure to meet the challenges involved in integrating the businesses and to realize the anticipated benefits of the transaction could cause an interruption of, or a loss of momentum in, the combined company’s business activities and could adversely affect its results of operations. The overall combination of the DXL business and the FBB business may also result in material unanticipated problems, expenses, liabilities, competitive responses, and loss of customer and other business relationships. The risks and difficulties of integration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to integration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operations and systems, including intellectual property and communications systems, administrative and information technology infrastructure and financial reporting and internal control systems, some of which may prove to be incompatible;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conforming standards, controls, procedures and accounting and other policies, business cultures and compensation structures between the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employees and attracting and retaining key personnel, including talent;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retaining existing, and obtaining new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the expanded operations of a significantly larger and more complex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realizing contingent liabilities that are larger than expected;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adverse consequences and unforeseen increased expenses associated with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outside of DXL’s control and, if the merger is consummated, would be outside the control of the combined company, and any one of them could result in lower revenues, higher costs and diversion of management time and energy, which could materially impact the business, financial condition and results of operations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operations of the DXL business and the FBB business are integrated successfully, the full benefits of the transaction may not be realized, including expected synergies, cost savings or sales or growth opportunities. These benefits may not be achieved within the anticipated time frame or at all. Further, additional unanticipated costs may be incurred in the integration of the DXL business and the FBB business. All of these factors could cause dilution to the earnings per share of DXL, decrease or delay the projected accretive effect of the transaction, and negatively impact the price of DXL common stock following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success of the combined company would also depend on relationships with third parties and pre-existing customers of DXL and FBB, which relationships may be affected by customer or third-party preferences or public attitudes about the merger. Any adverse changes in these relationships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success would depend on its ability to maintain and renew relationships with pre-existing customers, suppliers and other third parties of both DXL and FBB, and its ability to establish new relationships. There can be no assurance that the business of the combined company would be able to maintain and renew pre-existing contracts and other business relationships, or enter into or maintain new contracts and other business relationships, on acceptable terms, if at all. The failure to maintain important business relationships could have a material adverse effect on the combined company’s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consummated, the combined company’s stock price would be expected to be volatile, and the market price of its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Some of the factors that may cause the market price of the combined company’s common stock to fluctuate following the merger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changes in the economy and general market volatility, including the effects of inflation and/or recession;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news announcements regarding the combined company’s quarterly or annual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comparable sales;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into, or termination of, key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or changes in laws applicable to the combined company (such as increased wage and paid benefits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affecting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its common stock by the combined company or its stockholders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the combined company’s markets;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views as to the prospects of the combined company or the retail clothing industry generally.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stock markets in general have experienced substantial volatility that has often been unrelated to the operating performance of individual companies or the retail clothing industry. These broad market fluctuations may also adversely affect the trading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the combined company’s profitability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decrease in the stock price of the combined company may cause the combined company’s common stock to no longer satisfy the continued listing standards of Nasdaq. If the combined company is unable to maintain the requirements for listing on Nasdaq, it could be delisted, which could have a materially adverse effect on its ability to raise additional funds as well as the price and liquidity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reporting obligations of being a public company in the United States are expensive and time-consuming, and the combined company’s management would be required to devote substantial time to compliance matters.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FBB as the accounting acquirer would be responsible for the combined company’s public company obligations. Although DXL is currently a public company, FBB has operated as a privately held company and has not been subject to public company reporting requirements. The combined company would therefore incur significant additional legal, accounting and other expenses as FBB implements and integrates the controls and procedures necessary for public company compliance for the first time. The obligations of being a public company in the United States require significant expenditures and would place significant demands on the combined company’s management and other personnel, including costs resulting from public company reporting obligations under the Exchange Act and the rules and regulations regarding corporate governance practices, including those under the Sarbanes-Oxley Act of 2002 (the “Sarbanes-Oxley Act”), the Dodd-Frank Wall Street Reform and Consumer Protection Act (the “Dodd-Frank Act”) and the listing requirements of the stock exchange on which the combined company’s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In addition, the combined company expects these rules and regulations to make it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difficult and more expensive for the combined company to obtain director and officer liability insurance and the combined company may be required to incur substantial costs to maintain the same or similar coverage that FBB had as a privately held company. The combined company’s management and other personnel would need to devote a substantial amount of time to ensure that the combined company complies with all of these requirements and to keep pace with new regulations, otherwise the combined company may fall out of compliance and risk becoming subject to litigation or being delisted, among other potential problems.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sale or availability for sale of a substantial number of shares of common stock of the combined company after the merger and the private placement and after expiration of applicable lock-up periods could adversely affect the market price of such shares after the merger.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common stock of the combined company in the public market after the merger, the private placement or if existing stockholders of DXL and FBB sell, or indicate an intention to sell, substantial amounts of the combined company’s common stock in the public market after expiration of applicable lock-up periods and other legal restrictions on resale, or the perception that these sales could occur, could adversely affect the market price of such shares and could materially impair the combined company’s ability to raise capital through equity offerings in the future. 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DXL and FBB are unable to predict what effect, if any, market sales of securities held by significant stockholders, directors or officers of the combined company or the availability of these securities for future sale would have on the market price of the combined company’s common stock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the combined company’s common stock may be highly concentrated, and it may prevent other stockholders from influencing significant corporate decisions.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former FBB stockholders (including the private placement investors) are estimated to beneficially own or control approximately 55% of the combined company on a fully diluted basis using the treasury stock method. Accordingly, former FBB stockholders would have substantial influence over the outcome of any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of control of the combined company, even if such change of control would benefit the other stockholders of the combined company. </w:t>
      </w:r>
    </w:p>
    <w:p>
      <w:pPr>
        <w:pStyle w:val="TextBody"/>
        <w:bidi w:val="0"/>
        <w:spacing w:before="360" w:after="0"/>
        <w:jc w:val="left"/>
        <w:rPr>
          <w:rFonts w:ascii="Times New Roman" w:hAnsi="Times New Roman"/>
          <w:sz w:val="20"/>
        </w:rPr>
      </w:pPr>
      <w:r>
        <w:rPr>
          <w:rFonts w:ascii="Times New Roman" w:hAnsi="Times New Roman"/>
          <w:b/>
          <w:i/>
          <w:sz w:val="20"/>
        </w:rPr>
        <w:t>Certain significant stockholders of the combined company could attempt to influence changes which could adversely affect the combined company’s operations, financial condition and the value of DXL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certain former stockholders of FBB would hold significant ownership positions in the combined company, including Oaktree Opportunities Fund Xb Holdings (Delaware), L.P., Oaktree Opportunities Fund XI Holdings (Delaware), L.P. and certain of their affiliates (“Oaktree”), which would hold approximately 26.9% of the outstanding equity. Stockholders with significant ownership stakes may from time to time seek to influence corporate actions, engage in proxy solicitations, advance stockholder proposals or otherwise attempt to effect changes at the combined company. Such campaigns may seek to increase short-term stockholder value through actions such as financial restructuring, increased debt, special dividends, stock repurchases or sales of assets or the entire company. Responding to proxy contests and other actions by significant stockholders can be costly and time-consuming and could disrupt the combined company’s operations and divert the attention of the board of directors and senior management from executing the combined company’s business strategy. These actions could adversely affect the combined company’s operations, financial condition and the value of your investment in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DXL and FBB do not anticipate that the combined company would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would be expected to retain its future earnings, if any, to fund the development and growth of the combined company’s business. As a result, capital appreciation, if any, of the combined company’s common stock would be the stockholders’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be sustained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FBB’s common stock. An active trading market for the combined company’s shares of common stock may not be sustained. If an active market for its common stock is not sustained, it may be difficult for its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would be influenced by the research and reports that industry or equity research analysts publish about it and its business. Equity research analysts may elect not to provide research coverage of the combined company’s common stock after the completion of the merger, if the merger is consummated, and such lack of research coverage may adversely affect the market price of its common stock. In the event it does have equity research analyst coverage, the combined company would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 The combined company’s management may not be able to effectively and timely implement controls and procedures that adequately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would be placed upon the combined company as a public company, including the requirements of the Sarbanes-Oxley Act, the combined company’s business and reputation may be harmed and its stock price may decline. Furthermore, investor perceptions of the combined company may be adversely affected, which could cause a decline in the market price of its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company’s success would depend significantly on its key personnel and its ability to attract and retain additional personnel.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the combined company’s success would be dependent on the personal efforts, performance and abilities of its key management, which includes its executive officers as well as members of its senior management. The loss of any of its senior management may result in a loss of organizational focus, poor operating execution, an inability to identify and execute strategic initiatives, an impairment in its ability to identify new store locations, and an inability to consummate possible acquisitions. The competition is intense for the type of highly skilled individuals with relevant industry experience that the combined company would require, and it may not be able to continue to attract and retain new employees of the caliber needed to achieve its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the combined company’s charter documents and under Delaware law could make an acquisition of the combined company more difficult and may prevent attempts by the combined company’s stockholders to replace or remove the combined company’s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the combined company’s amended and restated certificate of incorporation and bylaws may delay or prevent an acquisition or a change in management. These provisions include the ability of the board of directors to issue preferred stock without stockholder approval. In addition, because the combined company would be incorporated in Delaware, it is governed by the provisions of Section 203 of the Delaware General Corporation Law (the “DGCL”), which prohibits stockholders owning in excess of 15% of the outstanding combined company’s voting stock from merging or combining with the combined company in certain circumstances. Although DXL and FBB believe these provisions collectively would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of the combined company, which is responsible for appointing the members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bylaws of the combined company would provide that the Court of Chancery of the State of Delaware is the exclusive forum for substantially all disputes between the combined company and its stockholders, which could limit its stockholders’ ability to obtain a favorable judicial forum for disputes with the combined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bylaws of the combined company would provide that the Court of Chancery of the State of Delaware (or, if the Court of Chancery of the State of Delaware does not have jurisdiction, the federal district court for the District of Delaware) is the sole and exclusive forum for any state law claims for (a) any derivative action or proceeding brought on behalf of the combined company; (b) any action asserting a claim of breach of a fiduciary duty owed by, or other wrongdoing by, any director, officer, stockholder, employee or agent of the combined company to the combined company or its stockholders; (c) any action asserting a claim against the combined company or any of its directors, officers, stockholders, employees or agents arising pursuant to any provision of the DGCL, the certificate of incorporation or the bylaws or as to which the DGCL confers jurisdiction on the Court of Chancery of the State of Delaware; (d) any action to interpret, apply, enforce or determine the validity of the certificate of incorporation or the bylaws; or (e) any action asserting a claim against the combined company or any of its directors, officers, stockholders, employees or agents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would provide that the federal district courts would be the exclusive forum for resolving any complaint asserting a cause of action arising under the Securities Act. The choice of forum provision may make it more expensive for stockholders to bring a claim than if the stockholders were permitted to select another jurisdiction and limit a stockholder’s ability to bring a claim in a judicial forum that it finds favorable for disputes with the combined company or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officers or other employees, which may discourage such lawsuits against the combined company and its directors, officers and other employees. If a court were to find the choice of forum provision contained in the bylaws to be inapplicable or unenforceable in an action, the combined company may incur additional costs associated with resolving such action in other jurisdictions, which could adversely affect the combined company’s business and financial condition. Any person or entity purchasing or otherwise acquiring any interest in shares of the combined company’s capital stock shall be deemed to have notice of and to have consented to the provisions of the combined company’s bylaws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business is seasonal and unfavorable general political and economic conditions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business is expected to be seasonal. Historically, a significant portion of DXL’s operating income has been generated during its second and fourth quarters. If, for any reason, the combined company miscalculates the demand for its products during these quarters, its sales in that quarter could decline, resulting in higher labor costs as a percentage of sales, lower margins and excess inventory, which could cause the combined company’s annual operating results to suffer. Due to seasonality, the possible adverse impact from such risks is potentially greater if any such risks occur during the combined company’s second and fourth quarters. Additionally, the combined company’s operations may be negatively affected by local, regional or national political and economic conditions, such as levels of disposable consumer income, inflation, consumer debt, interest rates, consumer confidence and other macro issues. The volatile political environment increases the chance of other legislative and regulatory changes at both the federal and state level that could affect the combined company in ways it cannot predict. In addition, global economies, conflicts, trade negotiations and policies may directly or indirectly affect the combined company’s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76201_11"/>
      <w:bookmarkEnd w:id="13"/>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entitled “The Merger Agreement” beginning on page 133 of this proxy statement describe the material aspects of the merger, including the merger agreement. While DXL believes that this description covers the material terms of the merger and the merger agreement, it may not contain all of the information that is important to you. You should carefully read this entire proxy statement, including the merger agreement, which is attached as Annex A to this proxy statement, and the other documents to which DXL has referred to or incorporated by reference herein. For a more detailed description of where you can find those other documents, please see the section entitled “Where You Can Find Additional Information” beginning on page 244 of this proxy statement. 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14" w:name="tx76201_12"/>
      <w:bookmarkEnd w:id="14"/>
      <w:r>
        <w:rPr>
          <w:rFonts w:ascii="Times New Roman" w:hAnsi="Times New Roman"/>
          <w:b/>
          <w:sz w:val="20"/>
        </w:rPr>
        <w:t xml:space="preserve">Terms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the DXL Board, the board of directors of a wholly owned direct subsidiary of DXL (the “merger subsidiary”) and the Board of Directors of FBB has unanimously approved the merger agreement. The merger agreement provides that, pursuant to the terms and subject to the conditions set forth in the merger agreement, the merger subsidiary would merge with and into FBB, with FBB continuing as the surviving corporation and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shares outstanding of DXL common stock and FBB common stock immediately prior to the effective time of the merger, in each case, on a fully diluted basis using the treasury stock method.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The Merger Agreement</w:t>
      </w:r>
      <w:r>
        <w:rPr>
          <w:rFonts w:ascii="Times New Roman" w:hAnsi="Times New Roman"/>
          <w:sz w:val="20"/>
        </w:rPr>
        <w:t xml:space="preserve">” for additional and more detailed information regarding the legal documents that govern the merger, including information about conditions to the completion of the merger and provisions for terminating or amending the merger agreement. </w:t>
      </w:r>
    </w:p>
    <w:p>
      <w:pPr>
        <w:pStyle w:val="TextBody"/>
        <w:bidi w:val="0"/>
        <w:spacing w:before="360" w:after="0"/>
        <w:jc w:val="left"/>
        <w:rPr>
          <w:rFonts w:ascii="Times New Roman" w:hAnsi="Times New Roman"/>
          <w:b/>
          <w:sz w:val="20"/>
        </w:rPr>
      </w:pPr>
      <w:bookmarkStart w:id="15" w:name="tx76201_13"/>
      <w:bookmarkEnd w:id="15"/>
      <w:r>
        <w:rPr>
          <w:rFonts w:ascii="Times New Roman" w:hAnsi="Times New Roman"/>
          <w:b/>
          <w:sz w:val="20"/>
        </w:rPr>
        <w:t xml:space="preserve">Prior Approval and Continued Evaluation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was unanimously approved by the DXL Board in December 2025 following consideration of the factors described elsewhere in this proxy statement. The discussion included in this proxy statement reflects the considerations evaluated at that time and, in part, information provided by FBB or its representatives, and is provided for historical context only.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uncertainty regarding the availability of the Combined ABL Facility and the resulting risk that the combined company may not have access to the liquidity contemplated by such facility, together with concerns that alternative financing may not be available on comparable terms, if at all, (v) concerns regarding FBB’s potential negative equity value, and (vi) the substantial economic dilution that DXL stockholders would experience if the merger were consummated on its current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particular, during the first half of 2026, the DXL Board reviewed updated information regarding market conditions and developments affecting the retail industry and consumer spending environment. The DXL Board observed what it viewed as a more challenging consumer and retail operating environment than existed when the merger agreement was approved in December 2025 and evaluated whether those developments had adversely affected the outlook for DXL, FBB and the combined company and the assumptions underlying the DXL Board’s approval of the merger agreement. In conducting that evaluation, the DXL Board considered, among other things, that the challenging consumer and retail environment appeared to have disproportionately adversely affected FBB’s business, operating performance and financial results as compared to DXL and the broader market generally. </w:t>
      </w:r>
    </w:p>
    <w:p>
      <w:pPr>
        <w:pStyle w:val="TextBody"/>
        <w:bidi w:val="0"/>
        <w:spacing w:before="240" w:after="0"/>
        <w:jc w:val="left"/>
        <w:rPr>
          <w:rFonts w:ascii="Times New Roman" w:hAnsi="Times New Roman"/>
          <w:sz w:val="20"/>
        </w:rPr>
      </w:pPr>
      <w:r>
        <w:rPr>
          <w:rFonts w:ascii="Times New Roman" w:hAnsi="Times New Roman"/>
          <w:sz w:val="20"/>
        </w:rPr>
        <w:t xml:space="preserve">During May 2026, the DXL Board reviewed the May 2026 Supplemental Financial Analyses. Those analyses indicated that, under certain assumptions and methodologies, FBB could have limited or potentially negative equity value. In evaluating the May 2026 Supplemental Financial Analyses and FBB’s projected future performance, the DXL Board also considered DXL management’s assessment that certain assumptions underlying FBB’s long-range financial projections, including projected improvements in sales trends and growth rates, were not supported by FBB’s recent operating performance and historical trends. Because the DXL Board had not reviewed analyses indicating a potential negative equity value for FBB when it approved the merger agreement in December 2025, it evaluated whether those analyses affected the relative value attributed to FBB, the valuation assumptions underlying the merger agreement and the appropriateness of the ownership structure contemplated by the merger agreement, including the ownership percentage that would be held by DXL stockholders following the merger and the resulting dilution to existing DXL stockholders. </w:t>
      </w:r>
    </w:p>
    <w:p>
      <w:pPr>
        <w:pStyle w:val="TextBody"/>
        <w:bidi w:val="0"/>
        <w:spacing w:before="240" w:after="0"/>
        <w:jc w:val="left"/>
        <w:rPr>
          <w:rFonts w:ascii="Times New Roman" w:hAnsi="Times New Roman"/>
          <w:sz w:val="20"/>
        </w:rPr>
      </w:pPr>
      <w:r>
        <w:rPr>
          <w:rFonts w:ascii="Times New Roman" w:hAnsi="Times New Roman"/>
          <w:sz w:val="20"/>
        </w:rPr>
        <w:t>The DXL Board’s review of these matters was informed by ongoing discussions with management and its advisors and by the May 2026 DXL-Provided Financial Projections and the May 2026 Supplemental Financial Analyses reviewed by the DXL Board during May 2026, as described under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and discussed elsewhere in this proxy statement. The DXL Board considered these developments collectively, rather than in isolation, in evaluating whether the merger and the issuance proposal continued to be advisable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evaluation, including these considerations, the DXL Board has determined that the merger and the transactions contemplated by the merger agreement, including the issuance proposal, are no longer advisable and are not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For a more complete discussion of the DXL Board’s current recommendation and the reasons for that determination, please see “—</w:t>
      </w:r>
      <w:r>
        <w:rPr>
          <w:rFonts w:ascii="Times New Roman" w:hAnsi="Times New Roman"/>
          <w:i/>
          <w:sz w:val="20"/>
        </w:rPr>
        <w:t>DXL’s Reasons for Recommending Against the Issuance Proposal; Updated Recommendation of the DXL Board</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6" w:name="tx76201_14"/>
      <w:bookmarkEnd w:id="16"/>
      <w:r>
        <w:rPr>
          <w:rFonts w:ascii="Times New Roman" w:hAnsi="Times New Roman"/>
          <w:b/>
          <w:sz w:val="20"/>
        </w:rPr>
        <w:t xml:space="preserve">Effect on DXL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share issuances and amendments to the restated certificate of incorporation to effect the reverse stock split expected to be necessary for the merger are not approved by DXL stockholders, or if the merger is not consummated for any other reason, FBB will not be combined with DXL and DXL will continue to operate as it did prior to entering into the merger agreement. 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Moreover, DXL will also incur the costs and expenses of the merger and this proxy solicitation whether or not the merger is consummated. </w:t>
      </w:r>
    </w:p>
    <w:p>
      <w:pPr>
        <w:pStyle w:val="TextBody"/>
        <w:bidi w:val="0"/>
        <w:spacing w:before="360" w:after="0"/>
        <w:jc w:val="left"/>
        <w:rPr>
          <w:rFonts w:ascii="Times New Roman" w:hAnsi="Times New Roman"/>
          <w:b/>
          <w:sz w:val="20"/>
        </w:rPr>
      </w:pPr>
      <w:bookmarkStart w:id="17" w:name="tx76201_15"/>
      <w:bookmarkEnd w:id="17"/>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key meetings and events that led to the signing of the merger agreement and certain events that followed, including developments since the execution of the merger agreement that caused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DXL Board to withdraw its prior recommendation in favor of the merger and the issuance proposal and recommend that the DXL stockholders vote against the issuance proposal. The following chronology does not purport to be complete and may not contain all of the information that is important to you, nor does it catalogue every conversation or correspondence by or among members of the DXL Board, DXL management, DXL’s advisors and representatives or other parties and their respective affiliates, advisors or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and its senior management regularly review and discuss DXL’s historical performance, future growth prospects and overall strategic objectives and consider a variety of potential financial and strategic opportunities to enhance stockholder value. These reviews have periodically included consideration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Prior to 2024, representatives of DXL and FBB, including Harvey Kanter, former president and chief executive officer of DXL, and Jim Fogarty, the chief executive officer of FBB, had occasionally met to discuss the potential for strategic transactions between the companies. In November 2023, Mr. Kanter was contacted by email by Mr. Fogarty for a meeting, and Mr. Kanter and Mr. Fogarty held a call to discuss the potential for a combination of DXL and FBB and indicated willingness to enter into a non-disclosure agreement to facilitate further discussions. On February 12, 2024, DXL, FBB, Oaktree, and Goldman Sachs Specialty Lending Group, L.P., entered into a certain mutual confidentiality and non-disclosure agreement. The agreement included a customary one-year standstill provision which did not contain a so-called “don’t ask, don’t waive” provision prohibiting FBB from requesting a private waiver of the standstill.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2024, at a meeting of the DXL Board, Mr. Kanter provided an update to the DXL Board regarding his communications with Mr. Fogarty about the potential combination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2024, representatives of each of DXL and FBB, including Mr. Kanter and Mr. Fogarty, met to discuss a potential combination transaction, including potential cost and commercial synergies. Over the next approximately two months, both parties conducted due diligence on each other and engaged in a series of meetings and break-out sessions to discuss the business and operations of each of DXL and FBB. </w:t>
      </w:r>
    </w:p>
    <w:p>
      <w:pPr>
        <w:pStyle w:val="TextBody"/>
        <w:bidi w:val="0"/>
        <w:spacing w:before="240" w:after="0"/>
        <w:jc w:val="left"/>
        <w:rPr>
          <w:rFonts w:ascii="Times New Roman" w:hAnsi="Times New Roman"/>
          <w:sz w:val="20"/>
        </w:rPr>
      </w:pPr>
      <w:r>
        <w:rPr>
          <w:rFonts w:ascii="Times New Roman" w:hAnsi="Times New Roman"/>
          <w:sz w:val="20"/>
        </w:rPr>
        <w:t xml:space="preserve">On April 11, 2024, DXL and Guggenheim Securities entered into a certain non-disclosure agreement in connection with the DXL Board’s evaluation of Guggenheim Securities’ role as a potential financial advisor for DXL’s review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26, 2024, Fund 1 Investments, LLC (“PLP”), with respect to its shares of the DXL common stock held for the benefit of private investment vehicles for which Pleasant Lake Partners LLC serves as investment advisor, filed a Schedule 13D, disclosing its ownership of 5,732,261 shares of DXL Common Stock, representing a 9.8% ownership interest in DXL. Additionally, PLP also disclosed that it held certain cash-settled swaps, pursuant to cash-settled swap agreements with an unaffiliated third-party financial institution, which corresponded to an aggregate of 4,444,011 notional shares of the DXL common stock, representing approximately 7.6%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11, 2024, PLP amended its Schedule 13D to disclose that the cash-settled swaps corresponded to an aggregate of 5,136,073 notional shares of the DXL common stock, representing approximately 8.8%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31, 2024, at a meeting of the DXL Board, Mr. Kanter provided an update to the DXL Board regarding PLP, its ownership percentage in DXL and its prior interest in acquiring DXL. The DXL Board discussed that DXL was not for sale and that a non-disclosure agreement with a standstill would be required for further conversations with PLP.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2024, Lionel Conacher, the chairman of the DXL Board, Mr. Kanter and Peter Stratton, the chief financial officer of DXL, met with management of PLP. The purpose of the meeting was to introduce PLP to the chairman of the DXL Board and to better understand PLP’s intention as a large stockholder of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13, 2024, PLP amended its Schedule 13D to disclose that the cash-settled swaps corresponded to an aggregate of 5,728,573 notional shares of the DXL common stock, representing approximately 9.8%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2024, the DXL Board met by videoconference, with representatives from Greenberg Traurig, LLP, DXL’s outside counsel (“Greenberg Traurig”), to discuss the meeting with PLP and determined that DXL would be open to receiving a written proposal from PLP. The DXL Board instructed Greenberg Traurig to relay that determination to PLP’s counsel, which GT communicated on September 16, 2024. </w:t>
      </w:r>
    </w:p>
    <w:p>
      <w:pPr>
        <w:pStyle w:val="TextBody"/>
        <w:bidi w:val="0"/>
        <w:spacing w:before="240" w:after="0"/>
        <w:jc w:val="left"/>
        <w:rPr>
          <w:rFonts w:ascii="Times New Roman" w:hAnsi="Times New Roman"/>
          <w:sz w:val="20"/>
        </w:rPr>
      </w:pPr>
      <w:r>
        <w:rPr>
          <w:rFonts w:ascii="Times New Roman" w:hAnsi="Times New Roman"/>
          <w:sz w:val="20"/>
        </w:rPr>
        <w:t xml:space="preserve">On September 21, 2024, Mr. Fogarty called Mr. Kanter to discuss FBB’s intent to propose a merger between the two companies in a stock-for-stock transaction that would result in DXL stockholders owning 35% of the combined company and FBB stockholders owning 65% of the combined company. Later that same day, FBB delivered to DXL a non-binding indication of interest reflecting such proposal.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2024, the DXL Board met by videoconference, with representatives from Greenberg Traurig, and discussed FBB’s non-binding indication of interest and the recent communications with PLP. At the meeting, the DXL Board created a “Transaction Committee,” consisting of Messrs. Lionel Conacher, Jack Boyle and Willem Mesdag (the “DXL Transaction Committee”), to efficiently explore strategic and financial alternatives. The DXL Transaction Committee was granted full and exclusive authority of the DXL Board to take all actions with respect to exploring a potential strategic transaction with both FBB and PLP, including utilizing the DXL Board’s financial, accounting and legal advisors. The DXL Transaction Committee also directed Mr. Mesdag to meet with management of PLP to discuss a potential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2024, representatives of Guggenheim Securities, at the direction of the DXL Transaction Committee, reached out to FBB to request that FBB provide certain financial information in order for DXL to better assess whether a potential combination transaction could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2024, at the direction of the DXL Transaction Committee, Mr. Mesdag met with management of PLP to discuss a possible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18, 2024, DXL, FBB, Oaktree, and Goldman Sachs Specialty Lending Group, L.P. entered into a certain amended confidentiality and non-disclosure agreement to extend the term of the agreement by eight months.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2024, Mr. Conacher met with Mr. Fogarty to discuss a possible strategic partnership and reviewed certain financial information about FBB that FBB had shared with DXL in advance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2024, DXL and Guggenheim Securities entered into an engagement letter to formalize Guggenheim Securities’ role as lead financial advisor in connection with DXL’s review of strategic and financial alternatives, including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23, 2024, PLP sent a letter to DXL seeking increased ownership interest in DXL and a waiver of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On November 25, 2024, the DXL Transaction Committee met with representatives of Guggenheim Securities to review the PLP letter and the possible strategic partnership opportunity with FBB. Representatives of Guggenheim Securities presented potential scenarios of a merger and discussed the various benefits and risks associated therewith to be considered by the DXL Transaction Committee in exploring the opportunities with both PLP and FBB. </w:t>
      </w:r>
    </w:p>
    <w:p>
      <w:pPr>
        <w:pStyle w:val="TextBody"/>
        <w:bidi w:val="0"/>
        <w:spacing w:before="240" w:after="0"/>
        <w:jc w:val="left"/>
        <w:rPr>
          <w:rFonts w:ascii="Times New Roman" w:hAnsi="Times New Roman"/>
          <w:sz w:val="20"/>
        </w:rPr>
      </w:pPr>
      <w:r>
        <w:rPr>
          <w:rFonts w:ascii="Times New Roman" w:hAnsi="Times New Roman"/>
          <w:sz w:val="20"/>
        </w:rPr>
        <w:t xml:space="preserve">On November 26, 2024, PLP further amended its Schedule 13D to disclose its ownership of 5,758,261 shares of DXL Common Stock, representing a 10.6% ownership interest in DXL. Additionally, PLP also disclosed that the cash-settled swaps it held corresponded to an aggregate of 5,763,573 notional shares of the DXL common stock, representing approximately 10.6% of the outstanding shares of the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10, 2024, DXL responded to PLP’s letter dated November 23, 2024, informing PLP that DXL determined to not authorize any further acquisition of DXL securities by PLP or exempt PLP from Section 203 of the DGCL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representatives of Guggenheim Securities, at the direction of the DXL Transaction Committee, met with Mr. Fogarty and representatives from FBB’s largest stockholders and provided feedback from the DXL Transaction Committee as to DXL’s interest in pursuing a stock-for-stock merger with FBB that would result in DXL stockholders owning 50% of the combined company. FBB informed representatives of Guggenheim Securities that they would be open to pursuing such transaction, pending their due diligence on DXL. Representatives of Guggenheim Securities conveyed this message to DXL management on December 11, 2024, which was then communicated by DXL management to the DXL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2024, PLP delivered a non-binding, unsolicited letter to DXL expressing its interest in acquiring all of the outstanding shares of common stock of DXL that are not owned by PLP or its affiliates for cash consideration of $3.00 per share, subject to the completion of due diligence and negotiation of the terms of a definitive agreement. On the same day, the DXL Transaction Committee met with representatives of Guggenheim Securities to review the PLP letter and potential next steps. Following a presentation of financial analyses by Guggenheim Securities, the DXL Transaction Committee instructed Guggenheim Securities to communicate to PLP that while DXL appreciated the interest in the Company and welcomed further discussions subject to entering into a non-disclosure agreement to discuss the offer, PLP’s offer undervalued DXL. The DXL Transaction Committee believed that PLP would be able to improve its proposal if DXL provided PLP with non-public information after PLP’s entry into a confidentiality and non-disclosure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23, 2024, PLP amended its Schedule 13D to disclose the offer letter, which was also filed as an exhibit to Schedule 13D. On the same day, the DXL Board met by videoconference, with representatives from Guggenheim Securities, to receive an update from the DXL Transaction Committee about PLP’s non-binding, unsolicited offer and to receive an update regarding the strategic opportunity with FBB. 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2025, the DXL Transaction Committee held a meeting and directed Guggenheim Securities to contact FBB and other potential interested parties to discuss and evaluate potential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directed by the DXL Transaction Committee, over the following several weeks, representatives of Guggenheim Securities reached out to approximately 20 parties, including both strategic and financial buyers, to discuss their interest in a potential strategic transaction. Out of the approximately 20 parties contacted, only FBB and PLP agreed to engage with DXL. Representatives of Guggenheim Securities provided regular updates to DXL management during such outreach and DXL management provided regular updates to the DXL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January 17, 2025, the DXL Transaction Committee was reconstituted to include the entire DXL Board in order to streamline decision-making and ensure full board alignment in support of continuing discussions and negotiations with both PLP and FBB. On the same day, DXL and PLP entered into a confidentiality and non-disclosure agreement, which provided for a term of one year and included an 8-month standstill provision which would terminate if DXL were to enter into an agreement with a third party providing for a change of control transaction of DXL.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2025, FBB was granted access to the virtual data room containing information regarding DXL for purposes of conducting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PLP was granted access to the virtual data room containing information regarding DXL for purposes of conducting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During the next four months, FBB and its advisors conducted due diligence on DXL and PLP and its advisors separately conducted due diligence on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30, 2025, PLP submitted a revised non-binding bid to acquire all of the outstanding shares of common stock of DXL that were not owned by PLP or its affiliates for $1.49 – $1.92 per share in cash. PLP explained that the reduction in the proposed value was primarily a result of the declining macroeconomic environment, potential tariffs and changing consumer behavior. </w:t>
      </w:r>
    </w:p>
    <w:p>
      <w:pPr>
        <w:pStyle w:val="TextBody"/>
        <w:bidi w:val="0"/>
        <w:spacing w:before="240" w:after="0"/>
        <w:jc w:val="left"/>
        <w:rPr>
          <w:rFonts w:ascii="Times New Roman" w:hAnsi="Times New Roman"/>
          <w:sz w:val="20"/>
        </w:rPr>
      </w:pPr>
      <w:r>
        <w:rPr>
          <w:rFonts w:ascii="Times New Roman" w:hAnsi="Times New Roman"/>
          <w:sz w:val="20"/>
        </w:rPr>
        <w:t xml:space="preserve">On May 2, 2025, FBB delivered to DXL an indicative non-binding proposal proposing, among other things, a stock-for-stock merger between the two companies that would result in DXL stockholders owning 40% of the combined company and FBB stockholders owning 60% of the combined company. The proposal provided that the initial board of directors of the combined company would be composed of nine members, with four designated by DXL, four designated by FBB and the chief executive officer of the combined company, and that the board of directors of the combined company would select the chairperson of the board as well as the chairpersons of the committees of the board. The proposal also provided that the combined company would be led by Mr. Fogarty as its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On May 7, 2025, the DXL Transaction Committee met by videoconference, with representatives from Guggenheim Securities and Greenberg Traurig, and discussed the offers proposed by PLP and FBB. A representative from Guggenheim Securities discussed the potential synergies with each of PLP and FBB and reviewed DXL as a standalone company, and also discussed updating DXL’s business operating plan. Following the discussion, the DXL Transaction Committee directed Guggenheim Securities to continue the dialogue with each of PLP and FBB and to seek updated proposals from both PLP and FBB. </w:t>
      </w:r>
    </w:p>
    <w:p>
      <w:pPr>
        <w:pStyle w:val="TextBody"/>
        <w:bidi w:val="0"/>
        <w:spacing w:before="240" w:after="0"/>
        <w:jc w:val="left"/>
        <w:rPr>
          <w:rFonts w:ascii="Times New Roman" w:hAnsi="Times New Roman"/>
          <w:sz w:val="20"/>
        </w:rPr>
      </w:pPr>
      <w:r>
        <w:rPr>
          <w:rFonts w:ascii="Times New Roman" w:hAnsi="Times New Roman"/>
          <w:sz w:val="20"/>
        </w:rPr>
        <w:t xml:space="preserve">On May 27, 2025, the DXL Transaction Committee met by videoconference, with representatives from Guggenheim Securities and Greenberg Traurig. The DXL Transaction Committee discussed certain financial projections and the various assumptions accompanying such projections, which were prepared by the DXL management team in advance of the meeting. Additionally, a representative of Greenberg Traurig discussed the fiduciary duties of the DXL Board when considering alternatives that may be available to DXL. </w:t>
      </w:r>
    </w:p>
    <w:p>
      <w:pPr>
        <w:pStyle w:val="TextBody"/>
        <w:bidi w:val="0"/>
        <w:spacing w:before="240" w:after="0"/>
        <w:jc w:val="left"/>
        <w:rPr>
          <w:rFonts w:ascii="Times New Roman" w:hAnsi="Times New Roman"/>
          <w:sz w:val="20"/>
        </w:rPr>
      </w:pPr>
      <w:r>
        <w:rPr>
          <w:rFonts w:ascii="Times New Roman" w:hAnsi="Times New Roman"/>
          <w:sz w:val="20"/>
        </w:rPr>
        <w:t xml:space="preserve">On May 30, 2025, representatives of FBB provided DXL senior management with certain financial projections for FBB covering the calendar years ending December 31, 2025 through December 31, 2029 (the “May 2025 FBB-Provided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From May 2025 to June 2025, FBB and PLP conducted additional due diligence to further refine their respective bids. During this time, members of the senior management of DXL and FBB held virtual meetings to determine the potential strategic and cost synergy opportunity from a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11, 2025, the DXL Transaction Committee met by videoconference, with representatives from Guggenheim Securities and Greenberg Traurig. A representative of Guggenheim Securities and members of the DXL management team provided an update on the recent communications with both FBB and PLP, and also discussed the timing and cadence of each proposal. The DXL Transaction Committee continued to discuss and assess the potential benefits of a business combination for DXL.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PLP submitted a revised bid to acquire all of the outstanding shares of common stock of DXL that are not owned by PLP or its affiliates for $1.96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FBB reaffirmed its interest in a stock-for-stock merger with DXL that would result in DXL stockholders owning 40% of the combined company and FBB stockholders owning 60%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June 23, 2025, the DXL Transaction Committee met by videoconference, with representatives from Guggenheim Securities and Greenberg Traurig present. A representative from Greenberg Traurig discussed the fiduciary duties of the DXL Board in general in assessing strategic transactions. The DXL Transaction Committee discussed the history and current status of negotiations, the terms proposed by FBB and PLP, the various benefits and risks of the proposals, and also considered DXL’s prospects as an independent company. Following this discussion, the DXL Transaction Committee directed Guggenheim Securities to provide PLP with DXL’s counteroffer of $3.00 per share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Between June 23, 2025 and July 23, 2025, representatives of Guggenheim Securities, at the direction of the DXL Transaction Committee, and representatives of PLP had several conversations about valuation for a transaction with PLP. During these conversations, there was a verbal offer of $2.05 per share purchase price by PLP. </w:t>
      </w:r>
    </w:p>
    <w:p>
      <w:pPr>
        <w:pStyle w:val="TextBody"/>
        <w:bidi w:val="0"/>
        <w:spacing w:before="240" w:after="0"/>
        <w:jc w:val="left"/>
        <w:rPr>
          <w:rFonts w:ascii="Times New Roman" w:hAnsi="Times New Roman"/>
          <w:sz w:val="20"/>
        </w:rPr>
      </w:pPr>
      <w:r>
        <w:rPr>
          <w:rFonts w:ascii="Times New Roman" w:hAnsi="Times New Roman"/>
          <w:sz w:val="20"/>
        </w:rPr>
        <w:t xml:space="preserve">On July 20, 2025, the DXL Transaction Committee met by videoconference, with representatives from Guggenheim Securities and Greenberg Traurig present. A representative from Guggenheim Securities discussed valuation approaches and considerations in evaluating strategic transactions generally and provided an update on the status of discussions with PLP. Following this discussion, the DXL Transaction Committee determined that it would provide a number at which DXL would be willing to engage in transaction negotiations with PLP.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the DXL Transaction Committee met by videoconference, with representatives from Guggenheim Securities and Greenberg Traurig present. A representative from Guggenheim Securities provided an update on the status of discussions with PLP since the July 20, 2025 DXL Transaction Committee meeting. Following this discussion, the DXL Transaction Committee approved a price of $2.20 per share to engage in transaction negotiations and directed Guggenheim Securities to relay this price to PLP. The same day, representatives of Guggenheim Securities relayed to PLP the DXL $2.20 per share price at which the DXL Transaction Committee would be willing to engage in transaction negotiations.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DXL and PLP agreed to a non-binding $2.20 per share purchase price, subject to PLP’s due diligence on DXL and negotiation of the terms of a definitive agreement. Over the next couple of months, PLP conducted further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2025, the DXL Transaction Committee met by videoconference, with representatives from Guggenheim Securities and Greenberg Traurig present, and discussed the status of discussions with PLP. The DXL Transaction Committee instructed Greenberg Traurig to send the draft definitive agreement, which had been prepared by Greenberg Traurig and circulated to the full DXL Board in advance of this meeting, to PLP. </w:t>
      </w:r>
    </w:p>
    <w:p>
      <w:pPr>
        <w:pStyle w:val="TextBody"/>
        <w:bidi w:val="0"/>
        <w:spacing w:before="240" w:after="0"/>
        <w:jc w:val="left"/>
        <w:rPr>
          <w:rFonts w:ascii="Times New Roman" w:hAnsi="Times New Roman"/>
          <w:sz w:val="20"/>
        </w:rPr>
      </w:pPr>
      <w:r>
        <w:rPr>
          <w:rFonts w:ascii="Times New Roman" w:hAnsi="Times New Roman"/>
          <w:sz w:val="20"/>
        </w:rPr>
        <w:t xml:space="preserve">On September 3, 2025, PLP communicated to Guggenheim Securities that it had lowered its bid to $1.60 per share due to a decrease in DXL’s market price and general market conditions. Representatives of Guggenheim Securities informed DXL’s senior management of PLP’s decreased bid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Later on September 3, 2025, the DXL Transaction Committee met by videoconference, with representatives from Guggenheim Securities and Greenberg Traurig present, and discussed the revised bid proposed by PLP. Following this discussion, the DXL Transaction Committee directed Guggenheim Securities to inform PLP that DXL was not interested in pursuing a sale transaction with PLP. The DXL Transaction Committee also instructed Guggenheim Securities to continue the dialogue with FBB about a potential transaction opportunity. That same day, representatives of Guggenheim Securities notified management of each of PLP and FBB of the DXL Transaction Committee’s decision.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5, 2025, representatives of FBB reached out to representatives of Guggenheim Securities and described a potential financing transaction that could reduce FBB’s balance sheet debt prior to any transaction with DXL. Following FBB’s outreach, representatives of Guggenheim Securities informed DXL senior management of FBB’s proposal.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2025, the DXL Transaction Committee met by videoconference, with representatives from Guggenheim Securities and Greenberg Traurig present, and discussed the recent conversation that Guggenheim Securities had with FBB regarding the potential reduction of FBB’s balance sheet debt. The DXL Transaction Committee reviewed detailed financial and market information about FBB and considered current and prospective market conditions, the potential synergies of the combined company, the various benefits and risks of a sale transaction with FBB, and DXL’s prospects as an independent company. Based upon these discussions, the DXL Transaction Committee instructed Guggenheim Securities to inform FBB that DXL would be interested in pursuing a stock-for-stock transaction with FBB if FBB’s debt was reduced by $125 million and if the merger would result in DXL stockholders owning 50%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17, 2025, representatives of Guggenheim Securities met with representatives of FBB by telephone to provide feedback from the DXL Transaction Committee regarding its willingness to pursue a transaction if FBB’s debt was reduced by $125 million and DXL’s stockholders held 50% ownership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FBB submitted a counteroffer, proposing a $100 million debt reduction and a stock-for-stock merger that would result in 40% ownership of the combined company for the DXL stockholders and 60% ownership of the combined company for the FBB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2025, the DXL Transaction Committee met by videoconference, with representatives from Guggenheim Securities and Greenberg Traurig attending, and discussed and assessed the counteroffer by FBB. The DXL Transaction Committee again considered the financial prospects of remaining independent and the various benefits and risks of a sale transaction with FBB. Based upon these discussions, the DXL Transaction Committee instructed Guggenheim Securities to counteroffer with a $100 million debt reduction and 49% ownership of the combined company for the DXL stockholders. On the same day, as instructed by the DXL Transaction Committee, representatives of Guggenheim Securities submitted to DXL’s counteroffer to FBB, proposing a $100 million debt reduction and 49%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2025, representatives of FBB notified Guggenheim Securities that it was willing to transact on the terms provided in DXL’s latest counteroffer, which was to pursue a stock-for-stock merger, subject to the completion of due diligence review and negotiation of the terms of a definitive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26, 2025, the DXL Transaction Committee met by videoconference, with representatives from Guggenheim Securities and Greenberg Traurig attending. A representative from Guggenheim Securities provided an update that FBB approved DXL’s counteroffer. Representatives of Guggenheim Securities and Greenberg Traurig also discussed the various factors to be considered by the DXL Transaction Committee in negotiating a definitive agreement, including contractual covenants with respect to FBB’s planned debt reduction. The representative of Greenberg Traurig also discussed general timing of the proposed transaction with FBB and the major action items needed to consummate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2025, representatives from each of DXL, FBB, Guggenheim Securities, Greenberg Traurig, Rothschild &amp; Co (“Rothschild”), financial advisor to FBB, and Cleary Gottlieb Steen &amp; Hamilton LLP (“Cleary Gottlieb”), outside counsel to FBB, met by videoconference to provide information about their respective organizations and the potential transaction between DXL and FBB. </w:t>
      </w:r>
    </w:p>
    <w:p>
      <w:pPr>
        <w:pStyle w:val="TextBody"/>
        <w:bidi w:val="0"/>
        <w:spacing w:before="240" w:after="0"/>
        <w:jc w:val="left"/>
        <w:rPr>
          <w:rFonts w:ascii="Times New Roman" w:hAnsi="Times New Roman"/>
          <w:sz w:val="20"/>
        </w:rPr>
      </w:pPr>
      <w:r>
        <w:rPr>
          <w:rFonts w:ascii="Times New Roman" w:hAnsi="Times New Roman"/>
          <w:sz w:val="20"/>
        </w:rPr>
        <w:t xml:space="preserve">During October 2025, after reviewing additional operating results that became available following FBB’s delivery of its May 2025 FBB-Provided Financial Projections, DXL senior management raised questions regarding certain assumptions and forecasts reflected in those projections based on concerns regarding the continued reliability of those projections in light of FBB’s then-current operating performance and trends. Specifically, DXL senior management questioned whether certain assumptions underlying the May 2025 FBB-Provided Financial Projections remained achievable, including assumptions regarding improvements in net sales trends, gross margin performance, future acquisition activity and projected organic growth rates. DXL senior management discussed with representatives of FBB, among other things, how FBB expected its business performance to improve from a year-over-year decline in net sales during the first quarter of 2025 to positive sales growth during the remainder of 2025, how FBB expected gross margins to improve relative to first quarter performance, whether acquisitions reflected in the projections had been specifically identified and the basis for the projected organic growth rates in the outer years of the forecast period. Following discussions with DXL senior management concerning these matters, representatives of FBB orally communicated and discussed adjusted assumptions and forecasts. The adjusted assumptions and forecasts reflected, among other things, management’s updated expectations regarding FBB’s operating performance and trends and reduced projected net sales, profitability and cash flow assumptions to reflect the deterioration in FBB’s business performance between May 2025 and October 2025. DXL senior management considered these adjusted assumptions and forecasts in its ongoing evaluation of FBB and the merger. The adjusted assumptions and forecasts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subsequently reflected in the financial information reviewed by Guggenheim Securities and the DXL Board in connection with the DXL Board’s approval of the merger agreement in December 2025.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representatives from Greenberg Traurig and Cleary Gottlieb met by videoconference to discuss legal and structuring topics, including the proposed timeline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13, 2025, Greenberg Traurig distributed an initial draft of the merger agreement to Cleary Gottlieb. Between October 13, 2025 and December 11, 2025, multiple drafts of the merger agreement were exchanged and negotiated, and representatives of Greenberg Traurig and Cleary Gottlieb participated in a series of calls and videoconferences to discuss and negotiate various matters, including the merger agreement and other ancillary agreements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2025, the DXL Transaction Committee met by videoconference, with representatives from Guggenheim Securities and Greenberg Traurig attending. The DXL Transaction Committee discussed certain key terms in the merger agreement, and a representative from Greenberg Traurig provided the DXL Transaction Committee with an update regarding the status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2025, the DXL Transaction Committee met with Mr. Fogarty by videoconference, with representatives from Guggenheim Securities and Greenberg Traurig present, and discussed the current status of FBB and the contemplated transaction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representatives of FBB informed representatives of Guggenheim Securities that after conversations with its equity and debt holders, and due to a significant decrease in DXL’s stock price, FBB was submitting a revised offer, proposing a $75 million debt reduction and 49% ownership of the combined company for the DXL stockholders. Representatives of Guggenheim Securities informed DXL’s senior management of FBB’s revised offer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the DXL Transaction Committee met by videoconference, with representatives from Guggenheim Securities and Greenberg Traurig present, and discussed the latest proposal by FBB provided to Guggenheim Securities the day before this meeting. Following this discussion, the DXL Transaction Committee determined that FBB must reduce its debt by $100 million in order for the transaction to move forward. The DXL Transaction Committee instructed Guggenheim Securities to relay this position to FBB.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representatives of Guggenheim Securities reached out to representatives of FBB to communicate the DXL Transaction Committee’s determination with respect to FBB’s debt. </w:t>
      </w:r>
    </w:p>
    <w:p>
      <w:pPr>
        <w:pStyle w:val="TextBody"/>
        <w:bidi w:val="0"/>
        <w:spacing w:before="240" w:after="0"/>
        <w:jc w:val="left"/>
        <w:rPr>
          <w:rFonts w:ascii="Times New Roman" w:hAnsi="Times New Roman"/>
          <w:sz w:val="20"/>
        </w:rPr>
      </w:pPr>
      <w:r>
        <w:rPr>
          <w:rFonts w:ascii="Times New Roman" w:hAnsi="Times New Roman"/>
          <w:sz w:val="20"/>
        </w:rPr>
        <w:t xml:space="preserve">On November 3, 2025, FBB countered with a $100 million debt reduction and 45%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the DXL Transaction Committee met by videoconference, with representatives from Guggenheim Securities and Greenberg Traurig attending, and discussed the counteroffer by FBB. The DXL Transaction Committee again considered the financial prospects of remaining independent. Based upon these discussions, the DXL Transaction Committee instructed Guggenheim Securities to counteroffer with (i) a $100 million debt reduction, (ii) 45% ownership of the combined company for the DXL stockholders and (iii) a requirement that the board of directors of the combined company would be composed of nine members, with four designated by DXL, four designated by FBB and one independent director to be mutually agreed to by DXL and FBB, and that the designees of DXL would select the chairperson of the board of directors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representatives of Guggenheim Securities conveyed to representatives of FBB that DXL was prepared to move forward with negotiations at the terms set forth by the DXL Transaction Committee at its November 5 DXL Transaction Committee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14, 2025, FBB informed representatives of Guggenheim Securities that, after consultation with its lenders and shareholders, FBB was only prepared to offer approximately $92 million in debt reduction. Representatives of FBB relayed this debt reduction limitation to Guggenheim Securities along with the accompanying proposal for ownership of approximately 45% ownership of the combined company for the DXL stockholders. FBB added that it agreed to DXL’s governance proposal relating to board composition.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2025, the DXL Transaction Committee met by videoconference, with representatives from Guggenheim Securities and Greenberg Traurig present, and reviewed the counteroffer by FBB and the latest discussion that had taken place between FBB and Guggenheim Securities. The DXL Transaction Committee instructed Guggenheim Securities to (i) prepare certain pro forma financial information regarding the combined company based on the December 2025 DXL-Provided Financial Projections provided to Guggenheim Securities by DXL’s senior management and (ii) request from FBB the debt documents in connection with FBB’s debt reduction for DXL’s review in connection with the proposed debt reduction.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2025, the DXL Transaction Committee met by videoconference, with representatives from Guggenheim Securities and Greenberg Traurig present. Representatives of Guggenheim Securities presented a preliminary financial analysis of the proposed terms by FBB, noting the $92 million in debt paydown as compared to the $100 million paydown the DXL Transaction Committee had previously proposed. Further, the DXL Transaction Committee and its advisors discussed whether to continue to engage in discussions with FBB. Following this discussion, the DXL Transaction Committee directed Guggenheim Securities to work with FBB, on DXL’s behalf, to finalize the transaction on the terms proposed by FBB, subject to finalization of definitive documentation.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Greenberg Traurig delivered to Cleary Gottlieb an initial draft of the voting agreement, which provided, among other things, for certain DXL stockholders to vote in favor of the transactions contemplated by the merger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26, 2025, Greenberg Traurig delivered to Cleary Gottlieb an initial draft of the lock-up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2025, the compensation committee of the DXL Board (the “DXL compensation committee”) met by videoconference, with representatives from Greenberg Traurig present, and discussed the treatment of DXL’s outstanding equity awards under DXL’s stock-approved incentive compensation plan in connection with the proposed transaction with FBB. The DXL compensation committee asked certain questions, which were responded to by representatives of Greenberg Traurig.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FBB distributed to DXL certain debt documents in connection with its proposed debt reduction. Over the next several days, representatives of FBB and DXL had calls and videoconferences to discuss and negotiate the debt documents.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the DXL Board met by videoconference, with representatives from Guggenheim Securities and Greenberg Traurig present. A representative of Greenberg Traurig provided an overview of the process for approving the merger transaction by the DXL Board and also discussed the current draft of the merger agreement. A representative of Guggenheim Securities provided an overview of the process for the DXL Board requesting Guggenheim Securities to issue a fairness opinion in connection with the transaction and discussed certain economic and strategic considerations in connection with the proposed merger with FBB.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DXL compensation committee met by videoconference, with representatives from Guggenheim Securities and Greenberg Traurig present, and discussed certain compensation arrangements in connection with the proposed merger with FBB, to ensure compliance with Section 409A of the Internal Revenue Code of 1986, as amended (the “Code”).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DXL Board met by videoconference, with representatives from Guggenheim Securities and Greenberg Traurig present. Representatives of Greenberg Traurig reviewed the final merger agreement,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principal terms and conditions, as well as the ancillary agreements, and responded to questions from the DXL Board regarding the legal ramifications of those terms and conditions. The DXL Board was also reminded of its fiduciary duties to stockholders in connection with the proposed merger transaction, as well as the applicable legal standards governing their deliberations and decision-making process. Greenberg Traurig also summarized DXL’s rights and obligations under the proposed merger agreement. Also at this meeting of the DXL Board, Guggenheim Securities reviewed its financial analyses of the merger consideration and rendered an oral opinion, confirmed by delivery of a written opinion dated December 10, 2025, to the DXL Board to the effect that, as of that date and based on and subject to the matters considered, the procedures followed, the assumptions made and various limitations of and qualifications to the review undertaken, the merger consideration was fair, from a financial point of view, to the stockholders of DXL. Guggenheim Securities also delivered to the DXL Board a copy of its conflicts disclosure letter, dated December 10, 2025, summarizing the material relationships that Guggenheim Securities has with FBB and other parties affiliated with FBB. All questions posed by the members of the DXL Board were answered by management and representatives of Guggenheim Securities and Greenberg Traurig, as appropriate, and the DXL Board engaged in a discussion regarding the terms of the proposed transaction, the results of the transaction process, and the factors supporting the DXL Board’s determination that the proposed transaction is in the best interests of DXL and its stockholders. After such presentations and discussions, the DXL Board voted unanimously to approve the resolutions which, among other things, formally approved the merger agreement and related matters and authorized management, with the assistance of counsel, to finalize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December 10, 2025 DXL Board meeting, representatives of Greenberg Traurig, Guggenheim Securities, Cleary Gottlieb and Rothschild worked throughout the evening of December 10 and into the morning of December 11 to finalize the merger agreement and all related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December 11, 2025, the DXL Board re-convened by videoconference, with representatives from Guggenheim Securities and Greenberg Traurig present, and discussed the execution version of the merger agreement and transaction documents, including any edits from those reviewed at the December 10 DXL Board meeting. After review and discussion of the final merger agreement, the DXL Board voted unanimously to approve the resolutions, which, among other things, formally approved the definitive merger agreement and related matters and authorized management, with the assistance of counsel, to execute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Later that same day, representatives of DXL, Merger Sub, and FBB executed the merger agreement. Concurrently with the execution of the merger agreement, certain directors and stockholders of DXL executed voting agreements, and certain stockholders of FBB executed lock-up agreements. Immediately following the execution of the merger agreement, FBB delivered the FBB stockholder written consents approving the FBB stockholder matters, including approval of the merger. Later that afternoon, the transaction was publicly announced and representatives of DXL and FBB held a joint webcast for investors.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2026, DXL received an unsolicited takeover proposal (“unsolicited proposal”) from Zodiac Partners, a private holding company and an acquisition entity of Camac Partners, a registered investment firm based in Florida. On the same day, DXL shared the unsolicited proposal with Guggenheim Securities and Greenberg Traurig, and on January 10, 2026, DXL shared the unsolicited proposal with FBB.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2026, the DXL Board met by videoconference, with representatives from Guggenheim Securities and Greenberg Traurig present, to discuss the unsolicited proposal and the material terms included therein, including the take-private proposal in an all-cash transaction and the acquisition price of $1.25 per share. The DXL Board carefully reviewed and considered the unsolicited proposal in accordance with the terms of the merger agreement and in consideration of its fiduciary duties under Delaware law. The DXL Board also consulted with outside legal and financial advisors. Following such consultation and deliberation among the members of the DXL Board, the DXL Board determined that the unsolicited proposal did not represent the best value or course of action for DXL stockholders, did not constitute a DXL Superior Proposal (as defined in the merger agreement), and was not reasonably likely to lead to a DXL Superior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20, 2026, representatives of Guggenheim Securities, at the direction of the DXL Board, had a telephone conference with representatives of Zodiac Partners to inform Zodiac Partners of the DXL Board’s decision to not take any action with respect to the unsolicited proposal for the reasons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Guggenheim Securities received a follow-up letter from Zodiac Partners addressed to the DXL Board, which reaffirmed Zodiac Partners’ continued interest in DXL and sought a limited due diligence process, and promptly shared the letter with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2026, representatives of Greenberg Traurig, at the direction of the DXL Board, sent a response letter to Zodiac Partners setting forth the reasons why the DXL Board came to its determination to not take any actions with respect to the unsolicited proposal, including the DXL Board’s fiduciary duties under Delaware law as well as its determination that the unsolicited proposal did not constitute a DXL Superior Proposal under the merger agreement and was not likely to lead to a DXL Superior Proposal. Following such response letter, DXL did not engage in further negotiations with Zodiac Partners and did not provide Zodiac Partners with access to non-public information regarding DXL.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the chief financial officer of DXL executed a voting agreement with FBB. </w:t>
      </w:r>
    </w:p>
    <w:p>
      <w:pPr>
        <w:pStyle w:val="TextBody"/>
        <w:bidi w:val="0"/>
        <w:spacing w:before="240" w:after="0"/>
        <w:jc w:val="left"/>
        <w:rPr>
          <w:rFonts w:ascii="Times New Roman" w:hAnsi="Times New Roman"/>
          <w:sz w:val="20"/>
        </w:rPr>
      </w:pPr>
      <w:r>
        <w:rPr>
          <w:rFonts w:ascii="Times New Roman" w:hAnsi="Times New Roman"/>
          <w:sz w:val="20"/>
        </w:rPr>
        <w:t xml:space="preserve">On May 11, 2026, DXL notified Mr. Kanter that it did not intend to renew his employment agreement. This notification was provided in accordance with Mr. Kanter’s expressed desire to retire, and as required by his employment agreement. Accordingly, Mr. Kanter’s employment agreement expired, and his employment with DXL terminated, on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Zodiac Partners commenced a tender offer (the “Zodiac tender offer”) to acquire all outstanding shares of DXL common stock at a price of $0.82 per share in cash, subject to the terms and conditions set forth in the Offer to Purchase on Schedule TO filed with the U.S. Securities and Exchange Commission (the “SEC”). On the same date, DXL delivered a notice to FBB pursuant to the Merger Agreement informing FBB of the commencement of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On May 13, 2026, the DXL Board met by videoconference, with representatives from Guggenheim Securities and Greenberg Traurig present, to discuss the Zodiac tender offer and the terms thereof. The DXL Board discussed its fiduciary duties to stockholders in connection with the proposed Zodiac tender offer as well as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20, 2026, the DXL Board met by videoconference, with representatives from Greenberg Traurig present. In connection with the DXL Board’s evaluation of the Zodiac tender offer, DXL’s senior management updated certain previously prepared financial projections for DXL for the fiscal period ending January 31, 2035, which included projected revenues, operating income, capital expenditures, cost reductions, working capital requirements and other relevant financial metrics over such period. The projections had been reasonably prepared on bases reflecting the best then-currently available estimates and judgments of DXL’s senior management as to the expected future performance of DXL. The DXL Board discussed and approved these projections and determined to instruct Guggenheim Securities to use these projections in its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DXL filed a Solicitation/Recommendation Statement on Schedule 14D-9C with the SEC, which included a press release stating that the DXL Board was evaluating the Zodiac tender offer in consultation with its financial and legal advisors and advising stockholders to take no action at that time pending such evaluation. </w:t>
      </w:r>
    </w:p>
    <w:p>
      <w:pPr>
        <w:pStyle w:val="TextBody"/>
        <w:bidi w:val="0"/>
        <w:spacing w:before="240" w:after="0"/>
        <w:jc w:val="left"/>
        <w:rPr>
          <w:rFonts w:ascii="Times New Roman" w:hAnsi="Times New Roman"/>
          <w:sz w:val="20"/>
        </w:rPr>
      </w:pPr>
      <w:r>
        <w:rPr>
          <w:rFonts w:ascii="Times New Roman" w:hAnsi="Times New Roman"/>
          <w:sz w:val="20"/>
        </w:rPr>
        <w:t xml:space="preserve">Also on May 22, 2026, DXL senior management met with Mr. Fogarty and Ryan Abren, chief financial officer of FBB, to discuss FBB’s long-range financial projections and the assumptions underlying those projections. During the meeting, DXL senior management sought additional information regarding FBB’s projected future growth, including the assumptions supporting projected improvements in operating performance, the outlook for FBB’s New Mall and Classic Mall businesses and assumptions relating to future acquisition opportunities.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discussed its expectations regarding macroeconomic conditions, customer trends and certain business initiatives that it believed would support future growth. Following the meeting, DXL senior management continued to evaluate the assumptions underlying the projections in light of FBB’s recent operating performance. </w:t>
      </w:r>
    </w:p>
    <w:p>
      <w:pPr>
        <w:pStyle w:val="TextBody"/>
        <w:bidi w:val="0"/>
        <w:spacing w:before="240" w:after="0"/>
        <w:jc w:val="left"/>
        <w:rPr>
          <w:rFonts w:ascii="Times New Roman" w:hAnsi="Times New Roman"/>
          <w:sz w:val="20"/>
        </w:rPr>
      </w:pPr>
      <w:r>
        <w:rPr>
          <w:rFonts w:ascii="Times New Roman" w:hAnsi="Times New Roman"/>
          <w:sz w:val="20"/>
        </w:rPr>
        <w:t>On May 24, 2026, the DXL Board met by videoconference, with representatives from Greenberg Traurig present. Following a request from DXL, FBB’s senior management updated certain previously prepared financial projections for FBB for the calendar year ending December 31, 2029, which included projected revenues, operating income, capital expenditures, cost reductions, working capital requirements and other relevant financial metrics over such period (these projections, as updated, being referred to herein as the May 2026 FBB-Provided Financial Projections (as defined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senior management updated the DXL Board on discussions had with FBB management regarding the May 2026 FBB-Provided Financial Projections and the underlying assumptions made by FBB management in the preparation of such financial projections. In addition, DXL’s senior management updated the May 2026 FBB-Provided Financial Projections to extend them through the calendar year ending December 31, 2034 and to adjust for other assumptions regarding macroeconomic conditions, consumer retail conditions, future revenue growth and operating margins reflecting the best then-currently available estimates and judgments of DXL’s senior management as to the expected future performance of FBB. The DXL Board discussed such FBB financial projections, as revised by DXL senior management in similar nature and degree as adjustments made to the May 2025 FBB-Provided Financial Projections, and determined to scale back some of the adjustments made by DXL senior management in order to give greater effect to FBB’s assumptions and forecasts (such FBB financial projections, as updated by DXL senior management and as further updated by the DXL Board are included and a part of the May 2026 DXL-Provided Financial Projections). The DXL Board discussed and approved the May 2026 DXL-Provided Financial Projections and determined to instruct Guggenheim Securities to use the May 2026 DXL-Provided Financial Projections in its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On May 25, 2026, the DXL Board met by videoconference, with representatives from Guggenheim Securities, Greenberg Traurig and Joele Frank, Wilkinson Brimmer Katcher (“Joele Frank”) present. The DXL Board discussed the status of the Zodiac tender offer, including the timeline for DXL’s responses and the legal requirements relating to the Schedule 14D-9. Representatives of Greenberg Traurig reviewed fiduciary duty considerations applicable to the DXL Board in evaluating the Zodiac tender offer, as well as the provisions of the merger agreement relating to a potential change of recommendation and the termination fee that would be payable to FBB in certain circumstances pursuant to the merger agreement. In connection with the DXL Board’s evaluation of the Zodiac tender offer and its continuing evaluation of the merger, the DXL Board, together with its advisors, reviewed and discussed the May 2026 DXL-Provided Financial Projections. The DXL Board, together with its advisors, also discussed the material assumptions underlying the May 2026 DXL-Provided Financial Projections, including assumptions regarding macroeconomic conditions, consumer retail conditions, future revenue growth and operating margins, the nature and degree of adjustments to certain assumptions and forecasts underlying FBB’s May 2026 FBB-Provided Financial Projections following discussions with DXL senior management, as well as the inherent uncertainties associated with such projections. Guggenheim Securities was previously directed by the DXL Board to rely upon the May 2026 DXL-Provided Financial Projections in connection with the preparation of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Following that discussion, and to facilitate the DXL Board’s continuing evaluation of the merger, representatives of Guggenheim Securities reviewed with the DXL Board the May 2026 Supplemental Financial Analyses. Guggenheim Securities further advised the DXL Board that, in light of the May 2026 DXL-Provided Financial Projections, the May 2026 Synergy Estimates and the May 2026 Supplemental Financial Analyses (as such terms are defined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Guggenheim Securities also delivered to the DXL Board a copy of its conflicts disclosure letter, dated May 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2026, summarizing the material relationships that Guggenheim Securities has with FBB, Zodiac Partners and other parties affiliated with FBB and Zodiac Partners.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DXL Board met by videoconference, with representatives from Guggenheim Securities, Greenberg Traurig and Joele Frank present. The DXL Board revisited and reiterated everything discussed at the May 25, 2026 meeting. Following such discussion, the DXL Board (i) determined that the Zodiac tender offer is not in the best interests of DXL and its stockholders, (ii) recommended that stockholders reject the Zodiac tender offer and not tender their shares of DXL common stock pursuant to the Zodiac tender offer, (iii) determined that the merger and the transactions contemplated by the merger agreement are no longer in the best interests of DXL and its stockholders and (iv) determined that not withdrawing its recommendation to DXL’s stockholders that they approve the issuance proposal would be reasonably expected to violate the fiduciary duties of DXL’s directors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Also on May 26, 2026, DXL filed a Solicitation/Recommendation Statement on Schedule 14D-9 with the SEC, setting forth the DXL Board’s recommendation with respect to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Pursuant to DXL’s determination and resolutions, on the same day, DXL delivered a notice to FBB pursuant to Section 5.06(f) of the merger agreement informing FBB of the DXL Board’s determination of its intent to effect a DXL Adverse Recommendation Change (the “notice”). In the notice, the DXL Board stated that, after consulting with its financial advisor and outside counsel, and taking into account updated financial analyses, it had determined that such action was necessary to comply with its fiduciary duties under applicable law. Subsequent to the delivery of the notice, DXL management and FBB management teams engaged in discussions regarding the DXL Board’s determination and the terms of the merger agreement, although FBB did not propose any modifications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Zodiac Partners filed Amendment No. 1 to its Tender Offer Statement on Schedule TO with the SEC, amending and supplementing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DXL received a comment letter from the staff of the Division of Corporation Finance of the SEC in connection with DXL’s Solicitation/Recommendation Statement on Schedule 14D-9 filed on May 26, 2026. In the comment letter, the SEC staff requested that DXL revise its disclosure to (i) provide additional detail regarding the financial analyses of Guggenheim Securities, including a more comprehensive description of such analyses, the underlying long-term forecasts and the material assumptions and limitations associated therewith, and (ii) revise or delete references to the Private Securities Litigation Reform Act of 1995 in light of the inapplicability of the forward-looking statement safe harbor provisions to statements made in connection with a tender offer. </w:t>
      </w:r>
    </w:p>
    <w:p>
      <w:pPr>
        <w:pStyle w:val="TextBody"/>
        <w:bidi w:val="0"/>
        <w:spacing w:before="240" w:after="0"/>
        <w:jc w:val="left"/>
        <w:rPr>
          <w:rFonts w:ascii="Times New Roman" w:hAnsi="Times New Roman"/>
          <w:sz w:val="20"/>
        </w:rPr>
      </w:pPr>
      <w:r>
        <w:rPr>
          <w:rFonts w:ascii="Times New Roman" w:hAnsi="Times New Roman"/>
          <w:sz w:val="20"/>
        </w:rPr>
        <w:t xml:space="preserve">Between May 28, 2026 and May 31, 2026, representatives of Guggenheim Securities, at the direction of the DXL Board, had a series of telephone conferences with representatives of Rothschild to discuss the DXL Board’s reasons for changing its recommendation regarding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DXL senior management and FBB management met by videoconference, with representatives of Guggenheim Securities and Rothschild present, to discuss the May 2026 FBB-Provided Financial Projections and FBB initiatives, including strategic marketing initiatives. During the meeting, FBB management presented information regarding certain contemplated cost-reduction initiatives and sales-growth initiatives that FBB believed would support its projected future performance. DXL senior management discussed with FBB management the extent to which such initiatives were reflected in FBB’s projections, the assumptions supporting their implementation and the expected impact of such initiatives on FBB’s future operating performance. Following the meeting, DXL senior management continued to evaluate the extent to which the cost-reduction and sales-growth initiatives described by FBB management supported the assumptions underlying the May 2026 FBB-Provided Financial Projections and FBB’s projected future operating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morning of June 2, 2026, the DXL Board met by videoconference, with representatives from Guggenheim Securities, Greenberg Traurig and Joele Frank present. DXL senior management updated the DXL Board on its June 1, 2026 meeting with FBB management. Representatives of Guggenheim Securities updated the DXL Board on their recent discussions with Rothschild. The DXL Board discussed the May 2026 DXL-Provided Financial Projections for DXL and FBB and the May 2026 FBB-Provided Financial Projections, the May 2026 Supplemental Financial Analyses, the increasingly challenging consumer environment since the execution of the merger agreement, and FBB’s indebtedness. </w:t>
      </w:r>
    </w:p>
    <w:p>
      <w:pPr>
        <w:pStyle w:val="TextBody"/>
        <w:bidi w:val="0"/>
        <w:spacing w:before="240" w:after="0"/>
        <w:jc w:val="left"/>
        <w:rPr>
          <w:rFonts w:ascii="Times New Roman" w:hAnsi="Times New Roman"/>
          <w:sz w:val="20"/>
        </w:rPr>
      </w:pPr>
      <w:r>
        <w:rPr>
          <w:rFonts w:ascii="Times New Roman" w:hAnsi="Times New Roman"/>
          <w:sz w:val="20"/>
        </w:rPr>
        <w:t xml:space="preserve">In evaluating the May 2026 FBB-Provided Financial Projections, the DXL Board considered DXL senior management’s assessment of the assumptions underlying those projections and FBB management’s explanations regarding its projected performance. DXL senior management advised the DXL Board that it did not believe the May 2026 FBB-Provided Financial Projections reflected the most likely future performance of FBB. In reaching this assessment, DXL senior management considered, among other things, that the projections assumed a significant improvement in FBB’s sales performance following more than four consecutive years of double-digit sales declines, notwithstanding a 10.7% decline in FBB’s comparable sales during the first quarter of fiscal 2026. DXL senior management also questioned whether FBB had identified initiatives sufficient to support the projected improvement, particularly for FBB’s Classic Mall business, and noted that the future acquisition revenue included in the projections was not attributable to any specifically identified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also considered DXL senior management’s concerns regarding the potential pressure on FBB’s gross margin resulting from the projected faster growth of FBB’s lower-margin New Mall business relative to its higher-margin Classic Mall business, as well as DXL senior management’s understanding, based on discussions with FBB management, that FBB management had characterized the May 2026 FBB-Provided Financial Projections as dependent on a constructive macroeconomic environment and as having an approximately 50% likelihood of achievement. DXL senior management further advised the DXL Board that, at the June 1, 2026 meeting, FBB management for the first time presented its standalone long-range plan to DXL management, including key initiatives and contemplated cost-structure adjustments, which included approximately $12.8 million of contemplated cost reductions and six sales initiatives. DXL senior management questioned why the contemplated cost reductions had not been identified during the parties’ prior discussions, whether those reductions were included in FBB’s standalone projections or duplicated anticipated merger synergies, and how FBB could implement the newly presented sales initiatives without increasing the marketing expenditures assumed in the projections. DXL senior management further advised the DXL Board that it remained unconvinced that the information presented by FBB management supported an upward revision to the financial projections for FBB previously developed by DXL senior management or otherwise warranted a change to DXL senior management’s assessment of FBB’s financial outlook. </w:t>
      </w:r>
    </w:p>
    <w:p>
      <w:pPr>
        <w:pStyle w:val="TextBody"/>
        <w:bidi w:val="0"/>
        <w:spacing w:before="240" w:after="0"/>
        <w:jc w:val="left"/>
        <w:rPr>
          <w:rFonts w:ascii="Times New Roman" w:hAnsi="Times New Roman"/>
          <w:sz w:val="20"/>
        </w:rPr>
      </w:pPr>
      <w:r>
        <w:rPr>
          <w:rFonts w:ascii="Times New Roman" w:hAnsi="Times New Roman"/>
          <w:sz w:val="20"/>
        </w:rPr>
        <w:t xml:space="preserve">Based on DXL senior management’s assessment and the other information and analyses reviewed by the DXL Board, the DXL Board did not consider the May 2026 FBB-Provided Financial Projections to be a reliable indication of FBB’s most likely future performance. The DXL Board nevertheless concluded that, even if the May 2026 FBB-Provided Financial Projections were accepted as correct and reliable, the DXL Board still could not recommend the merger as it is no longer advisable or in the best interests of DXL and its stockholders. The DXL Board (i) determined that the merger and the transactions contemplated by the merger agreement are not in the best interests of DXL and its stockholders, (ii) determined to withdraw its prior recommendation to DXL’s stockholders in favor of the merger and (iii) determined to recommend that DXL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Zodiac Partners filed Amendment No. 2 to its Tender Offer Statement on Schedule TO with the SEC, amending and supplementing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Also on June 2, 2026, Cleary Gottlieb delivered a written response to DXL’s May 26, 2026 notice, asserting that DXL’s actions constituted a breach of the merger agreement and requesting that DXL retract the notice and refrain from effecting an adverse recommendation change. In its response, FBB contended, among other things, that the DXL Board’s determination did not satisfy the requirements for an adverse recommendation change under the merger agreement and that DXL had failed to negotiate in good faith pursuant to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that evening, the DXL Board met by videoconference, with representatives from Guggenheim Securities, Greenberg Traurig and Joele Frank present. The DXL Board discussed the letter sent by Cleary Gottlieb on behalf of FBB that same day. The DXL Board reaffirmed its determination to recommend that DXL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DXL filed a Current Report on Form 8-K with the SEC providing an update regarding, among other things, the status of the merger and related matters. DXL publicly announced that the DXL Board had continued to evaluate the previously announced merger between DXL and FBB and was engaging with FBB in constructive discussions to determine the best path forward. DXL announced that, as part of its ongoing fiduciary duties to DXL’s stockholders, the DXL Board, with the assistance of external financial and legal advisors, had conducted a comprehensive ongoing evaluation of the merger. DXL further announced that, although the DXL Board continued to believe in the industrial logic of the combination, the DXL Board believed that the existing terms of the merger agreement were not in the best interests of DXL stockholders given the increasingly challenging consumer environment since the execution of the merger agreement in December 2025, FBB’s continuing decline in operating performance and financial results, and FBB’s indebtedness.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DXL, after evaluating the requested revisions by the SEC with the assistance of its legal and financial advisors, filed an amendment to its Schedule 14D-9 (Schedule 14D-9/A) with the SEC.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Greenberg Traurig was informed by the staff of the Division of Corporation Finance of the SEC that it had no further comments on DXL’s Schedule 14D-9.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Zodiac Partners filed Amendment No. 3 to its Tender Offer Statement on Schedule TO with the SEC, which continued to relate to its offer to acquire all outstanding shares of DXL common stock at $0.82 per share in cash and described the terms and conditions of the Zodiac tender offer, including sources of funds and related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Zodiac Partners filed Amendment No. 4 to its Tender Offer Statement on Schedule TO with the SEC, which continued to relate to its offer to acquire all outstanding shares of DXL common stock, increased the offer price to $0.84 per share in cash and further amended and supplemented the terms and conditions of the Zodiac tender offer, including sources of funds and related arrangements, including through an Amended Offer to Purchase and related materials.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 Current Report on Form 8-K with the SEC providing an update regarding the revised unsolicited Zodiac tender offer. In the Form 8-K, the DXL Board stated that it was evaluating the revised Zodiac tender offer with the assistance of its financial and legal advisors and advised DXL stockholders to take no action at that time pending review by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Amendment No. 2 to its Schedule 14D-9 with the SEC. The amendment supplemented and updated DXL’s prior disclosures in response to continuing developments relating to the Zodiac tender offer, the reasons for the DXL Board’s position, and other related disclosure.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representatives of Cleary Gottlieb, on behalf of FBB, delivered a letter to DXL asserting that DXL’s delays in preparing and filing the updated proxy statement were inconsistent with DXL’s obligations under the merger agreement, and that DXL’s actions had caused a significant risk that the merger could not be consummated by the termination date in the merger agreement. FBB further asserted that any failure to hold the stockholder vote by the termination date would have been caused solely by DXL’s ongoing delay, for which FBB would hold DXL responsible under the merger agreement, and requested that DXL take immediate steps to accelerate the preparation and filing of the proxy statement. FBB also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representatives of Greenberg Traurig, at the direction of the DXL Board, delivered a written response to FBB in response to Cleary Gottlieb’s June 2, 2026 letter. In its response, DXL disputed FBB’s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assertions that DXL had breached the merger agreement in connection with the DXL Board’s adverse recommendation change and stated that DXL had complied with its obligations under the merger agreement and that the DXL Board had acted in good faith, after consultation with its financial and legal advisors, in determining that a failure to change its recommendation would be reasonably expected to violate the fiduciary duties of DXL’s directors. DXL further stated that FBB had not proposed any changes to the terms of the merger agreement for the DXL Board to consider following delivery of the notice, which was required by the merger agreement for DXL to negotiate in good faith. DXL also stated that, although FBB had not proposed any changes to the terms of the merger agreement, DXL had nevertheless engaged in discussions with FBB and its advisors regarding the DXL Board’s concerns. DXL also reiterated its view that the merger was no longer in the best interests of DXL’s stockholders and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DXL entered into a Commitment Letter (the “Bank of America Commitment Letter”) with Bank of America, N.A. (“Bank of America”), pursuant to which Bank of America committed to provide the entire principal amount of the Combined ABL Facility, subject to the terms and conditions set forth therein. On July 1, DXL also entered into a Fee Letter with Bank of America, pursuant to which DXL agreed to pay certain fees to Bank of America in connection with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DXL Board met by videoconference, with representatives from Guggenheim Securities and Greenberg Traurig present. The DXL Board discussed the status of the revised Zodiac tender offer, including the timeline for DXL’s response and the legal requirements relating to the Schedule 14D-9. A representative of Greenberg Traurig discussed the fiduciary duties of the DXL Board in evaluating the revised Zodiac tender offer, as well as DXL’s continuing obligations under the merger agreement. The DXL Board also revisited and discussed the financial analyses previously prepared by Guggenheim Securities, each of which were also discussed by the DXL Board at its May 25, 2026 and May 26, 2026 meetings. Following such discussion, the DXL Board determined that the revised Zodiac tender offer was not in the best interests of DXL and its stockholders and recommended that stockholders reject the revised Zodiac tender offer and not tender their shares of DXL common stock pursuant to the revised Zodiac tender offer. The DXL Board further discussed the proxy statement and other merger-related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 Current Report on Form 8-K with the SEC announcing that the DXL Board, following a review with its financial and legal advisors, had unanimously determined that the revised Zodiac tender offer to acquire all outstanding shares of DXL common stock for $0.84 per share in cash was not advisable and not in the best interests of DXL and its stockholders. The DXL Board also unanimously recommended that DXL stockholders reject the revised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Amendment No. 3 to its Schedule 14D-9 with the SEC. The amendment updated DXL’s disclosure regarding the revised Zodiac tender offer and reflected the DXL Board’s determination, following consultation with its financial and legal advisors, that the revised Zodiac tender offer was not advisable and not in the best interests of DXL and its stockholders. The amendment also included additional disclosure regarding the background of the revised Zodiac tender offer and the DXL Board’s reasons for recommending that DXL stockholders reject the revised Zodiac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representatives of Greenberg Traurig, at the direction of the DXL Board, delivered a written response to FBB in response to Cleary Gottlieb’s June 29, 2026 letter. DXL disputed FBB’s assertions that DXL’s actions in connection with the preparation and filing of the proxy statement were inconsistent with DXL’s obligations under the merger agreement and asserted that DXL had complied with its obligations under the merger agreement. DXL also asserted that FBB’s account of the proxy statement preparation process omitted material facts, including the substantial revisions required following the DXL Board’s adverse recommendation change and delays in obtaining information, financial disclosures and other materials from FBB necessary to finalize the proxy statement. DXL further asserted that any delays in finalizing and filing the proxy statement were attributable to information and issues relating to FBB, rather than DXL, and that DXL had acted reasonably and promptly throughout the proxy statement preparation process. DXL objected to any suggestion that it had breached the merger agreement and reserved all rights and defenses available to it under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15, 2026, the DXL Board met by videoconference, with representatives from Guggenheim Securities and Greenberg Traurig present. The DXL Board discussed the current draft of the proxy statement, including revisions reflecting comments from FBB regarding its projections. Following discussion, the DXL Board determined that DXL management, with the assistance of Guggenheim Securities and Greenberg Traurig, should make certain additional revisions to the draft proxy statement before providing an updated draft to FBB for review.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DXL Board met by videoconference, with representatives from Guggenheim Securities and Greenberg Traurig present to review the latest draft of the proxy statement. Following discussion, the DXL Board authorized the filing of the preliminary proxy statement with the SEC. On the same day, DXL filed its preliminary proxy statement with the SEC. </w:t>
      </w:r>
    </w:p>
    <w:p>
      <w:pPr>
        <w:pStyle w:val="TextBody"/>
        <w:bidi w:val="0"/>
        <w:spacing w:before="240" w:after="0"/>
        <w:jc w:val="left"/>
        <w:rPr>
          <w:rFonts w:ascii="Times New Roman" w:hAnsi="Times New Roman"/>
          <w:sz w:val="20"/>
        </w:rPr>
      </w:pPr>
      <w:r>
        <w:rPr>
          <w:rFonts w:ascii="Times New Roman" w:hAnsi="Times New Roman"/>
          <w:sz w:val="20"/>
        </w:rPr>
        <w:t xml:space="preserve">On July 21, 2026, representatives of Cleary Gottlieb, on behalf of FBB, delivered a letter to DXL responding to DXL’s July 8, 2026 letter regarding the preparation of the proxy statement. In the letter, FBB set forth its views regarding the proxy statement process and the parties’ obligations under the merger agreement, requested that DXL agree to amend the End Date (as defined in the merger agreement) from September 11, 2026 to October 30, 2026, and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27, 2026, Zodiac Partners filed Amendment No. 5 to its Tender Offer Statement on Schedule TO with the SEC, which continued to relate to its offer to acquire all outstanding shares of DXL common stock for $0.84 per share in cash and further amended and supplemented disclosures relating to the Zodiac tender offer, including through an amended Offer to Purchase and related tender offer materials.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the DXL Board appointed Lionel F. Conacher, chairman of the DXL Board, to serve as interim chief executive officer, effective August 12, 2026, following the previously announced retirement of Mr. Kanter, the president and chief executive officer of DXL, effective August 11, 2026. In connection with Mr. Conacher’s appointment, the DXL Board also appointed Carmen R. Bauza to serve as lead independent director and approved certain changes to the membership and leadership of the audit committee and compensation committee, in each case effective as of August 12,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4, 2026, the DXL Board held a meeting, with representatives of Greenberg Traurig present. At the meeting, the DXL Board discussed FBB’s July 21, 2026 letter, including the assertions made therein regarding the proxy statement process, and reviewed with its legal advisors the parties’ respective rights and obligations under the merger agreement and applicable law. Following discussion, the DXL Board approved an extension of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2026, DXL filed a Current Report on Form 8-K announcing the appointment of Mr. Conacher as interim chief executive officer, the appointment of Ms. Bauza as lead independent director, certain changes to the membership and leadership of the audit committee and compensation committee matters. </w:t>
      </w:r>
    </w:p>
    <w:p>
      <w:pPr>
        <w:pStyle w:val="TextBody"/>
        <w:bidi w:val="0"/>
        <w:spacing w:before="240" w:after="0"/>
        <w:jc w:val="left"/>
        <w:rPr>
          <w:rFonts w:ascii="Times New Roman" w:hAnsi="Times New Roman"/>
          <w:sz w:val="20"/>
        </w:rPr>
      </w:pPr>
      <w:r>
        <w:rPr>
          <w:rFonts w:ascii="Times New Roman" w:hAnsi="Times New Roman"/>
          <w:sz w:val="20"/>
        </w:rPr>
        <w:t xml:space="preserve">On August 10, 2026, representatives of Greenberg Traurig, LLP, on behalf of DXL, delivered a response letter to FBB rejecting the assertions set forth in FBB’s July 21, 2026 letter and disputing FBB’s contention that DXL had delayed the preparation or filing of the proxy statement or otherwise breached its obligations under the merger agreement. DXL further set forth its views regarding the proxy statement process and the parties’ respective obligations under the merger agreement, including its view that FBB had breached the merger agreement, reserved all rights and remedies available under the merger agreement and advised FBB that the DXL Board had approved an extension of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14, 2026, DXL received a comment letter from the Staff of the SEC containing comments on the preliminary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18, 2026, FBB provided DXL with draft unaudited financial information for the quarter ended July 4, 2026. Later that day, Mr. Stratton, DXL’s chief financial officer, distributed a summary of the preliminary results to the DXL Board and noted that FBB’s reported revenue performance for the second quarter of fiscal 2026 appeared materially weaker than DXL management had expected. Mr. Stratton further advised the DXL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based on his preliminary review of the draft financial information, FBB’s full-year fiscal 2026 operating performance could be materially below prior expectations and below the levels contemplated by analyses previously reviewed by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DXL, the merger subsidiary and FBB entered into an amendment to the merger agreement amending the End Date from September 11, 2026 to October 30,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Mr. Fogarty contacted Mr. Conacher to advise him that FBB and the private placement investors had agreed to increase the size of the private placement, and to describe the additional debt-for-equity conversion and its expected effect on the indebtedness of the combined company. Mr. Fogarty indicated that the amendment represented the amount of additional debt-for-equity conversion that FBB was able to secure from the participating investors, notwithstanding FBB’s efforts to obtain a larger debt reduction. </w:t>
      </w:r>
    </w:p>
    <w:p>
      <w:pPr>
        <w:pStyle w:val="TextBody"/>
        <w:bidi w:val="0"/>
        <w:spacing w:before="240" w:after="0"/>
        <w:jc w:val="left"/>
        <w:rPr>
          <w:rFonts w:ascii="Times New Roman" w:hAnsi="Times New Roman"/>
          <w:sz w:val="20"/>
        </w:rPr>
      </w:pPr>
      <w:r>
        <w:rPr>
          <w:rFonts w:ascii="Times New Roman" w:hAnsi="Times New Roman"/>
          <w:sz w:val="20"/>
        </w:rPr>
        <w:t xml:space="preserve">On August 23, 2026, representatives of DXL received an executed copy of an omnibus amendment to the commitment and subscription agreements, dated August 21, 2026, entered into by FBB and the private placement investors. The amendment increased the aggregate purchase price of the private placement from approximately $92 million to approximately $107 million as a result of certain Charlesbank- and Deutsche Bank-affiliated investors agreeing to convert an additional $15.0 million of indebtedness under FBB’s term loan facility into equity through the debt-for-equity exchange. </w:t>
      </w:r>
    </w:p>
    <w:p>
      <w:pPr>
        <w:pStyle w:val="TextBody"/>
        <w:bidi w:val="0"/>
        <w:spacing w:before="240" w:after="0"/>
        <w:jc w:val="left"/>
        <w:rPr>
          <w:rFonts w:ascii="Times New Roman" w:hAnsi="Times New Roman"/>
          <w:sz w:val="20"/>
        </w:rPr>
      </w:pPr>
      <w:r>
        <w:rPr>
          <w:rFonts w:ascii="Times New Roman" w:hAnsi="Times New Roman"/>
          <w:sz w:val="20"/>
        </w:rPr>
        <w:t xml:space="preserve">On August 24, 2026, Zodiac Partners filed Amendment No. 6 to its Tender Offer Statement on Schedule TO with the SEC reporting the final results of its tender offer for DXL common stock. The filing disclosed that approximately 23% of DXL’s outstanding shares had been validly tendered and not withdrawn prior to the expiration of the tender offer. The filing further disclosed that the tender offer expired on August 21, 2026 without the purchase of any shares and that Zodiac had elected not to extend the tender offer. </w:t>
      </w:r>
    </w:p>
    <w:p>
      <w:pPr>
        <w:pStyle w:val="TextBody"/>
        <w:bidi w:val="0"/>
        <w:spacing w:before="240" w:after="0"/>
        <w:jc w:val="left"/>
        <w:rPr>
          <w:rFonts w:ascii="Times New Roman" w:hAnsi="Times New Roman"/>
          <w:sz w:val="20"/>
        </w:rPr>
      </w:pPr>
      <w:r>
        <w:rPr>
          <w:rFonts w:ascii="Times New Roman" w:hAnsi="Times New Roman"/>
          <w:sz w:val="20"/>
        </w:rPr>
        <w:t xml:space="preserve">On August 30, 2026, the DXL Board met, together with representatives of Greenberg Traurig, to discuss the proxy statement and developments relating to FBB’s financial condition. The DXL Board reviewed FBB’s financial results for the second fiscal quarter of 2026 and discussed the continued deterioration in FBB’s operating performance, including lower-than-expected sales and financial results. The DXL Board also focused extensively on FBB’s increased indebtedness since execution of the merger agreement, including the significant increase in borrowings under FBB’s asset-based lending facility and the resulting impact on the anticipated post-closing leverage profile of the combined company. The DXL Board acknowledged the additional $15 million debt-for-equity conversion reflected in the amendment to the private placement commitments that occurred in August 2026; however, the DXL Board expressed the view that the additional debt conversion was substantially outweighed by FBB’s continued increase in indebtedness and did not materially improve the DXL Board’s assessment of FBB’s leverage, liquidity position or the anticipated post-closing financial profile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DXL management also provided an update regarding the Combined ABL Facility contemplated by the Bank of America Commitment Letter, including that the commitments thereunder are scheduled to expire on October 14, 2026 (unless earlier terminated in accordance with their terms) and that, if the merger is not completed and the Combined ABL Facility is not established before the applicable expiration date, the commitments would expire unless extended or renewed by Bank of America. DXL management further discussed the risks associated with obtaining any extension, renewal or replacement financing, particularly in light of FBB’s continued deterioration in operating performance and financial condition, its increased indebtedness since execution of the merger agreement and the possibility that any replacement financing could be less favorable than the financing currently contemplated by the Bank of America Commitment Letter. The DXL Board discussed the potential impact that the expiration of the commitments, or the inability to obtain comparable financing, could have on the completion of the merger and the anticipated post-closing liquidity, financial flexibility and financial profile of the combined company. The DXL Board further discussed that, notwithstanding the additional debt conversion, FBB’s operating performance, financial condition and indebtedness had continued to deteriorate since the DXL Board’s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June 2, 2026 determination to change its recommendation with respect to the issuance proposal. The DXL Board concluded that the developments reviewed at the meeting reinforced, and in certain respects heightened, the concerns that had led to its determination that the merger was no longer advisable or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 2026, DXL filed amendment no. 1 to the preliminary proxy statement with the SEC reflecting, among other things, revisions made in response to the comments received from the Staff in its August 14, 2026 comment letter.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2026, DXL received a comment letter from the Staff of the SEC relating to amendment no. 1 to the preliminary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18, 2026, representatives of DXL and FBB participated in a call with Bank of America regarding the Combined ABL Facility. Bank of America reiterated its concerns regarding FBB’s recent business trends and the projected liquidity profile of the combined company and advised that it was unwilling to extend its commitment beyond October 14, 2026 without movement on the transaction terms to address those concerns. DXL management was informed that FBB’s term loan lenders were open to permitting interest on the approximately $260 million term loan to be paid in kind for the first six months following closing and deferring scheduled principal payments for the same period. Bank of America indicated that it had not determined whether those proposed concessions would satisfy its credit committee and that it would reevaluate the projected liquidity profile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2026, the DXL Board met, together with representatives of Greenberg Traurig and Guggenheim Securities, to discuss developments relating to FBB’s operating performance, financial condition and liquidity, as well as considerations relating to the merger agreement. As part of its update, DXL management reported that FBB’s adjusted EBITDA had materially decreased during the first eight months of 2026 and remained significantly below projected levels, and that FBB had not successfully resolved liquidity challenges arising from its level of indebtedness. DXL management also provided an update on discussions with Bank of America relating to the Combined ABL Facility, including Bank of America’s concerns regarding FBB’s recent business trends and the projected liquidity profile of the combined company, its unwillingness to extend its commitments beyond October 14, 2026 without changes to the terms of the contemplated financing and its ongoing evaluation of certain proposed modifications to the contemplated financing structure. DXL management further reported on potential measures to address FBB’s near-term liquidity needs and whether those would address FBB’s longer-term liquidity challenges or its broader financial condition, each of which was expected to continue to present significant challenges to FBB’s financial condition and ability to maintain operations. The DXL Board then engaged in a detailed discussion with representatives of Greenberg Traurig regarding developments relating to FBB, the DXL Board’s fiduciary duties and DXL’s rights and obligations under the merger agreement. </w:t>
      </w:r>
    </w:p>
    <w:p>
      <w:pPr>
        <w:pStyle w:val="TextBody"/>
        <w:bidi w:val="0"/>
        <w:spacing w:before="360" w:after="0"/>
        <w:jc w:val="left"/>
        <w:rPr>
          <w:rFonts w:ascii="Times New Roman" w:hAnsi="Times New Roman"/>
          <w:b/>
          <w:sz w:val="20"/>
        </w:rPr>
      </w:pPr>
      <w:bookmarkStart w:id="18" w:name="tx76201_16"/>
      <w:bookmarkEnd w:id="18"/>
      <w:r>
        <w:rPr>
          <w:rFonts w:ascii="Times New Roman" w:hAnsi="Times New Roman"/>
          <w:b/>
          <w:sz w:val="2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rPr>
      </w:pPr>
      <w:r>
        <w:rPr>
          <w:rFonts w:ascii="Times New Roman" w:hAnsi="Times New Roman"/>
          <w:sz w:val="2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rPr>
      </w:pPr>
      <w:r>
        <w:rPr>
          <w:rFonts w:ascii="Times New Roman" w:hAnsi="Times New Roman"/>
          <w:sz w:val="2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The DXL Board now believes that the merger and transactions contemplated by the merger agreement (including the proposed stock issuance) are not in the best interests of DXL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Accordingly, the DXL Board unanimously recommends that DXL stockholders vote “AGAINST” the issuance proposal, “FOR” the reverse stock split proposal, “FOR” the 2016 plan proposal, and “FOR” the adjournment proposal. </w:t>
      </w:r>
    </w:p>
    <w:p>
      <w:pPr>
        <w:pStyle w:val="TextBody"/>
        <w:bidi w:val="0"/>
        <w:spacing w:before="120" w:after="0"/>
        <w:jc w:val="left"/>
        <w:rPr>
          <w:rFonts w:ascii="Times New Roman" w:hAnsi="Times New Roman"/>
          <w:sz w:val="20"/>
        </w:rPr>
      </w:pPr>
      <w:r>
        <w:rPr>
          <w:rFonts w:ascii="Times New Roman" w:hAnsi="Times New Roman"/>
          <w:sz w:val="20"/>
        </w:rPr>
        <w:t>As described above in “—</w:t>
      </w:r>
      <w:r>
        <w:rPr>
          <w:rFonts w:ascii="Times New Roman" w:hAnsi="Times New Roman"/>
          <w:i/>
          <w:sz w:val="20"/>
        </w:rPr>
        <w:t>Background of the Merger</w:t>
      </w:r>
      <w:r>
        <w:rPr>
          <w:rFonts w:ascii="Times New Roman" w:hAnsi="Times New Roman"/>
          <w:sz w:val="20"/>
        </w:rPr>
        <w:t xml:space="preserve">,” the DXL Transaction Committee was reconstituted on January 17, 2025 to include all members of the DXL Board, and accordingly all references to the DXL Transaction Committee in the Background of the Merger section refer to the full DXL Board from that date forward. In reaching its decision in December 2025 to approve the merger agreement, the merger and the other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considerations associated with combining the businesses, operations and assets of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of the combined company following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Following its review in August 2026 of additional information regarding FBB’s deteriorating financial condition, continued decline in operating performance and significantly increased indebtedness, the DXL Board reaffirmed that determination, and reassessed the foregoing factors in light of developments since the execution of the merger agreement, including developments relating to market conditions, DXL’s business performance and updated information regarding FBB, and considered a number of additional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including whether the exchange ratio and resulting ownership allocation continued to reflect the relative values of DXL and FBB in light of developments following the execution of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increased execution risk and uncertainty associated with achieving projected operating performance and anticipated synergies. During the first half of 2026, the DXL Board determined that these conditions had become more challenging relative to the market conditions and assumptions considered when the DXL Board approved the merger agreement in December 2025 and evaluated the effect of those developments on the outlook for DXL, FBB and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importance of successful integration and execution in order to realize any projected benefits of the merger. In May 2026, the DXL Board reviewed updated information and analyses regarding FBB’s capital structure and indebtedness and reevaluated the effect of that indebtedness on the financial profile and financial flexibility of the combined company relative to the information and assumptions considered in December 2025. The DXL Board further considered that the additional $15 million debt-for-equity conversion reflected in the amendment to the private placement commitments that occurred in August 2026 did not materially improve the anticipated post-closing leverage profile or overall financial condition of the combined company. The DXL Board’s view was that FBB’s indebtedness and financial condition had deteriorated further since its June 2026 determination to change its recommendation with respect to the issuance proposal and that such developments reinforced, and in certain respects heightened, its concerns regarding FBB’s financial condition, future prospects and the advisability of the merger on its existing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the Combined ABL Facility and the resulting liquidity profile of the combined company. In August 2026, the DXL Board reviewed information regarding the Combined ABL Facility, including Bank of America’s concerns regarding FBB’s recent business trends and the projected liquidity profile of the combined company, the scheduled October 14, 2026 expiration of the related commitments and the risks associated with obtaining an extension, renewal or replacement financing. The DXL Board also considered the possibility that the combined company may not have access to the liquidity contemplated by the Combined ABL Facility and that any replacement financing, if available, could be on terms materially less favorable than those currently contemplated. The DXL Board viewed these developments as further increasing the financial and execution risks associated with the merger and the anticipated post-closing liquidity, financial flexibility and financial profile of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view that the May 2026 FBB-Provided Financial Projections did not represent the most likely future performance of FBB. In reaching this conclusion, the DXL Board considered DXL senior management’s assessment of the assumptions underlying those projections, including projected improvements in FBB’s sales performance following more than four consecutive years of double-digit sales declines, notwithstanding a 10.7% decline in comparable sales during the first quarter of fiscal 2026. The DXL Board also considered DXL senior management’s concerns regarding the assumptions supporting projected improvements in FBB’s Classic Mall business, the inclusion of projected acquisition-related revenue that was not attributable to specifically identified acquisition opportunities and certain assumptions regarding FBB’s projected operating performance and profitability. The DXL Board further considered information presented by FBB management on June 1, 2026 regarding certain proposed cost-reduction and sales initiatives, but determined, based on DXL senior management’s assessment, that such information did not alter the DXL Board’s negative view regarding the reliability of the May 2026 FBB-Provided Financial Projections as an indication of FBB’s most likely future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increased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In reaching this view, the DXL Board considered, among other things, the May 2026 Supplemental Financial Analyses, which indicated that, under certain assumptions and methodologies, FBB could have limited or potentially negative equity value. The DXL Board had not considered analyses indicating a potential negative equity value for FBB when it approved the merger agreement in December 2025 and therefore evaluated whether those analyses affected the valuation assumptions underlying the merger agreement and the relative value attributed to FBB. See the section entitled “</w:t>
            </w:r>
            <w:r>
              <w:rPr>
                <w:rFonts w:ascii="Times New Roman" w:hAnsi="Times New Roman"/>
                <w:i/>
                <w:sz w:val="20"/>
              </w:rPr>
              <w:t>The Merger—May 2026 Supplemental Financial Analyses Prepared by Guggenheim Securities, Financial Advisor to DXL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economic dilution that DXL stockholders would experience if the merger were consummated on its existing terms. Although the ownership allocation contemplated by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 had not changed, the DXL Board’s assessment of the economic effect of that ownership allocation changed in light of the updated information and analyses reviewed in May 2026. In particular, the DXL Board reevaluated whether the percentage of the combined company that would be held by DXL stockholders remained appropriate and continued to reflect the relative values of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May 2026 Supplemental Financial Analyses</w:t>
            </w:r>
            <w:r>
              <w:rPr>
                <w:rFonts w:ascii="Times New Roman" w:hAnsi="Times New Roman"/>
                <w:b/>
                <w:sz w:val="20"/>
              </w:rPr>
              <w:t>, 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this ongoing evaluation, the DXL Board also revisited the assumptions underlying the anticipated strategic, financial and operational benefits of the merger, including expected synergies, growth opportunities and integration-related efficiencies, and considered whether those assumptions remained achievable in light of the developments described above and the updated information and analyses reviewed by the DXL Board during the first half of 2026. In particular, the DXL Board considered whether the increasingly challenging consumer and retail environment, FBB’s continuing decline in operating performance and financial results, FBB’s indebtedness and the related execution risks, and the uncertainty regarding the availability of the Combined ABL Facility and the risk that the combined company may not have access to the liquidity contemplated by such facility or be able to obtain alternative financing on comparable terms, if at all, reduced the likelihood that the anticipated benefits of the merger could be achieved within the time periods and to the extent contemplated when the DXL Board approved the merger agreement in December 2025. </w:t>
      </w:r>
    </w:p>
    <w:p>
      <w:pPr>
        <w:pStyle w:val="TextBody"/>
        <w:bidi w:val="0"/>
        <w:spacing w:before="240" w:after="0"/>
        <w:jc w:val="left"/>
        <w:rPr>
          <w:rFonts w:ascii="Times New Roman" w:hAnsi="Times New Roman"/>
          <w:sz w:val="20"/>
        </w:rPr>
      </w:pPr>
      <w:r>
        <w:rPr>
          <w:rFonts w:ascii="Times New Roman" w:hAnsi="Times New Roman"/>
          <w:sz w:val="20"/>
        </w:rPr>
        <w:t xml:space="preserve">The DXL Board’s concerns regarding FBB’s financial condition, operating performance, liquidity profile and future prospects were further reinforced by additional information received following the DXL Board’s June 2, 2026 determination to change its recommendation with respect to the issuance proposal. In particular, the DXL Board considered the continued deterioration in FBB’s operating performance and financial results, as well as the further increase in FBB’s indebtedness and the resulting effect on the anticipated post-closing financial profile of the combined company. The DXL Board concluded that, notwithstanding the additional $15 million debt-for-equity conversion reflected in the August 2026 amendment to the private placement commitments, FBB’s financial condition and indebtedness had deteriorated further since its June 2026 determination and that such developments reinforced, and in certain respects heightened, the concerns regarding FBB’s financial condition, operating performance and future prospects that had led to that determination. </w:t>
      </w:r>
    </w:p>
    <w:p>
      <w:pPr>
        <w:pStyle w:val="TextBody"/>
        <w:bidi w:val="0"/>
        <w:spacing w:before="240" w:after="0"/>
        <w:jc w:val="left"/>
        <w:rPr>
          <w:rFonts w:ascii="Times New Roman" w:hAnsi="Times New Roman"/>
          <w:sz w:val="20"/>
        </w:rPr>
      </w:pPr>
      <w:r>
        <w:rPr>
          <w:rFonts w:ascii="Times New Roman" w:hAnsi="Times New Roman"/>
          <w:b/>
          <w:sz w:val="20"/>
        </w:rPr>
        <w:t>The DXL Board determined that, taken together, the risks and uncertainties associated with the merger, including those described above and in the section entitled “</w:t>
      </w:r>
      <w:r>
        <w:rPr>
          <w:rFonts w:ascii="Times New Roman" w:hAnsi="Times New Roman"/>
          <w:b/>
          <w:i/>
          <w:sz w:val="20"/>
        </w:rPr>
        <w:t>Risk Factors</w:t>
      </w:r>
      <w:r>
        <w:rPr>
          <w:rFonts w:ascii="Times New Roman" w:hAnsi="Times New Roman"/>
          <w:b/>
          <w:sz w:val="20"/>
        </w:rPr>
        <w:t xml:space="preserve">,”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also considered the risks and uncertainties associated with the merger and concluded that, in light of developments since the execution of the merger agreement, those risks now outweigh the benefits of pursuing the merger on its current terms. These risks and uncertainties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existing terms of the merger agreement do not adequately address the deteriorating consumer environment, FBB’s continuing decline in operating performance and financial results, and FBB’s indebtedness, including the risk that continued deterioration in FBB’s financial condition and further increases in indebtedness could materially reduce the anticipated benefits of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combined company’s financial flexibility and leverage profile, and result in a post-closing financial condition materially worse than contemplated when the DXL Board approved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if the merger is not completed and the Combined ABL Facility is not established by October 14, 2026, the commitments under the Bank of America Commitment Letter will expire, that Bank of America may not agree to extend or renew such commitments in light of its concerns regarding FBB’s recent business trends and the projected liquidity profile of the combined company, and that any extension, renewal or replacement financing may be unavailable or materially less favorable in light of FBB’s deteriorating financial condition, operating performance and increased indebtedness, which could leave the combined company without access to the liquidity contemplated by the Combined ABL Facility and result in a post-closing financial profile materially worse than contemplated when the DXL Board approved the merger agreement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execution and integration challenges, leverage and market conditions could adversely affect DXL and, if the merger is consummated, the combined company and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advice from Guggenheim Securities to the DXL Board that based upon the updated information provided to Guggenheim Securities and current circumstances, the DXL Board should no longer rely on the December 2025 Opinion expressed in Guggenheim Securities’ December 10, 2025 letter to the DXL Board, or on the analyses Guggenheim Securities reviewed with the DXL Board at the December 10, 2025 DXL Board meeting in connection with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and resources and uncertainty affecting employees, customers and suppliers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transaction will not be completed, despite the expenditure of time and resources and notwithstanding deal protection provisions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anticipated benefits of the transaction would not be realized when expected, or at all, including as a result of the impact of, or difficulties arising from, the integration of the two companies or as a result of the strength of the economy, general market conditions and competitive factors in the areas where DXL and FBB operate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losing key employees during the pendency of the merger and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on the conduct of DXL’s business during the period between execution of the merger agreement and the consummation of the merger, which could potentially delay or prevent DXL from undertaking business opportunities that might arise or certain other actions it might otherwise take with respect to its operations absent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merger on DXL’s overall business, including its relationships with customers, employees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 stockholders would not be entitled to appraisal rights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encountering difficulties in achieving anticipated cost savings and operating synergies in the amounts currently estimated or within the time frame currently contemplated;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anticipated merger-related costs, which could be higher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contains certain restrictions on the ability of DXL to solicit proposals for alternative transactions or engage in discussions regarding such proposals, including the requirement for DXL to pay FBB a termination fee of $2.5 million and reimburse FBB’s expenses up to $950,000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legal claims challenging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may not be completed despite the combined efforts of DXL and FBB or that completion may be unduly delayed, including as a result of delays in obtaining the requisite approvals;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other risks described under the sections entitled “</w:t>
            </w:r>
            <w:r>
              <w:rPr>
                <w:rFonts w:ascii="Times New Roman" w:hAnsi="Times New Roman"/>
                <w:i/>
                <w:sz w:val="20"/>
              </w:rPr>
              <w:t>Cautionary Statement Regarding 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risks and factors considered by the DXL Board is not intended to be exhaustive but includes the material factors and risks considered by the DXL Board. In reaching its decision to approve the merger agreement and the transactions contemplated thereby, and following its ongoing evaluation and determination to withdraw its prior recommendation and recommend that stockholders vote against the issuance proposal, the DXL Board did not quantify or assign any relative weights to the factors considered, and individual directors may have given different weights to different factors. The DXL Board considered all these factors as a whole in its continued evaluation of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set forth above, the DXL Board has determined that the merger and the transactions contemplated by the merger agreement, including the issuance proposal, are not in the best interests of DXL and its stockholders and has withdrawn its prior recommendation in favor of the merger and the issuance proposal. </w:t>
      </w:r>
    </w:p>
    <w:p>
      <w:pPr>
        <w:pStyle w:val="TextBody"/>
        <w:bidi w:val="0"/>
        <w:spacing w:before="240" w:after="0"/>
        <w:jc w:val="left"/>
        <w:rPr>
          <w:rFonts w:ascii="Times New Roman" w:hAnsi="Times New Roman"/>
          <w:sz w:val="20"/>
        </w:rPr>
      </w:pPr>
      <w:r>
        <w:rPr>
          <w:rFonts w:ascii="Times New Roman" w:hAnsi="Times New Roman"/>
          <w:sz w:val="20"/>
        </w:rPr>
        <w:t>In considering the recommendation of the DXL Board, you should be aware that certain directors and executive officers of DXL may have interests in the merger that are different from, or in addition to, interests of DXL stockholders generally and may create potential conflicts of interest. The DXL Board was aware of these interests and considered them when evaluating and negotiating the merger agreement and the transactions contemplated thereby, and in making its recommendation to DXL stockholders. See “—</w:t>
      </w:r>
      <w:r>
        <w:rPr>
          <w:rFonts w:ascii="Times New Roman" w:hAnsi="Times New Roman"/>
          <w:i/>
          <w:sz w:val="20"/>
        </w:rPr>
        <w:t>Interests of DXL’s Directors and Executive Officers in the Merger</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FOR THE REASONS SET FORTH ABOVE, THE DXL BOARD UNANIMOUSLY RECOMMENDS THAT THE DXL STOCKHOLDERS VOTE (I) “AGAINST” THE ISSUANCE PROPOSAL, (II) “FOR” THE REVERSE STOCK SPLIT PROPOSAL, (III) “FOR” THE 2016 PLAN PROPOSAL AND (IV) “FOR” THE ADJOURNMENT PROPOSAL TO BE CONSIDERED AT THE SPECIAL MEETING. </w:t>
      </w:r>
    </w:p>
    <w:p>
      <w:pPr>
        <w:pStyle w:val="TextBody"/>
        <w:bidi w:val="0"/>
        <w:spacing w:before="360" w:after="0"/>
        <w:jc w:val="left"/>
        <w:rPr>
          <w:rFonts w:ascii="Times New Roman" w:hAnsi="Times New Roman"/>
          <w:b/>
          <w:sz w:val="20"/>
        </w:rPr>
      </w:pPr>
      <w:bookmarkStart w:id="19" w:name="tx76201_17"/>
      <w:bookmarkEnd w:id="19"/>
      <w:r>
        <w:rPr>
          <w:rFonts w:ascii="Times New Roman" w:hAnsi="Times New Roman"/>
          <w:b/>
          <w:sz w:val="20"/>
        </w:rPr>
        <w:t xml:space="preserve">December 2025 Opinion of Guggenheim Securities, Financial Advisor to DXL </w:t>
      </w:r>
    </w:p>
    <w:p>
      <w:pPr>
        <w:pStyle w:val="TextBody"/>
        <w:bidi w:val="0"/>
        <w:spacing w:before="120" w:after="0"/>
        <w:jc w:val="left"/>
        <w:rPr>
          <w:rFonts w:ascii="Times New Roman" w:hAnsi="Times New Roman"/>
          <w:sz w:val="20"/>
        </w:rPr>
      </w:pP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 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b/>
          <w:i/>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Overview of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selecting Guggenheim Securities as its financial advisor, the DXL Board considered that, among other things, Guggenheim Securities has had a long-standing investment banking relationship with DXL and is an internationally recognized investment banking, financial advisory and securities firm whose senior professionals have substantial experience advising companies in, among other industries, the retail and apparel industry.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At the December 10, 2025 meeting of the DXL Board, Guggenheim Securities rendered an oral opinion, which was confirmed by delivery of the December 2025 Opinion, to the DXL Board to the effect that, as of December 10, 2025 and based on and subject to the matters considered, the procedures followed, the assumptions made and various limitations of and qualifications to the review undertaken, the merger consideration was fair, from a financial point of view, to the stockholders of DXL. </w:t>
      </w:r>
    </w:p>
    <w:p>
      <w:pPr>
        <w:pStyle w:val="TextBody"/>
        <w:bidi w:val="0"/>
        <w:spacing w:before="240" w:after="0"/>
        <w:jc w:val="left"/>
        <w:rPr>
          <w:rFonts w:ascii="Times New Roman" w:hAnsi="Times New Roman"/>
          <w:sz w:val="20"/>
        </w:rPr>
      </w:pPr>
      <w:r>
        <w:rPr>
          <w:rFonts w:ascii="Times New Roman" w:hAnsi="Times New Roman"/>
          <w:sz w:val="20"/>
        </w:rPr>
        <w:t>This description of the December 2025 Opinion is qualified in its entirety by the full text of the December 2025 Opinion, which was rendered only on and as of December 10, 2025, and has not been and will not be updated, is attached as Annex B to this proxy statement and which you should read carefully and in its entirety, together with the May 2026 Supplemental Financial Analyses, as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The December 2025 Opinion sets forth the matters considered, the procedures followed, the assumptions made and various limitations of and qualifications to the review undertaken by Guggenheim Securities. The December 2025 Opinion, which was authorized for issuance by the Fairness Opinion and Valuation Committee of Guggenheim Securities,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In reading the discussion of the December 2025 Opinion set forth below, you should be aware that such opinion (and, as applicable, any materials provided in connection therewith or the summary of Guggenheim Securities’ underlying financial analyses elsewhere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to the DXL Board (in its capacity as such) for its information and assistance in connection with its evaluation of the merger consideration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constitute a recommendation to the DXL Board with respect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advice or a recommendation to any DXL stockholder as to how any DXL stockholder should vote or act in connection with the merger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address DXL’s underlying business or financial decision to pursue or effect the merger, the relative merits of the merger as compared to any alternative business or financial strategies that might exist for DXL or the effects of any other transaction in which DXL might engage;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addressed only the fairness, from a financial point of view and as of the date of such opinion, of the merger consideration to the extent expressly specified in such opinion;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(i) any other term, aspect or implication of (x) the merger (including, without limitation, the form or structure of the merger) or the merger agreement or (y) any other agreement, transaction document or instrument contemplated by the merger agreement or to be entered into or amended in connection with the merger or (ii) the fairness, financial or otherwise, of the merger to, or of any consideration to be paid to or received by, the holders of any class of securities (other than as expressly specified in such opinion), creditors or other constituencies of DXL or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the fairness, financial or otherwise, of the amount or nature of any compensation payable to or to be received by any of DXL’s or FBB’s directors, officers or employees, or any class of such persons, in connection with the merger relative to the merger consideration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DXL and FBB and their respective businesses and future prospects (including (i) certain financial projections for DXL on a standalone basis for the fiscal years ending January 31, 2026 through January 31, 2035, (ii) certain financial projections for FBB on a standalone basis for the calendar years ending December 31, 2025 through December 31, 2034, (iii) certain estimates as to potentially realizable existing net operating loss carry-forwards expected to be utilized by DXL and (iv) certain estimates as to potentially realizable benefits under Section 163(j) of the Code available and expected to be utilized by FBB (together, (i) through (iv), the “December 2025 DXL-Provided Financial Projections”) and certain other estimates and other forward-looking information), all as prepared by, discussed with and approved for Guggenheim Securities’ use by DXL’s senior management (collectively with the December 2025 Synergy Estimates (as defined below), the “December 2025 DXL-Provided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FBB and its business and future prospects (including certain financial projections for FBB on a standalone basis for the calendar years ending December 31, 2025 through December 31, 2029 (the “December 2025 FBB-Provided Financial Projections,” and together with the December 2025 DXL-Provided Financial Projections, the “December 2025 Financial Projections”) and certain other estimates and other forward-looking information), all as prepared by and discussed with FBB’s senior management and reviewed by, discussed with and approved for Guggenheim Securities’ use by DXL’s senior management (collectively, the “December 2025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“December 2025 Synergy Estimates” or the “December 2025 Synergies”), all as prepared by and discussed with DXL’s and FBB’s respective senior management and approved for Guggenheim Securities’ use by DXL’s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strategic and financial rationale for the merger as well as their then-current views regarding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DXL, FBB and the December 2025 Synergies based on the December 2025 DXL-Provided Financial Projections and the December 2025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financial results, financial condition and capitalization of DXL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Guggenheim Securities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the December 2025 Opinion,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by or discussed with DXL or FBB (including, without limitation, the December 2025 DXL-Provided Information and the December 2025 FBB-Provided Information)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December 2025 DXL-Provided Information or the December 2025 FBB-Provided Information), (ii) expressed no view or opinion regarding the reasonableness or achievability of the December 2025 Financial Projections, the December 2025 Synergy Estimates, any other estimates or any other forward-looking information provided by DXL or FBB or the assumptions upon which any of the foregoing were based and (iii) relied upon the assurances of DXL’s senior management that they were (in the case of the December 2025 DXL-Provided Information) and assumed that FBB’s senior management were (in the case of the December 2025 FBB-Provided Information) unaware of any facts or circumstances that had made the December 2025 DXL-Provided Information or the December 2025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December 2025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rendering its opinion, (ii) was advised by DXL’s senior management, and assumed, that the December 2025 Synergy Estimates had been (y) reasonably prepared on bases reflecting the then-best currently available estimates and judgments of DXL’s and FBB’s respective senior management as to the expected amounts and realization of the December 2025 Synergies and (z) reviewed by the DXL Board with the understanding that such information would be used and relied upon by Guggenheim Securities in connection with rendering its opinion, (iii) assumed that the December 2025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also noted certain other considerations with respect to its engagement and the rendering of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course of Guggenheim Securities’ engagement, Guggenheim Securities was asked by the DXL Board to solicit indications of interest from various potential third-party transaction counterparties regarding a potential extraordinary corporate transaction with or involving DXL, and Guggenheim Securities considered the results of such solicitation process in rendering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did not perform or obtain any independent appraisal of the assets or liabilities (including any contingent, derivative or off-balance sheet assets and liabilities) of DXL, FBB or any other entity or the solvency or fair value of DXL, FBB or any other entity, nor was Guggenheim Securities furnished with any such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professionals are not legal, regulatory, tax, consulting, accounting, appraisal or actuarial experts and the December 2025 Opinion should not be construed as constituting advice with respect to such matters; accordingly, Guggenheim Securities relied on the assessments of DXL’s senior management, FBB’s senior management and DXL’s other professional advisors with respect to such matters. Guggenheim Securities assumed that the merger will qualify, for U.S. federal income tax purposes, as a “reorganization” within the meaning of Section 368(a) of the Code. Guggenheim Securities did not express any view or render any opinion regarding the tax consequences of the merger to DXL, FBB or their respective securityholders.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further assumed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all respects meaningful to its analyses, (i) the final executed form of the merger agreement would not differ from the draft that Guggenheim Securities reviewed, (ii) DXL, FBB and merger subsidiary will comply with all terms and provisions of the merger agreement and (iii) the representations and warranties of DXL, FBB and merger subsidiary contained in the merger agreement were true and correct and all conditions to the obligations of each party to the merger agreement to consummate the merger would be satisfied without any waiver, amendment or modification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be consummated in a timely manner in accordance with the terms of the merger agreement and in compliance with all applicable legal and other requirements, without any delays, limitations, restrictions, conditions, waivers, amendments or modifications (regulatory, tax-related or otherwise) that would have an effect on DXL, FBB or the merger (including its contemplated benefits) in any way meaningful to Guggenheim Securities’ analyses and the December 2025 Opinion;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Concurrently with, but immediately prior to, the merger, those certain commitment and subscription agreements by and between FBB and the private placement investors will be consummated on the terms and subject to the conditions set forth in such commitment and subscription agreements, such that the aggregate amount of indebtedness of FBB upon consummation of the merger shall be as reflected in the December 2025 DXL-Provided Information.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Analyses in Connection with the December 2025 Opinion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w:t>
      </w:r>
      <w:r>
        <w:rPr>
          <w:rFonts w:ascii="Times New Roman" w:hAnsi="Times New Roman"/>
          <w:sz w:val="20"/>
        </w:rPr>
        <w:t xml:space="preserve">” presents a summary of the principal financial analyses performed by Guggenheim Securities and presented to the DXL Board in connection with Guggenheim Securities’ rendering of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Some of the financial analyses summarized below include summary data and information presented in tabular format. In order to understand fully such financial analyses, the summary data and tables must be read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full text of the summary. Considering the summary data and tables alone could create a misleading or incomplete view of Guggenheim Securities’ financial analyses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a fairness opinion is a complex process and involves various professional judgments and determinations as to the most appropriate and relevant financial analyses and the application of those methods to 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the December 2025 Opinion, which was rendered only on and as of December 10, 2025 and has not been and will not be updated.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its financial analyses on various assumptions, including assumptions concerning general economic, business and capital markets conditions and industry-specific and company-specific factors, all of which are beyond the control of DXL, FBB and Guggenheim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form a view or opinion as to whether any individual financial analysis or factor, whether positive or negative, considered in isolation, supported or failed to support its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the results of all its financial analyses and did not attribute any particular weight to any one financial analysis or factor;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arrived at the December 2025 Opinion based on the results of all its financial analyses assessed as a whole and believes that the totality of the factors considered and the various financial analyses performed by Guggenheim Securities in connection with the December 2025 Opinion operated collectively to support its determination as to the fairness, from a financial point of view and as of the date of such opinion, of the merger consideration, to the extent expressly specified in such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analyses performed by Guggenheim Securities in connection with rendering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Such financial analyses, particularly those based on estimates and projections, are not necessarily indicative of actual values or actual future results, which may be significantly more or less favorable than suggested by these analyses, including as set forth in the financial analyses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selected publicly traded companies used in the selected publicly traded companies analysis described below is identical or directly comparable to DXL or FBB. However, such companies were selected by Guggenheim Securities, among other reasons, because they represented publicly traded companies which may be considered broadly similar, for purposes of Guggenheim Securities’ financial analyses, to DXL or FBB based on Guggenheim Securities’ familiarity with the retail and apparel sector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event, selected publicly traded companies analysis is not mathematical. Rather, such analysis involves complex considerations and professional judgments concerning the differences in business, operating, financial and capital markets-related characteristics and other factors regarding the selected publicly traded companies to which DXL and FBB were compared.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financial analyses do not purport to be appraisals or to reflect the prices at which any securities may trade at the present time or at any time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below, (i) all of Guggenheim Securities’ financial analyses regarding FBB reflect the $92 million debt/equitization that FBB is obligated to effect under the terms and conditions of the merger agreement and (ii) all stock price data is as of December 9,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Certain Definitions in Connection with the December 2025 Opinion and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Throughout 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 and the section entitled “—May 2026 Supplemental Financial Analyses Prepared by Guggenheim Securities, Financial</w:t>
      </w:r>
      <w:r>
        <w:rPr>
          <w:rFonts w:ascii="Times New Roman" w:hAnsi="Times New Roman"/>
          <w:sz w:val="20"/>
        </w:rPr>
        <w:t xml:space="preserve"> </w:t>
      </w:r>
      <w:r>
        <w:rPr>
          <w:rFonts w:ascii="Times New Roman" w:hAnsi="Times New Roman"/>
          <w:i/>
          <w:sz w:val="20"/>
        </w:rPr>
        <w:t>Advisor to DXL,</w:t>
      </w:r>
      <w:r>
        <w:rPr>
          <w:rFonts w:ascii="Times New Roman" w:hAnsi="Times New Roman"/>
          <w:sz w:val="20"/>
        </w:rPr>
        <w:t xml:space="preserve">” the following defined terms are used in connection with Guggenheim Securities’ various financial analyses: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DCF: means discounted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means the relevant company’s operating earnings (after deduction of stock-based compensation) before interest, taxes, depreciation and amortization.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multiple: represents the relevant company’s Enterprise Value (as defined below) divided by its historical or projected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Enterprise Value or EV: represents the relevant company’s Equity Value (as defined below) plus (i) the principal or face amount of total debt and certain other debt-like items and (ii) the principal or face amount of any non-controlling/minority interests less (iii) excess cash, cash equivalents, and short- and long-term marketable investments and certain other cash-like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Value: represents the relevant company’s (i) gross equity value as calculated (a) based on outstanding common shares, restricted stock units and performance stock units (in each of the foregoing cases, as applicable) plus shares issuable upon the conversion or exercise of all in-the-money convertible securities, stock options and/or stock warrants times (b) the relevant company’s stock price less (ii) the cash proceeds from the assumed exercise of all in-the-money stock options and stock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means the relevant company’s after-tax unlevered operating cash flow minus capital expenditures and changes in working capital.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19"/>
        <w:gridCol w:w="325"/>
        <w:gridCol w:w="183"/>
        <w:gridCol w:w="579"/>
        <w:gridCol w:w="78"/>
        <w:gridCol w:w="358"/>
        <w:gridCol w:w="183"/>
        <w:gridCol w:w="583"/>
        <w:gridCol w:w="64"/>
      </w:tblGrid>
      <w:tr>
        <w:trPr/>
        <w:tc>
          <w:tcPr>
            <w:tcW w:w="621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21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964"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DXL on</w:t>
            </w:r>
            <w:r>
              <w:rPr/>
              <w:br/>
            </w:r>
            <w:r>
              <w:rPr>
                <w:b/>
              </w:rP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25"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1.79</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Tax Benefit</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1.58</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1.88</w:t>
            </w:r>
          </w:p>
        </w:tc>
        <w:tc>
          <w:tcPr>
            <w:tcW w:w="64" w:type="dxa"/>
            <w:tcBorders/>
            <w:vAlign w:val="bottom"/>
          </w:tcPr>
          <w:p>
            <w:pPr>
              <w:pStyle w:val="TableContents"/>
              <w:bidi w:val="0"/>
              <w:spacing w:before="0" w:after="283"/>
              <w:jc w:val="left"/>
              <w:rPr/>
            </w:pPr>
            <w:r>
              <w:rPr/>
              <w:t> </w:t>
            </w:r>
          </w:p>
        </w:tc>
      </w:tr>
      <w:tr>
        <w:trPr>
          <w:trHeight w:val="240" w:hRule="atLeast"/>
        </w:trPr>
        <w:tc>
          <w:tcPr>
            <w:tcW w:w="6219" w:type="dxa"/>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88" w:type="dxa"/>
            <w:gridSpan w:val="4"/>
            <w:tcBorders/>
            <w:vAlign w:val="center"/>
          </w:tcPr>
          <w:p>
            <w:pPr>
              <w:pStyle w:val="TableContents"/>
              <w:bidi w:val="0"/>
              <w:spacing w:before="0" w:after="283"/>
              <w:jc w:val="left"/>
              <w:rPr>
                <w:sz w:val="4"/>
                <w:szCs w:val="4"/>
              </w:rPr>
            </w:pPr>
            <w:r>
              <w:rPr>
                <w:sz w:val="4"/>
                <w:szCs w:val="4"/>
              </w:rPr>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25"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1.10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DXL Standalone Public Market Trading Valuation Based on the December 2025 DXL-Provided Financial Projections for DXL </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0.79</w:t>
            </w:r>
          </w:p>
        </w:tc>
        <w:tc>
          <w:tcPr>
            <w:tcW w:w="78"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December 2025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15.0% – 17.0%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analyses resulted in an overall reference range of (i) $1.50 – $1.79 per share for purposes of evaluating DXL common stock on a standalone intrinsic-value basis and (ii) $1.58 – $1.88 per share for purposes of evaluating DXL common stock on an intrinsic-value basis including the net present value of expected net operating loss tax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FBB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77"/>
        <w:gridCol w:w="267"/>
        <w:gridCol w:w="61"/>
        <w:gridCol w:w="728"/>
        <w:gridCol w:w="159"/>
        <w:gridCol w:w="270"/>
        <w:gridCol w:w="148"/>
        <w:gridCol w:w="597"/>
        <w:gridCol w:w="65"/>
      </w:tblGrid>
      <w:tr>
        <w:trPr/>
        <w:tc>
          <w:tcPr>
            <w:tcW w:w="6277"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65"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96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FBB on</w:t>
            </w:r>
            <w:r>
              <w:rPr/>
              <w:br/>
            </w:r>
            <w:r>
              <w:rPr>
                <w:b/>
              </w:rPr>
              <w:t>a Standalone</w:t>
            </w:r>
            <w:r>
              <w:rPr/>
              <w:br/>
            </w:r>
            <w:r>
              <w:rPr>
                <w:b/>
              </w:rPr>
              <w:t>Basis</w:t>
            </w:r>
            <w:r>
              <w:rPr/>
              <w:br/>
            </w:r>
            <w:r>
              <w:rPr>
                <w:i/>
              </w:rPr>
              <w:t>($ in millions)</w:t>
            </w:r>
          </w:p>
        </w:tc>
        <w:tc>
          <w:tcPr>
            <w:tcW w:w="65" w:type="dxa"/>
            <w:tcBorders/>
            <w:vAlign w:val="bottom"/>
          </w:tcPr>
          <w:p>
            <w:pPr>
              <w:pStyle w:val="TableContents"/>
              <w:bidi w:val="0"/>
              <w:spacing w:before="0" w:after="283"/>
              <w:jc w:val="left"/>
              <w:rPr/>
            </w:pPr>
            <w:r>
              <w:rPr/>
              <w:t> </w:t>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267" w:type="dxa"/>
            <w:tcBorders/>
            <w:vAlign w:val="bottom"/>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$97.3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144.8</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$107.0</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155.3</w:t>
            </w:r>
          </w:p>
        </w:tc>
        <w:tc>
          <w:tcPr>
            <w:tcW w:w="65" w:type="dxa"/>
            <w:tcBorders/>
            <w:vAlign w:val="bottom"/>
          </w:tcPr>
          <w:p>
            <w:pPr>
              <w:pStyle w:val="TableContents"/>
              <w:bidi w:val="0"/>
              <w:spacing w:before="0" w:after="283"/>
              <w:jc w:val="left"/>
              <w:rPr/>
            </w:pPr>
            <w:r>
              <w:rPr/>
              <w:t> </w:t>
            </w:r>
          </w:p>
        </w:tc>
      </w:tr>
      <w:tr>
        <w:trPr>
          <w:trHeight w:val="240" w:hRule="atLeast"/>
        </w:trPr>
        <w:tc>
          <w:tcPr>
            <w:tcW w:w="6277"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267" w:type="dxa"/>
            <w:tcBorders/>
            <w:vAlign w:val="bottom"/>
          </w:tcPr>
          <w:p>
            <w:pPr>
              <w:pStyle w:val="TableContents"/>
              <w:bidi w:val="0"/>
              <w:spacing w:before="0" w:after="283"/>
              <w:jc w:val="left"/>
              <w:rPr/>
            </w:pPr>
            <w:r>
              <w:rPr/>
              <w:t>  </w:t>
            </w:r>
          </w:p>
        </w:tc>
        <w:tc>
          <w:tcPr>
            <w:tcW w:w="789"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($48.3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$33.1</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December 2025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FBB.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14.5% – 16.5%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$97.3 million – $144.8 million for purposes of evaluating FBB’s common stock on a standalone intrinsic-value basis and (ii) $107.0 million – $155.3 million for purposes of evaluating FBB’s common stock on an intrinsic-value basis including the net present value of expected §163(j) tax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merger consideration in connection with rendering the December 2025 Opinion, Guggenheim Securities performed various relative valuation financial analyses which are summarized below. Solely for informational reference purposes, Guggenheim Securities also reviewed the implied ownership percentage derived using a selected publicly traded companies analysis. </w:t>
      </w:r>
    </w:p>
    <w:p>
      <w:pPr>
        <w:pStyle w:val="TextBody"/>
        <w:bidi w:val="0"/>
        <w:spacing w:before="24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reference ranges for the ownership percentages of DXL and FBB, respectively, using the financial methodology described in the captions “</w:t>
      </w:r>
      <w:r>
        <w:rPr>
          <w:rFonts w:ascii="Times New Roman" w:hAnsi="Times New Roman"/>
          <w:i/>
          <w:sz w:val="20"/>
        </w:rPr>
        <w:t>December 2025 DXL DCF Analysis</w:t>
      </w:r>
      <w:r>
        <w:rPr>
          <w:rFonts w:ascii="Times New Roman" w:hAnsi="Times New Roman"/>
          <w:sz w:val="20"/>
        </w:rPr>
        <w:t>” and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following table summarizes the implied ownership percentages derived using the foregoing financial methodology. With respect to any indicated reference range of implied ownership percentages, the range was 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705"/>
        <w:gridCol w:w="121"/>
        <w:gridCol w:w="654"/>
        <w:gridCol w:w="257"/>
        <w:gridCol w:w="835"/>
      </w:tblGrid>
      <w:tr>
        <w:trPr/>
        <w:tc>
          <w:tcPr>
            <w:tcW w:w="67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121" w:type="dxa"/>
            <w:tcBorders/>
            <w:shd w:fill="CCEEFF" w:val="clear"/>
            <w:vAlign w:val="bottom"/>
          </w:tcPr>
          <w:p>
            <w:pPr>
              <w:pStyle w:val="TableContents"/>
              <w:bidi w:val="0"/>
              <w:spacing w:before="0" w:after="283"/>
              <w:jc w:val="left"/>
              <w:rPr/>
            </w:pPr>
            <w:r>
              <w:rPr/>
              <w:t>  </w:t>
            </w:r>
          </w:p>
        </w:tc>
        <w:tc>
          <w:tcPr>
            <w:tcW w:w="1746"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1867" w:type="dxa"/>
            <w:gridSpan w:val="4"/>
            <w:tcBorders/>
            <w:vAlign w:val="center"/>
          </w:tcPr>
          <w:p>
            <w:pPr>
              <w:pStyle w:val="TableContents"/>
              <w:bidi w:val="0"/>
              <w:spacing w:before="0" w:after="283"/>
              <w:jc w:val="left"/>
              <w:rPr>
                <w:sz w:val="4"/>
                <w:szCs w:val="4"/>
              </w:rPr>
            </w:pPr>
            <w:r>
              <w:rPr>
                <w:sz w:val="4"/>
                <w:szCs w:val="4"/>
              </w:rPr>
            </w:r>
          </w:p>
        </w:tc>
      </w:tr>
      <w:tr>
        <w:trPr/>
        <w:tc>
          <w:tcPr>
            <w:tcW w:w="670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46" w:type="dxa"/>
            <w:gridSpan w:val="3"/>
            <w:tcBorders>
              <w:bottom w:val="single" w:sz="8" w:space="0" w:color="000000"/>
            </w:tcBorders>
            <w:tcMar>
              <w:bottom w:w="28" w:type="dxa"/>
            </w:tcMar>
            <w:vAlign w:val="bottom"/>
          </w:tcPr>
          <w:p>
            <w:pPr>
              <w:pStyle w:val="TableContents"/>
              <w:bidi w:val="0"/>
              <w:spacing w:before="0" w:after="283"/>
              <w:jc w:val="center"/>
              <w:rPr>
                <w:b/>
              </w:rPr>
            </w:pPr>
            <w:r>
              <w:rPr>
                <w:b/>
              </w:rPr>
              <w:t>Implied DXL</w:t>
              <w:br/>
              <w:t>Ownership</w:t>
              <w:br/>
              <w:t>Percentage</w:t>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121" w:type="dxa"/>
            <w:tcBorders/>
            <w:vAlign w:val="bottom"/>
          </w:tcPr>
          <w:p>
            <w:pPr>
              <w:pStyle w:val="TableContents"/>
              <w:bidi w:val="0"/>
              <w:spacing w:before="0" w:after="283"/>
              <w:jc w:val="left"/>
              <w:rPr/>
            </w:pPr>
            <w:r>
              <w:rPr/>
              <w:t>  </w:t>
            </w:r>
          </w:p>
        </w:tc>
        <w:tc>
          <w:tcPr>
            <w:tcW w:w="654" w:type="dxa"/>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257" w:type="dxa"/>
            <w:tcBorders/>
            <w:vAlign w:val="bottom"/>
          </w:tcPr>
          <w:p>
            <w:pPr>
              <w:pStyle w:val="TableContents"/>
              <w:bidi w:val="0"/>
              <w:spacing w:before="0" w:after="283"/>
              <w:jc w:val="left"/>
              <w:rPr/>
            </w:pPr>
            <w:r>
              <w:rPr/>
              <w:t>  </w:t>
            </w:r>
          </w:p>
        </w:tc>
        <w:tc>
          <w:tcPr>
            <w:tcW w:w="835" w:type="dxa"/>
            <w:tcBorders>
              <w:bottom w:val="single" w:sz="8" w:space="0" w:color="000000"/>
            </w:tcBorders>
            <w:tcMar>
              <w:bottom w:w="28" w:type="dxa"/>
            </w:tcMar>
            <w:vAlign w:val="bottom"/>
          </w:tcPr>
          <w:p>
            <w:pPr>
              <w:pStyle w:val="TableContents"/>
              <w:bidi w:val="0"/>
              <w:spacing w:before="0" w:after="283"/>
              <w:jc w:val="center"/>
              <w:rPr>
                <w:b/>
              </w:rPr>
            </w:pPr>
            <w:r>
              <w:rPr>
                <w:b/>
              </w:rPr>
              <w:t>High</w:t>
            </w:r>
          </w:p>
        </w:tc>
      </w:tr>
      <w:tr>
        <w:trPr/>
        <w:tc>
          <w:tcPr>
            <w:tcW w:w="67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37%</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51%</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775"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5.2x CY2026E EV / EBITDA)</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center"/>
              <w:rPr/>
            </w:pPr>
            <w:r>
              <w:rPr/>
              <w:t>66%</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center"/>
              <w:rPr/>
            </w:pPr>
            <w:r>
              <w:rPr/>
              <w:t>100%</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the December 2025 DXL-Provided Financial Projections (DXL and FBB at 3.1x – 5.2x CY2026E EV / EBITDA)</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58%</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100%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financial analysis resulted in an implied ownership percentage reference range of 37% –51%, as compared to the merger-implied ownership percentage by DXL stockholders of 45%. </w:t>
      </w:r>
    </w:p>
    <w:p>
      <w:pPr>
        <w:pStyle w:val="TextBody"/>
        <w:bidi w:val="0"/>
        <w:spacing w:before="240" w:after="0"/>
        <w:jc w:val="left"/>
        <w:rPr>
          <w:rFonts w:ascii="Times New Roman" w:hAnsi="Times New Roman"/>
          <w:sz w:val="20"/>
        </w:rPr>
      </w:pPr>
      <w:r>
        <w:rPr>
          <w:rFonts w:ascii="Times New Roman" w:hAnsi="Times New Roman"/>
          <w:i/>
          <w:sz w:val="20"/>
        </w:rPr>
        <w:t>Contribution Analysis</w:t>
      </w:r>
      <w:r>
        <w:rPr>
          <w:rFonts w:ascii="Times New Roman" w:hAnsi="Times New Roman"/>
          <w:sz w:val="20"/>
        </w:rPr>
        <w:t xml:space="preserve">. Guggenheim Securities compared (i) certain of DXL’s and FBB’s respective Equity Value contribution percentages and (ii) the net diluted merger-implied ownership splits for DXL’s stockholders and FBB’s stockholders (in each case as implied by the exchange ratio). In order to facilitate the comparability of such Equity Value contribution percentages with the merger-related equity ownership splits, Guggenheim Securities leverage adjusted FBB’s market-implied Enterprise Value based on FBB’s standalone net debt balance. The results of such contribution analysis, both with and without synergy estimates, are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22"/>
        <w:gridCol w:w="375"/>
        <w:gridCol w:w="65"/>
        <w:gridCol w:w="499"/>
        <w:gridCol w:w="320"/>
        <w:gridCol w:w="284"/>
        <w:gridCol w:w="119"/>
        <w:gridCol w:w="886"/>
        <w:gridCol w:w="280"/>
        <w:gridCol w:w="284"/>
        <w:gridCol w:w="60"/>
        <w:gridCol w:w="713"/>
        <w:gridCol w:w="65"/>
      </w:tblGrid>
      <w:tr>
        <w:trPr/>
        <w:tc>
          <w:tcPr>
            <w:tcW w:w="4622"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12"/>
            <w:tcBorders/>
            <w:vAlign w:val="bottom"/>
          </w:tcPr>
          <w:p>
            <w:pPr>
              <w:pStyle w:val="TableContents"/>
              <w:bidi w:val="0"/>
              <w:spacing w:before="0" w:after="283"/>
              <w:jc w:val="center"/>
              <w:rPr>
                <w:b/>
                <w:sz w:val="20"/>
              </w:rPr>
            </w:pPr>
            <w:r>
              <w:rPr>
                <w:b/>
                <w:sz w:val="20"/>
              </w:rPr>
              <w:t>DXL and FBB Contribution Analysis</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Merger-Implied Equity Ownership Splits (DXL and FBB Stockholders, Respectively)</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b/>
              </w:rPr>
            </w:pPr>
            <w:r>
              <w:rPr>
                <w:b/>
              </w:rPr>
              <w:t>45.0</w:t>
            </w:r>
          </w:p>
        </w:tc>
        <w:tc>
          <w:tcPr>
            <w:tcW w:w="320" w:type="dxa"/>
            <w:tcBorders/>
            <w:shd w:fill="CCEEFF" w:val="clear"/>
            <w:vAlign w:val="bottom"/>
          </w:tcPr>
          <w:p>
            <w:pPr>
              <w:pStyle w:val="TableContents"/>
              <w:bidi w:val="0"/>
              <w:spacing w:before="0" w:after="283"/>
              <w:jc w:val="left"/>
              <w:rPr>
                <w:b/>
              </w:rPr>
            </w:pPr>
            <w:r>
              <w:rPr>
                <w:b/>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55.0%</w:t>
            </w:r>
          </w:p>
        </w:tc>
        <w:tc>
          <w:tcPr>
            <w:tcW w:w="65" w:type="dxa"/>
            <w:tcBorders/>
            <w:shd w:fill="CCEEFF" w:val="clear"/>
            <w:vAlign w:val="bottom"/>
          </w:tcPr>
          <w:p>
            <w:pPr>
              <w:pStyle w:val="TableContents"/>
              <w:bidi w:val="0"/>
              <w:spacing w:before="0" w:after="283"/>
              <w:jc w:val="left"/>
              <w:rPr/>
            </w:pPr>
            <w:r>
              <w:rPr/>
              <w:t> </w:t>
            </w:r>
          </w:p>
        </w:tc>
      </w:tr>
      <w:tr>
        <w:trPr>
          <w:trHeight w:val="24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Equity Value Contribution</w:t>
            </w:r>
          </w:p>
        </w:tc>
        <w:tc>
          <w:tcPr>
            <w:tcW w:w="375"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DXL</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Synergies</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DCF Equity Value:</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43.7</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56.3%</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23.5</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46.1</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30.3%</w:t>
            </w:r>
          </w:p>
        </w:tc>
        <w:tc>
          <w:tcPr>
            <w:tcW w:w="65" w:type="dxa"/>
            <w:tcBorders/>
            <w:shd w:fill="CCEEFF" w:val="clear"/>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283"/>
              <w:jc w:val="left"/>
              <w:rPr/>
            </w:pPr>
            <w:r>
              <w:rPr/>
              <w:t>Market-Implied Equity Value (FBB at 3.1x CY2026E EV / EBITDA):</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N/A</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N/A </w:t>
            </w:r>
          </w:p>
        </w:tc>
        <w:tc>
          <w:tcPr>
            <w:tcW w:w="65" w:type="dxa"/>
            <w:tcBorders/>
            <w:shd w:fill="CCEEFF" w:val="clear"/>
            <w:vAlign w:val="bottom"/>
          </w:tcPr>
          <w:p>
            <w:pPr>
              <w:pStyle w:val="TableContents"/>
              <w:bidi w:val="0"/>
              <w:spacing w:before="0" w:after="283"/>
              <w:jc w:val="left"/>
              <w:rPr/>
            </w:pPr>
            <w:r>
              <w:rPr/>
              <w:t> </w:t>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N/A</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N/A</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N/A </w:t>
            </w:r>
          </w:p>
        </w:tc>
        <w:tc>
          <w:tcPr>
            <w:tcW w:w="65" w:type="dxa"/>
            <w:tcBorders/>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283"/>
              <w:jc w:val="left"/>
              <w:rPr/>
            </w:pPr>
            <w:r>
              <w:rPr/>
              <w:t>Market-Implied Equity Value (FBB at 5.2x CY2026E EV / EBITDA):</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65.9</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34.1%</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31.0</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53.0</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16.0%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December 2025 DXL-Provided Financial Projections for DXL and FBB and the December 2025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15.00% – 17.00%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weighted average cost of capital) and (ii) 13.25% – 15.25%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4189"/>
        <w:gridCol w:w="437"/>
        <w:gridCol w:w="183"/>
        <w:gridCol w:w="586"/>
        <w:gridCol w:w="78"/>
        <w:gridCol w:w="468"/>
        <w:gridCol w:w="183"/>
        <w:gridCol w:w="591"/>
        <w:gridCol w:w="60"/>
        <w:gridCol w:w="437"/>
        <w:gridCol w:w="141"/>
        <w:gridCol w:w="934"/>
        <w:gridCol w:w="285"/>
      </w:tblGrid>
      <w:tr>
        <w:trPr/>
        <w:tc>
          <w:tcPr>
            <w:tcW w:w="4189"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8287" w:type="dxa"/>
            <w:gridSpan w:val="12"/>
            <w:tcBorders/>
            <w:vAlign w:val="bottom"/>
          </w:tcPr>
          <w:p>
            <w:pPr>
              <w:pStyle w:val="TableContents"/>
              <w:bidi w:val="0"/>
              <w:spacing w:before="0" w:after="283"/>
              <w:jc w:val="center"/>
              <w:rPr>
                <w:b/>
                <w:sz w:val="20"/>
              </w:rPr>
            </w:pPr>
            <w:r>
              <w:rPr>
                <w:b/>
                <w:sz w:val="20"/>
              </w:rPr>
              <w:t>DXL DCF Accretion/(Dilution) Analysis</w:t>
            </w:r>
          </w:p>
        </w:tc>
        <w:tc>
          <w:tcPr>
            <w:tcW w:w="285" w:type="dxa"/>
            <w:tcBorders/>
            <w:vAlign w:val="bottom"/>
          </w:tcPr>
          <w:p>
            <w:pPr>
              <w:pStyle w:val="TableContents"/>
              <w:bidi w:val="0"/>
              <w:spacing w:before="0" w:after="283"/>
              <w:jc w:val="left"/>
              <w:rPr/>
            </w:pPr>
            <w:r>
              <w:rPr/>
              <w:t> </w:t>
            </w:r>
          </w:p>
        </w:tc>
      </w:tr>
      <w:tr>
        <w:trPr/>
        <w:tc>
          <w:tcPr>
            <w:tcW w:w="418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089"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pPr>
            <w:r>
              <w:rPr>
                <w:b/>
              </w:rPr>
              <w:t>% DCF</w:t>
              <w:br/>
              <w:t>Accretion/</w:t>
            </w:r>
            <w:r>
              <w:rPr/>
              <w:br/>
            </w:r>
            <w:r>
              <w:rPr>
                <w:b/>
              </w:rPr>
              <w:t>(Dilution)</w:t>
            </w:r>
          </w:p>
        </w:tc>
        <w:tc>
          <w:tcPr>
            <w:tcW w:w="285" w:type="dxa"/>
            <w:tcBorders/>
            <w:vAlign w:val="bottom"/>
          </w:tcPr>
          <w:p>
            <w:pPr>
              <w:pStyle w:val="TableContents"/>
              <w:bidi w:val="0"/>
              <w:spacing w:before="0" w:after="283"/>
              <w:jc w:val="left"/>
              <w:rPr/>
            </w:pPr>
            <w:r>
              <w:rPr/>
              <w:t> </w:t>
            </w:r>
          </w:p>
        </w:tc>
      </w:tr>
      <w:tr>
        <w:trPr/>
        <w:tc>
          <w:tcPr>
            <w:tcW w:w="4189" w:type="dxa"/>
            <w:tcBorders>
              <w:bottom w:val="single" w:sz="8" w:space="0" w:color="000000"/>
            </w:tcBorders>
            <w:tcMar>
              <w:bottom w:w="28" w:type="dxa"/>
            </w:tcMar>
            <w:vAlign w:val="bottom"/>
          </w:tcPr>
          <w:p>
            <w:pPr>
              <w:pStyle w:val="TableContents"/>
              <w:bidi w:val="0"/>
              <w:spacing w:before="0" w:after="20"/>
              <w:jc w:val="left"/>
              <w:rPr/>
            </w:pPr>
            <w:r>
              <w:rPr/>
              <w:t> </w:t>
            </w:r>
          </w:p>
        </w:tc>
        <w:tc>
          <w:tcPr>
            <w:tcW w:w="437"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Midpoint</w:t>
            </w:r>
          </w:p>
        </w:tc>
        <w:tc>
          <w:tcPr>
            <w:tcW w:w="285" w:type="dxa"/>
            <w:tcBorders/>
            <w:vAlign w:val="bottom"/>
          </w:tcPr>
          <w:p>
            <w:pPr>
              <w:pStyle w:val="TableContents"/>
              <w:bidi w:val="0"/>
              <w:spacing w:before="0" w:after="283"/>
              <w:jc w:val="left"/>
              <w:rPr/>
            </w:pPr>
            <w:r>
              <w:rPr/>
              <w:t> </w:t>
            </w:r>
          </w:p>
        </w:tc>
      </w:tr>
      <w:tr>
        <w:trPr/>
        <w:tc>
          <w:tcPr>
            <w:tcW w:w="4189"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43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1.58</w:t>
            </w:r>
          </w:p>
        </w:tc>
        <w:tc>
          <w:tcPr>
            <w:tcW w:w="78"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1.88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189"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302" w:type="dxa"/>
            <w:gridSpan w:val="4"/>
            <w:tcBorders/>
            <w:vAlign w:val="center"/>
          </w:tcPr>
          <w:p>
            <w:pPr>
              <w:pStyle w:val="TableContents"/>
              <w:bidi w:val="0"/>
              <w:spacing w:before="0" w:after="283"/>
              <w:jc w:val="left"/>
              <w:rPr>
                <w:sz w:val="4"/>
                <w:szCs w:val="4"/>
              </w:rPr>
            </w:pPr>
            <w:r>
              <w:rPr>
                <w:sz w:val="4"/>
                <w:szCs w:val="4"/>
              </w:rPr>
            </w:r>
          </w:p>
        </w:tc>
        <w:tc>
          <w:tcPr>
            <w:tcW w:w="1797" w:type="dxa"/>
            <w:gridSpan w:val="4"/>
            <w:tcBorders/>
            <w:vAlign w:val="center"/>
          </w:tcPr>
          <w:p>
            <w:pPr>
              <w:pStyle w:val="TableContents"/>
              <w:bidi w:val="0"/>
              <w:spacing w:before="0" w:after="283"/>
              <w:jc w:val="left"/>
              <w:rPr>
                <w:sz w:val="4"/>
                <w:szCs w:val="4"/>
              </w:rPr>
            </w:pPr>
            <w:r>
              <w:rPr>
                <w:sz w:val="4"/>
                <w:szCs w:val="4"/>
              </w:rPr>
            </w:r>
          </w:p>
        </w:tc>
      </w:tr>
      <w:tr>
        <w:trPr/>
        <w:tc>
          <w:tcPr>
            <w:tcW w:w="4189" w:type="dxa"/>
            <w:tcBorders/>
          </w:tcPr>
          <w:p>
            <w:pPr>
              <w:pStyle w:val="TableContents"/>
              <w:bidi w:val="0"/>
              <w:spacing w:before="0" w:after="283"/>
              <w:jc w:val="left"/>
              <w:rPr/>
            </w:pPr>
            <w:r>
              <w:rPr>
                <w:i/>
              </w:rPr>
              <w:t>Pro Forma</w:t>
            </w:r>
            <w:r>
              <w:rPr/>
              <w:t xml:space="preserve"> Combined Company DCF Valuation with $30 million of Synergies</w:t>
            </w:r>
          </w:p>
        </w:tc>
        <w:tc>
          <w:tcPr>
            <w:tcW w:w="43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2.84</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+87</w:t>
            </w:r>
          </w:p>
        </w:tc>
        <w:tc>
          <w:tcPr>
            <w:tcW w:w="28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$1.58 –$1.88 per share for purposes of evaluating DXL common stock on a </w:t>
      </w:r>
      <w:r>
        <w:rPr>
          <w:rFonts w:ascii="Times New Roman" w:hAnsi="Times New Roman"/>
          <w:i/>
          <w:sz w:val="20"/>
        </w:rPr>
        <w:t xml:space="preserve">status quo </w:t>
      </w:r>
      <w:r>
        <w:rPr>
          <w:rFonts w:ascii="Times New Roman" w:hAnsi="Times New Roman"/>
          <w:sz w:val="20"/>
        </w:rPr>
        <w:t xml:space="preserve">standalone intrinsic value basis and (ii)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December 2025 Opinion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opinion.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9"/>
        <w:gridCol w:w="784"/>
        <w:gridCol w:w="132"/>
        <w:gridCol w:w="972"/>
        <w:gridCol w:w="62"/>
      </w:tblGrid>
      <w:tr>
        <w:trPr/>
        <w:tc>
          <w:tcPr>
            <w:tcW w:w="4989"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2" w:type="dxa"/>
            <w:tcBorders/>
            <w:vAlign w:val="bottom"/>
          </w:tcPr>
          <w:p>
            <w:pPr>
              <w:pStyle w:val="TableContents"/>
              <w:bidi w:val="0"/>
              <w:spacing w:before="0" w:after="283"/>
              <w:jc w:val="left"/>
              <w:rPr/>
            </w:pPr>
            <w:r>
              <w:rPr/>
              <w:t> </w:t>
            </w:r>
          </w:p>
        </w:tc>
      </w:tr>
      <w:tr>
        <w:trPr/>
        <w:tc>
          <w:tcPr>
            <w:tcW w:w="498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pPr>
            <w:r>
              <w:rPr>
                <w:b/>
              </w:rPr>
              <w:t>Trading</w:t>
            </w:r>
            <w:r>
              <w:rPr/>
              <w:br/>
            </w:r>
            <w:r>
              <w:rPr>
                <w:b/>
              </w:rPr>
              <w:t>Enterprise</w:t>
            </w:r>
            <w:r>
              <w:rPr/>
              <w:br/>
            </w:r>
            <w:r>
              <w:rPr>
                <w:b/>
              </w:rPr>
              <w:t>Value /</w:t>
            </w:r>
            <w:r>
              <w:rPr/>
              <w:br/>
            </w:r>
            <w:r>
              <w:rPr>
                <w:b/>
              </w:rPr>
              <w:t>CY2026E</w:t>
            </w:r>
            <w:r>
              <w:rPr/>
              <w:br/>
            </w:r>
            <w:r>
              <w:rPr>
                <w:b/>
              </w:rPr>
              <w:t>EBITDA</w:t>
            </w:r>
          </w:p>
        </w:tc>
        <w:tc>
          <w:tcPr>
            <w:tcW w:w="62" w:type="dxa"/>
            <w:tcBorders/>
            <w:vAlign w:val="bottom"/>
          </w:tcPr>
          <w:p>
            <w:pPr>
              <w:pStyle w:val="TableContents"/>
              <w:bidi w:val="0"/>
              <w:spacing w:before="0" w:after="283"/>
              <w:jc w:val="left"/>
              <w:rPr/>
            </w:pPr>
            <w:r>
              <w:rPr/>
              <w:t> </w:t>
            </w:r>
          </w:p>
        </w:tc>
      </w:tr>
      <w:tr>
        <w:trPr/>
        <w:tc>
          <w:tcPr>
            <w:tcW w:w="4989" w:type="dxa"/>
            <w:tcBorders>
              <w:bottom w:val="single" w:sz="8" w:space="0" w:color="000000"/>
            </w:tcBorders>
            <w:shd w:fill="CCEEFF" w:val="clear"/>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3.1x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3.6x</w:t>
            </w:r>
          </w:p>
        </w:tc>
        <w:tc>
          <w:tcPr>
            <w:tcW w:w="62" w:type="dxa"/>
            <w:tcBorders/>
            <w:shd w:fill="CCEEFF" w:val="clear"/>
            <w:vAlign w:val="bottom"/>
          </w:tcPr>
          <w:p>
            <w:pPr>
              <w:pStyle w:val="TableContents"/>
              <w:bidi w:val="0"/>
              <w:spacing w:before="0" w:after="283"/>
              <w:jc w:val="left"/>
              <w:rPr/>
            </w:pPr>
            <w:r>
              <w:rPr/>
              <w:t> </w:t>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4.8x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5.2x</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4989" w:type="dxa"/>
            <w:tcBorders/>
            <w:vAlign w:val="center"/>
          </w:tcPr>
          <w:p>
            <w:pPr>
              <w:pStyle w:val="TableContents"/>
              <w:bidi w:val="0"/>
              <w:spacing w:before="0" w:after="283"/>
              <w:jc w:val="left"/>
              <w:rPr>
                <w:sz w:val="4"/>
                <w:szCs w:val="4"/>
              </w:rPr>
            </w:pPr>
            <w:r>
              <w:rPr>
                <w:sz w:val="4"/>
                <w:szCs w:val="4"/>
              </w:rPr>
            </w:r>
          </w:p>
        </w:tc>
        <w:tc>
          <w:tcPr>
            <w:tcW w:w="1950" w:type="dxa"/>
            <w:gridSpan w:val="4"/>
            <w:tcBorders/>
            <w:vAlign w:val="center"/>
          </w:tcPr>
          <w:p>
            <w:pPr>
              <w:pStyle w:val="TableContents"/>
              <w:bidi w:val="0"/>
              <w:spacing w:before="0" w:after="283"/>
              <w:jc w:val="left"/>
              <w:rPr>
                <w:sz w:val="4"/>
                <w:szCs w:val="4"/>
              </w:rPr>
            </w:pPr>
            <w:r>
              <w:rPr>
                <w:sz w:val="4"/>
                <w:szCs w:val="4"/>
              </w:rPr>
            </w:r>
          </w:p>
        </w:tc>
      </w:tr>
      <w:tr>
        <w:trPr/>
        <w:tc>
          <w:tcPr>
            <w:tcW w:w="4989" w:type="dxa"/>
            <w:tcBorders>
              <w:bottom w:val="single" w:sz="8" w:space="0" w:color="000000"/>
            </w:tcBorders>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 5.2x and applied such trading multiples to the December 2025 DXL-Provided Financial Projections for DXL.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$0.79 – $1.00 per share for purposes of evaluating DXL common stock on a standalone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($48.3) million – $33.1 million for purposes of evaluating FBB’s common stock on a standalone basis.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December 9, 2024 through December 9, 2025 (the last trading day prior to the announcement of the merger), and Guggenheim Securities noted that DXL common stock generally had traded in a range of approximately $0.88 –$3.10 per share. </w:t>
      </w:r>
    </w:p>
    <w:p>
      <w:pPr>
        <w:pStyle w:val="TextBody"/>
        <w:bidi w:val="0"/>
        <w:spacing w:before="24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December 9, 2025 (the last trading day prior to the announcement of the merger) and Guggenheim Securities noted that such Wall Street equity research analyst stock price targets for DXL common stock were $1.30 – $2.00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its financial analyses or providing the December 2025 Opinion. The type and amount of consideration payable in the merger were determined through negotiations between DXL and FBB and were approved by the DXL Board. The decision to enter into the merger agreement was solely that of the DXL Board. The December 2025 Opinion, which was rendered only on and as of December 10, 2025 and has not been and will not be updated, was just one of the many factors taken into consideration by the DXL Board. DXL stockholders should not rely on the December 2025 Opinion and it does not constitute advice or a recommendation to any DXL stockholder as to how any DXL stockholder should vote or act in connection with the merger or otherwise. Consequently, Guggenheim Securities’ financial analyses should not be viewed as determinative of the decision of the DXL Board with respect to the fairness, from a financial point of view, to DXL’s stockholders of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(ii) a cash work fee of $250,000 that became payable in May 2026, and (iii) a supplemental advisory fee of $250,000 that became payable in August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rendering of the December 2025 Opinion to provide financial advisory or investment banking services for which Guggenheim Securities received fees. Guggenheim Securities has not been previously engaged by FBB during the two years prior to the rendering of the December 2025 Opinion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other participants in the merger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other participants in the merger or their respective affiliates. Furthermore, Guggenheim Securities and its affiliates and related entities and its or their respective directors, officers, employees, consultants and agents may have investments in DXL, FBB,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other participants in the merger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0" w:name="tx76201_17a"/>
      <w:bookmarkEnd w:id="20"/>
      <w:r>
        <w:rPr>
          <w:rFonts w:ascii="Times New Roman" w:hAnsi="Times New Roman"/>
          <w:b/>
          <w:sz w:val="20"/>
        </w:rPr>
        <w:t xml:space="preserve">May 2026 Supplemental Financial Analyses Prepared by Guggenheim Securities, Financial Advisor to DXL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of the May 2026 Supplemental Financial Analyses </w:t>
      </w:r>
    </w:p>
    <w:p>
      <w:pPr>
        <w:pStyle w:val="TextBody"/>
        <w:bidi w:val="0"/>
        <w:spacing w:before="120" w:after="0"/>
        <w:jc w:val="left"/>
        <w:rPr>
          <w:rFonts w:ascii="Times New Roman" w:hAnsi="Times New Roman"/>
          <w:b/>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b/>
          <w:sz w:val="20"/>
        </w:rPr>
      </w:pPr>
      <w:r>
        <w:rPr>
          <w:rFonts w:ascii="Times New Roman" w:hAnsi="Times New Roman"/>
          <w:b/>
          <w:sz w:val="20"/>
        </w:rPr>
        <w:t xml:space="preserve">The December 2025 Opinion was rendered only on and as of December 10, 2025 and has not been and will not be updated. DXL stockholders should not rely on the December 2025 Opinion and it does not constitute advice or a recommendation to any DXL stockholder as to how any DXL stockholder should vote or act in connection with the merger or otherwise. Similarly, the May 2026 Supplemental Financial Analyses do not constitute advice or a recommendation to any DXL stockholder as to how any DXL stockholder should vote or act in connection with the merger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The May 2026 Supplemental Financial Analyses were provided to the DXL Board (in its capacity as such) for its information and assistance in connection with its ongoing evaluation of the merger. The May 2026 Supplemental Financial Analyses do not constitute an opinion, view, report 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DXL Board’s ongoing evaluation of the merger, DXL’s senior management updated (i) the December 2025 DXL-Provided Financial Projections (comprised of (w) certain updated financial projections for DXL on a standalone basis for the fiscal years ending January 31, 2027 through January 31, 2035, (x) certain updated financial projections for FBB on a standalone basis for the calendar years ending December 31, 2026 through December 31, 2034, (y) certain updated estimates as to potentially realizable existing net operating loss carry-forwards expected to be utilized by DXL and (z) certain updated estimates as to potentially realizable benefits under Section 163(j) of the Code available and expected to be utilized by FBB)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the December 2025 Synergy Estimates, all as prepared by, discussed with and approved for Guggenheim Securities’ use by DXL’s senior management (each of the foregoing as so updated, the “May 2026 DXL-Provided Financial Projections” and the “May 2026 Synergy Estimates” or the “May 2026 Synergies”). In addition, FBB’s senior management updated the December 2025 FBB-Provided Financial Projections, as prepared by FBB’s senior management and discussed with DXL’s and FBB’s respective senior management (as so updated, the “May 2026 FBB-Provided Financial Projections”). Guggenheim Securities was directed by the DXL Board to rely upon the May 2026 DXL-Provided Financial Projections and the May 2026 Synergy Estimates in connection with the preparation of the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DXL Board’s ongoing evaluation of the merger following DXL senior management’s updates to the December 2025 DXL-Provided Financial Projections, representatives of Guggenheim Securities prepared and reviewed with the DXL Board certain financial analyses,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Discounted cash flow analyses with respect to DXL, FBB and the May 2026 Synergies based on the May 2026 DXL-Provided Financial Projections and the May 2026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selected public company trading analysis that 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certain Wall Street equity research price targets for the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the historical prices, certain trading multiples and the trading activity of DXL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studies, analyses, inquiries and investigations as Guggenheim Securities deemed appropriate (the foregoing, collectively, the “May 2026 Supplemental Financial Analyses”).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recent and projected financial results, liquidity, funding needs, access to capital and future prospects and the commercial and competitive dynamics in the consumer sector;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views regarding FBB’s business, operations, projected financial results and future prospects.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together with DXL’s senior management and Guggenheim Securities, discussed the limitations of the May 2026 Supplemental Financial Analyses, including,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DXL-Provided Financial Projections and the May 2026 Synergy Estimates were not prepared with a view toward public disclosure, were inherently subject to significant judgment and uncertainty and were necessarily based on numerous variables and assumptions that were beyond DXL’s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the May 2026 Supplemental Financial Analyses should be assessed as a whole rather than individually;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particularly those based on estimates and projections, were not necessarily indicative of actual values or actual future results, which may be significantly more or less favorable than suggested by such financial analyses;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did not purport to be appraisals or reflect the prices at which the DXL common stock may trade at the present time or at any time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conducting the May 2026 Supplemental Financial Analyses,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by or discussed with DXL or FBB (including, without limitation, the May 2026 DXL-Provided Financial Projections, the May 2026 Synergy Estimates and the May 2026 FBB-Provided Financial Projections)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May 2026 DXL-Provided Financial Projections, the May 2026 Synergy Estimates and the May 2026 FBB-Provided Financial Projections), (ii) expressed no view or opinion regarding the reasonableness or achievability of the May 2026 DXL-Provided Financial Projections, the May 2026 Synergy Estimates or the May 2026 FBB-Provided Financial Projections, any other estimates or any other forward-looking information provided by DXL or FBB or the assumptions upon which any of the foregoing were based and (iii) relied upon the assurances of DXL’s senior management that they were (in the case of the May 2026 DXL-Provided Financial Projections and the May 2026 Synergy Estimates) and assumed that FBB’s senior management were (in the case of the May 2026 FBB-Provided Financial Projections) unaware of any facts or circumstances that had made such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May 2026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performing the May 2026 Supplemental Financial Analyses, (ii) was advised by DXL’s senior management, and assumed, that the May 2026 Synergy Estimates had been (y) reasonably prepared on bases reflecting the then-best currently available estimates and judgments of DXL’s senior management as to the expected amounts and realization of the May 2026 Synergies and (z) reviewed by the DXL Board with the understanding that such information would be used and relied upon by Guggenheim Securities in connection with performing the May 2026 Supplemental Financial Analyses, (iii) assumed that the May 2026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perform or obtain any independent appraisal of the assets or liabilities (including any contingent, derivative or off-balance sheet assets and liabilities) of DXL, FBB or any other entity, or the solvency or fair value of DXL, FBB or any other entity. Guggenheim Securities’ professionals are not legal, regulatory, tax, consulting, accounting, appraisal or actuarial experts, and the May 2026 Supplemental Financial Analyses should not be construed as constituting advice with respect to such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noted below, all of Guggenheim Securities’ financial analyses regarding FBB reflect the $92 million debt/equitization that FBB is obligated to effect under the terms and conditions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DXL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conducting the May 2026 Supplemental Financial Analyses,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146"/>
        <w:gridCol w:w="362"/>
        <w:gridCol w:w="183"/>
        <w:gridCol w:w="579"/>
        <w:gridCol w:w="78"/>
        <w:gridCol w:w="394"/>
        <w:gridCol w:w="183"/>
        <w:gridCol w:w="583"/>
        <w:gridCol w:w="64"/>
      </w:tblGrid>
      <w:tr>
        <w:trPr/>
        <w:tc>
          <w:tcPr>
            <w:tcW w:w="614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14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 on</w:t>
              <w:b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2"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1.21</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 Net Operating Loss Tax Benefit</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1.53</w:t>
            </w:r>
          </w:p>
        </w:tc>
        <w:tc>
          <w:tcPr>
            <w:tcW w:w="64" w:type="dxa"/>
            <w:tcBorders/>
            <w:shd w:fill="CCEEFF" w:val="clear"/>
            <w:vAlign w:val="bottom"/>
          </w:tcPr>
          <w:p>
            <w:pPr>
              <w:pStyle w:val="TableContents"/>
              <w:bidi w:val="0"/>
              <w:spacing w:before="0" w:after="283"/>
              <w:jc w:val="left"/>
              <w:rPr/>
            </w:pPr>
            <w:r>
              <w:rPr/>
              <w:t> </w:t>
            </w:r>
          </w:p>
        </w:tc>
      </w:tr>
      <w:tr>
        <w:trPr>
          <w:trHeight w:val="240" w:hRule="atLeast"/>
        </w:trPr>
        <w:tc>
          <w:tcPr>
            <w:tcW w:w="6146" w:type="dxa"/>
            <w:tcBorders/>
            <w:vAlign w:val="center"/>
          </w:tcPr>
          <w:p>
            <w:pPr>
              <w:pStyle w:val="TableContents"/>
              <w:bidi w:val="0"/>
              <w:spacing w:before="0" w:after="283"/>
              <w:jc w:val="left"/>
              <w:rPr>
                <w:sz w:val="4"/>
                <w:szCs w:val="4"/>
              </w:rPr>
            </w:pPr>
            <w:r>
              <w:rPr>
                <w:sz w:val="4"/>
                <w:szCs w:val="4"/>
              </w:rPr>
            </w:r>
          </w:p>
        </w:tc>
        <w:tc>
          <w:tcPr>
            <w:tcW w:w="120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1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0.48</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0.73</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the May 2026 DXL-Provided Financial Projections for DXL</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0.63</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May 2026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15.25% – 17.25%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$1.21 – $1.42 per share for purposes of evaluating DXL common stock on a standalone intrinsic-value basis and (ii) $1.30 – $1.53 per share for purposes of evaluating DXL common stock on an intrinsic-value basis including the net present value of expected net operating loss tax benefits, as compared to (a) $1.50 – $1.79 per share and (b) $1.58 – $1.88 per share, respectively, when evaluated in connection with the December 2025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FBB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conducting the May 2026 Supplemental Financial Analyses,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030"/>
        <w:gridCol w:w="364"/>
        <w:gridCol w:w="245"/>
        <w:gridCol w:w="499"/>
        <w:gridCol w:w="176"/>
        <w:gridCol w:w="378"/>
        <w:gridCol w:w="68"/>
        <w:gridCol w:w="654"/>
        <w:gridCol w:w="158"/>
      </w:tblGrid>
      <w:tr>
        <w:trPr/>
        <w:tc>
          <w:tcPr>
            <w:tcW w:w="603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14"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158" w:type="dxa"/>
            <w:tcBorders/>
            <w:vAlign w:val="bottom"/>
          </w:tcPr>
          <w:p>
            <w:pPr>
              <w:pStyle w:val="TableContents"/>
              <w:bidi w:val="0"/>
              <w:spacing w:before="0" w:after="283"/>
              <w:jc w:val="left"/>
              <w:rPr/>
            </w:pPr>
            <w:r>
              <w:rPr/>
              <w:t> </w:t>
            </w:r>
          </w:p>
        </w:tc>
      </w:tr>
      <w:tr>
        <w:trPr/>
        <w:tc>
          <w:tcPr>
            <w:tcW w:w="603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FBB on</w:t>
              <w:br/>
              <w:t>a Standalone</w:t>
              <w:br/>
              <w:t>Basis</w:t>
            </w:r>
            <w:r>
              <w:rPr/>
              <w:br/>
            </w:r>
            <w:r>
              <w:rPr>
                <w:i/>
              </w:rPr>
              <w:t>($ in millions)</w:t>
            </w:r>
          </w:p>
        </w:tc>
        <w:tc>
          <w:tcPr>
            <w:tcW w:w="158" w:type="dxa"/>
            <w:tcBorders/>
            <w:vAlign w:val="bottom"/>
          </w:tcPr>
          <w:p>
            <w:pPr>
              <w:pStyle w:val="TableContents"/>
              <w:bidi w:val="0"/>
              <w:spacing w:before="0" w:after="283"/>
              <w:jc w:val="left"/>
              <w:rPr/>
            </w:pPr>
            <w:r>
              <w:rPr/>
              <w:t> </w:t>
            </w:r>
          </w:p>
        </w:tc>
      </w:tr>
      <w:tr>
        <w:trPr/>
        <w:tc>
          <w:tcPr>
            <w:tcW w:w="60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4"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rHeight w:val="240" w:hRule="atLeast"/>
        </w:trPr>
        <w:tc>
          <w:tcPr>
            <w:tcW w:w="6030"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258" w:type="dxa"/>
            <w:gridSpan w:val="4"/>
            <w:tcBorders/>
            <w:vAlign w:val="center"/>
          </w:tcPr>
          <w:p>
            <w:pPr>
              <w:pStyle w:val="TableContents"/>
              <w:bidi w:val="0"/>
              <w:spacing w:before="0" w:after="283"/>
              <w:jc w:val="left"/>
              <w:rPr>
                <w:sz w:val="4"/>
                <w:szCs w:val="4"/>
              </w:rPr>
            </w:pPr>
            <w:r>
              <w:rPr>
                <w:sz w:val="4"/>
                <w:szCs w:val="4"/>
              </w:rPr>
            </w:r>
          </w:p>
        </w:tc>
      </w:tr>
      <w:tr>
        <w:trPr/>
        <w:tc>
          <w:tcPr>
            <w:tcW w:w="6030" w:type="dxa"/>
            <w:tcBorders>
              <w:bottom w:val="single" w:sz="8" w:space="0" w:color="000000"/>
            </w:tcBorders>
            <w:shd w:fill="CCEEFF" w:val="clear"/>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61.8</w:t>
            </w:r>
          </w:p>
        </w:tc>
        <w:tc>
          <w:tcPr>
            <w:tcW w:w="17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$86.4</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May 2026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14.75% – 16.75%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($22.5) million – ($3.5) million for purposes of evaluating FBB’s common stock on a standalone intrinsic-value basis and (ii) ($22.5) million – ($3.5) million for purposes of evaluating FBB’s common stock on an intrinsic-value basis including the net present value of expected §163(j) tax benefits, as compared to overall reference ranges of (a) $97.3 million – $144.8 million and (b) $107.0 million – $155.3 million, respectively,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value of DXL and FBB in connection with the May 2026 Supplemental Financial Analyses, Guggenheim Securities performed various relative valuation financial analyses which are summarized below. Solely for informational reference purposes, Guggenheim Securities also reviewed the implied ownership percentage derived using a selected publicly traded companies analysis.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reference ranges for the ownership percentages of DXL and FBB, respectively, using the financial methodology described in the captions “</w:t>
      </w:r>
      <w:r>
        <w:rPr>
          <w:rFonts w:ascii="Times New Roman" w:hAnsi="Times New Roman"/>
          <w:i/>
          <w:sz w:val="20"/>
        </w:rPr>
        <w:t>May</w:t>
      </w:r>
      <w:r>
        <w:rPr>
          <w:rFonts w:ascii="Times New Roman" w:hAnsi="Times New Roman"/>
          <w:sz w:val="20"/>
        </w:rPr>
        <w:t xml:space="preserve"> 2026 </w:t>
      </w:r>
      <w:r>
        <w:rPr>
          <w:rFonts w:ascii="Times New Roman" w:hAnsi="Times New Roman"/>
          <w:i/>
          <w:sz w:val="20"/>
        </w:rPr>
        <w:t>DXL DCF Analysis</w:t>
      </w:r>
      <w:r>
        <w:rPr>
          <w:rFonts w:ascii="Times New Roman" w:hAnsi="Times New Roman"/>
          <w:sz w:val="20"/>
        </w:rPr>
        <w:t>” and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following table summarizes the implied ownership percentages derived using the foregoing financial methodology. With respect to any indicated reference range of implied ownership percentages, the range was 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7203"/>
        <w:gridCol w:w="85"/>
        <w:gridCol w:w="599"/>
        <w:gridCol w:w="85"/>
        <w:gridCol w:w="600"/>
      </w:tblGrid>
      <w:tr>
        <w:trPr/>
        <w:tc>
          <w:tcPr>
            <w:tcW w:w="720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85" w:type="dxa"/>
            <w:tcBorders/>
            <w:shd w:fill="CCEEFF" w:val="clear"/>
            <w:vAlign w:val="bottom"/>
          </w:tcPr>
          <w:p>
            <w:pPr>
              <w:pStyle w:val="TableContents"/>
              <w:bidi w:val="0"/>
              <w:spacing w:before="0" w:after="283"/>
              <w:jc w:val="left"/>
              <w:rPr/>
            </w:pPr>
            <w:r>
              <w:rPr/>
              <w:t> </w:t>
            </w:r>
          </w:p>
        </w:tc>
        <w:tc>
          <w:tcPr>
            <w:tcW w:w="1284"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1369" w:type="dxa"/>
            <w:gridSpan w:val="4"/>
            <w:tcBorders/>
            <w:vAlign w:val="center"/>
          </w:tcPr>
          <w:p>
            <w:pPr>
              <w:pStyle w:val="TableContents"/>
              <w:bidi w:val="0"/>
              <w:spacing w:before="0" w:after="283"/>
              <w:jc w:val="left"/>
              <w:rPr>
                <w:sz w:val="4"/>
                <w:szCs w:val="4"/>
              </w:rPr>
            </w:pPr>
            <w:r>
              <w:rPr>
                <w:sz w:val="4"/>
                <w:szCs w:val="4"/>
              </w:rPr>
            </w:r>
          </w:p>
        </w:tc>
      </w:tr>
      <w:tr>
        <w:trPr/>
        <w:tc>
          <w:tcPr>
            <w:tcW w:w="720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84"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Implied DXL</w:t>
              <w:br/>
              <w:t>Ownership</w:t>
              <w:br/>
              <w:t>Percentage</w:t>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85" w:type="dxa"/>
            <w:tcBorders/>
            <w:vAlign w:val="bottom"/>
          </w:tcPr>
          <w:p>
            <w:pPr>
              <w:pStyle w:val="TableContents"/>
              <w:bidi w:val="0"/>
              <w:spacing w:before="0" w:after="283"/>
              <w:jc w:val="left"/>
              <w:rPr/>
            </w:pPr>
            <w:r>
              <w:rPr/>
              <w:t> </w:t>
            </w:r>
          </w:p>
        </w:tc>
        <w:tc>
          <w:tcPr>
            <w:tcW w:w="5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Low</w:t>
            </w:r>
          </w:p>
        </w:tc>
        <w:tc>
          <w:tcPr>
            <w:tcW w:w="85" w:type="dxa"/>
            <w:tcBorders/>
            <w:vAlign w:val="bottom"/>
          </w:tcPr>
          <w:p>
            <w:pPr>
              <w:pStyle w:val="TableContents"/>
              <w:bidi w:val="0"/>
              <w:spacing w:before="0" w:after="283"/>
              <w:jc w:val="left"/>
              <w:rPr/>
            </w:pPr>
            <w:r>
              <w:rPr/>
              <w:t> </w:t>
            </w:r>
          </w:p>
        </w:tc>
        <w:tc>
          <w:tcPr>
            <w:tcW w:w="6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High</w:t>
            </w:r>
          </w:p>
        </w:tc>
      </w:tr>
      <w:tr>
        <w:trPr/>
        <w:tc>
          <w:tcPr>
            <w:tcW w:w="72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100%</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684"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r>
      <w:tr>
        <w:trPr/>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7.0x CY2026E EV / EBITDA)</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24%</w:t>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100%</w:t>
            </w:r>
          </w:p>
        </w:tc>
      </w:tr>
      <w:tr>
        <w:trPr/>
        <w:tc>
          <w:tcPr>
            <w:tcW w:w="7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the May 2026 DXL-Provided Financial Projections (DXL and FBB at 3.1x – 7.0x CY2026E EV / EBITDA)</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29%</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financial analyses resulted in an implied ownership percentage of 100%, as compared to the merger-implied ownership percentage by DXL stockholders of 45%, and an implied ownership percentage reference range of 37% – 51%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May 2026 DXL-Provided Financial Projections for DXL and FBB and the May 2026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15.25% – 17.25%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standalone weighted average cost of capital) and (ii) 13.50% – 15.50%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68"/>
        <w:gridCol w:w="368"/>
        <w:gridCol w:w="183"/>
        <w:gridCol w:w="583"/>
        <w:gridCol w:w="78"/>
        <w:gridCol w:w="399"/>
        <w:gridCol w:w="183"/>
        <w:gridCol w:w="587"/>
        <w:gridCol w:w="60"/>
        <w:gridCol w:w="368"/>
        <w:gridCol w:w="1295"/>
      </w:tblGrid>
      <w:tr>
        <w:trPr/>
        <w:tc>
          <w:tcPr>
            <w:tcW w:w="4468"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8572" w:type="dxa"/>
            <w:gridSpan w:val="11"/>
            <w:tcBorders/>
            <w:vAlign w:val="bottom"/>
          </w:tcPr>
          <w:p>
            <w:pPr>
              <w:pStyle w:val="TableContents"/>
              <w:bidi w:val="0"/>
              <w:spacing w:before="0" w:after="283"/>
              <w:jc w:val="center"/>
              <w:rPr>
                <w:b/>
                <w:sz w:val="20"/>
              </w:rPr>
            </w:pPr>
            <w:r>
              <w:rPr>
                <w:b/>
                <w:sz w:val="20"/>
              </w:rPr>
              <w:t>DXL DCF Accretion/(Dilution) Analysis</w:t>
            </w:r>
          </w:p>
        </w:tc>
      </w:tr>
      <w:tr>
        <w:trPr/>
        <w:tc>
          <w:tcPr>
            <w:tcW w:w="446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1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DCF</w:t>
              <w:br/>
              <w:t>Accretion/</w:t>
            </w:r>
          </w:p>
          <w:p>
            <w:pPr>
              <w:pStyle w:val="TableContents"/>
              <w:bidi w:val="0"/>
              <w:spacing w:before="0" w:after="20"/>
              <w:jc w:val="center"/>
              <w:rPr>
                <w:rFonts w:ascii="Times New Roman" w:hAnsi="Times New Roman"/>
                <w:b/>
                <w:sz w:val="20"/>
              </w:rPr>
            </w:pPr>
            <w:r>
              <w:rPr>
                <w:rFonts w:ascii="Times New Roman" w:hAnsi="Times New Roman"/>
                <w:b/>
                <w:sz w:val="20"/>
              </w:rPr>
              <w:t>(Dilution)</w:t>
            </w:r>
          </w:p>
        </w:tc>
      </w:tr>
      <w:tr>
        <w:trPr/>
        <w:tc>
          <w:tcPr>
            <w:tcW w:w="4468" w:type="dxa"/>
            <w:tcBorders>
              <w:bottom w:val="single" w:sz="8" w:space="0" w:color="000000"/>
            </w:tcBorders>
            <w:tcMar>
              <w:bottom w:w="28" w:type="dxa"/>
            </w:tcMar>
            <w:vAlign w:val="bottom"/>
          </w:tcPr>
          <w:p>
            <w:pPr>
              <w:pStyle w:val="TableContents"/>
              <w:bidi w:val="0"/>
              <w:spacing w:before="0" w:after="20"/>
              <w:jc w:val="left"/>
              <w:rPr/>
            </w:pPr>
            <w:r>
              <w:rPr/>
              <w:t> </w:t>
            </w:r>
          </w:p>
        </w:tc>
        <w:tc>
          <w:tcPr>
            <w:tcW w:w="36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Midpoint</w:t>
            </w:r>
          </w:p>
        </w:tc>
      </w:tr>
      <w:tr>
        <w:trPr/>
        <w:tc>
          <w:tcPr>
            <w:tcW w:w="4468"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bidi w:val="0"/>
              <w:spacing w:before="0" w:after="283"/>
              <w:jc w:val="left"/>
              <w:rPr/>
            </w:pPr>
            <w:r>
              <w:rPr>
                <w:i/>
              </w:rPr>
              <w:t>Pro Forma</w:t>
            </w:r>
            <w:r>
              <w:rPr/>
              <w:t xml:space="preserve"> Combined Company DCF Valuation with $20 million of Synergies</w:t>
            </w:r>
          </w:p>
        </w:tc>
        <w:tc>
          <w:tcPr>
            <w:tcW w:w="3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1.18</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(3%)</w:t>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shd w:fill="CCEEFF" w:val="clear"/>
          </w:tcPr>
          <w:p>
            <w:pPr>
              <w:pStyle w:val="TableContents"/>
              <w:bidi w:val="0"/>
              <w:spacing w:before="0" w:after="283"/>
              <w:jc w:val="left"/>
              <w:rPr/>
            </w:pPr>
            <w:r>
              <w:rPr>
                <w:i/>
              </w:rPr>
              <w:t>Pro Forma</w:t>
            </w:r>
            <w:r>
              <w:rPr/>
              <w:t xml:space="preserve"> Combined Company DCF Valuation with $25 million of Synergies</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1.34</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center"/>
              <w:rPr/>
            </w:pPr>
            <w:r>
              <w:rPr/>
              <w:t>+11%</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$1.30 – $1.53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(ii) $1.18 – $1.63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$20 million of synergies from the May 2026 Synergy Estimates and (iii) $1.34 – $1.82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$25 million of synergies from the May 2026 Synergy Estimates, as compared to (a) $1.58 – $1.88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and (b)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in each case of (a) and (b)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In Guggenheim Securities’ view, this updated DCF accretion/(dilution) analysis indicated that the existing economic terms of the merger would have to be significantly restructured to maintain the value proposition for DXL’s stockholders as implied by Guggenheim Securities’ financial analyses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Debt/Equitization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To further assist the DXL Board in connection with its ongoing evaluation of the merger, Guggenheim Securities performed a debt/equitization analysis to assess the required incremental debt reduction that would be needed by FBB in light of (i) DXL stockholders’ </w:t>
      </w:r>
      <w:r>
        <w:rPr>
          <w:rFonts w:ascii="Times New Roman" w:hAnsi="Times New Roman"/>
          <w:i/>
          <w:sz w:val="20"/>
        </w:rPr>
        <w:t>pro forma</w:t>
      </w:r>
      <w:r>
        <w:rPr>
          <w:rFonts w:ascii="Times New Roman" w:hAnsi="Times New Roman"/>
          <w:sz w:val="20"/>
        </w:rPr>
        <w:t xml:space="preserve"> 45% economic ownership of the combined company and (ii) DXL’s contributed DCF-based equity value. Such debt/equitization analysis was performed based on DCF analyses for each of DXL and FBB on a standalone basis utilizing (i) the May 2026 DXL-Provided Financial Projections for DXL and FBB and (ii) solely for informational reference purposes, the May 2026 DXL-Provided Financial Projections for DXL and the May 2026 FBB-Provided Financial Projections. In each case, DXL’s contributed DCF-based equity value was grossed up (i.e., divided by DXL stockholders’ </w:t>
      </w:r>
      <w:r>
        <w:rPr>
          <w:rFonts w:ascii="Times New Roman" w:hAnsi="Times New Roman"/>
          <w:i/>
          <w:sz w:val="20"/>
        </w:rPr>
        <w:t>pro forma</w:t>
      </w:r>
      <w:r>
        <w:rPr>
          <w:rFonts w:ascii="Times New Roman" w:hAnsi="Times New Roman"/>
          <w:sz w:val="20"/>
        </w:rPr>
        <w:t xml:space="preserve"> 45% economic ownership) and then multiplied by 55% (based on FBB stockholders’ </w:t>
      </w:r>
      <w:r>
        <w:rPr>
          <w:rFonts w:ascii="Times New Roman" w:hAnsi="Times New Roman"/>
          <w:i/>
          <w:sz w:val="20"/>
        </w:rPr>
        <w:t>pro forma</w:t>
      </w:r>
      <w:r>
        <w:rPr>
          <w:rFonts w:ascii="Times New Roman" w:hAnsi="Times New Roman"/>
          <w:sz w:val="20"/>
        </w:rPr>
        <w:t xml:space="preserve"> 55% economic ownership) to determine FBB’s required contributed DCF-based equity value, with the required incremental debt reduction by FBB being back solved to achieve FBB’s required contributed DCF-based equity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midpoints of its DCF analysis, Guggenheim Securities’ debt/equitization analysis indicated that FBB would be required to further reduce its indebtedness — beyond FBB’s $92 million debt/equitization that FBB is obligated to effect under the terms and conditions of the merger agreement — as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11"/>
        <w:gridCol w:w="343"/>
        <w:gridCol w:w="92"/>
        <w:gridCol w:w="1187"/>
        <w:gridCol w:w="155"/>
        <w:gridCol w:w="343"/>
        <w:gridCol w:w="296"/>
        <w:gridCol w:w="785"/>
        <w:gridCol w:w="160"/>
      </w:tblGrid>
      <w:tr>
        <w:trPr/>
        <w:tc>
          <w:tcPr>
            <w:tcW w:w="5211"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2" w:type="dxa"/>
            <w:gridSpan w:val="8"/>
            <w:tcBorders/>
            <w:vAlign w:val="bottom"/>
          </w:tcPr>
          <w:p>
            <w:pPr>
              <w:pStyle w:val="TableContents"/>
              <w:bidi w:val="0"/>
              <w:spacing w:before="0" w:after="283"/>
              <w:jc w:val="center"/>
              <w:rPr>
                <w:b/>
                <w:sz w:val="20"/>
              </w:rPr>
            </w:pPr>
            <w:r>
              <w:rPr>
                <w:b/>
                <w:sz w:val="20"/>
              </w:rPr>
              <w:t>Debt/Equitization Analysis ($ in millions)</w:t>
            </w:r>
          </w:p>
        </w:tc>
        <w:tc>
          <w:tcPr>
            <w:tcW w:w="160" w:type="dxa"/>
            <w:tcBorders/>
            <w:vAlign w:val="bottom"/>
          </w:tcPr>
          <w:p>
            <w:pPr>
              <w:pStyle w:val="TableContents"/>
              <w:bidi w:val="0"/>
              <w:spacing w:before="0" w:after="283"/>
              <w:jc w:val="left"/>
              <w:rPr/>
            </w:pPr>
            <w:r>
              <w:rPr/>
              <w:t> </w:t>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Primary Analysis</w:t>
            </w:r>
          </w:p>
        </w:tc>
        <w:tc>
          <w:tcPr>
            <w:tcW w:w="343"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Incremental</w:t>
              <w:br/>
              <w:t>Debt</w:t>
              <w:br/>
              <w:t>Reduction</w:t>
              <w:br/>
              <w:t>by FBB</w:t>
              <w:br/>
              <w:t>(Beyond</w:t>
              <w:br/>
              <w:t>$92 Million)</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Total</w:t>
              <w:br/>
              <w:t>Debt</w:t>
              <w:br/>
              <w:t>Reduction</w:t>
              <w:br/>
              <w:t>by FBB</w:t>
            </w:r>
          </w:p>
        </w:tc>
        <w:tc>
          <w:tcPr>
            <w:tcW w:w="160" w:type="dxa"/>
            <w:tcBorders/>
            <w:vAlign w:val="bottom"/>
          </w:tcPr>
          <w:p>
            <w:pPr>
              <w:pStyle w:val="TableContents"/>
              <w:bidi w:val="0"/>
              <w:spacing w:before="0" w:after="283"/>
              <w:jc w:val="left"/>
              <w:rPr/>
            </w:pPr>
            <w:r>
              <w:rPr/>
              <w:t> </w:t>
            </w:r>
          </w:p>
        </w:tc>
      </w:tr>
      <w:tr>
        <w:trPr/>
        <w:tc>
          <w:tcPr>
            <w:tcW w:w="5211" w:type="dxa"/>
            <w:tcBorders/>
            <w:shd w:fill="CCEEFF" w:val="clear"/>
          </w:tcPr>
          <w:p>
            <w:pPr>
              <w:pStyle w:val="TableContents"/>
              <w:bidi w:val="0"/>
              <w:spacing w:before="0" w:after="283"/>
              <w:jc w:val="left"/>
              <w:rPr/>
            </w:pPr>
            <w:r>
              <w:rPr/>
              <w:t>May 2026 DXL-Provided Financial Projections for DXL and FBB</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($111.9</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203.8</w:t>
            </w:r>
          </w:p>
        </w:tc>
        <w:tc>
          <w:tcPr>
            <w:tcW w:w="160" w:type="dxa"/>
            <w:tcBorders/>
            <w:shd w:fill="CCEEFF" w:val="clear"/>
            <w:vAlign w:val="bottom"/>
          </w:tcPr>
          <w:p>
            <w:pPr>
              <w:pStyle w:val="TableContents"/>
              <w:bidi w:val="0"/>
              <w:spacing w:before="0" w:after="283"/>
              <w:jc w:val="left"/>
              <w:rPr/>
            </w:pPr>
            <w:r>
              <w:rPr/>
              <w:t>) </w:t>
            </w:r>
          </w:p>
        </w:tc>
      </w:tr>
      <w:tr>
        <w:trPr>
          <w:trHeight w:val="240" w:hRule="atLeast"/>
        </w:trPr>
        <w:tc>
          <w:tcPr>
            <w:tcW w:w="5211" w:type="dxa"/>
            <w:tcBorders/>
            <w:vAlign w:val="center"/>
          </w:tcPr>
          <w:p>
            <w:pPr>
              <w:pStyle w:val="TableContents"/>
              <w:bidi w:val="0"/>
              <w:spacing w:before="0" w:after="283"/>
              <w:jc w:val="left"/>
              <w:rPr>
                <w:sz w:val="4"/>
                <w:szCs w:val="4"/>
              </w:rPr>
            </w:pPr>
            <w:r>
              <w:rPr>
                <w:sz w:val="4"/>
                <w:szCs w:val="4"/>
              </w:rPr>
            </w:r>
          </w:p>
        </w:tc>
        <w:tc>
          <w:tcPr>
            <w:tcW w:w="1777" w:type="dxa"/>
            <w:gridSpan w:val="4"/>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4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11"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 xml:space="preserve">May 2026 DXL-Provided Financial Projections for DXL and May 2026 FBB-Provided Financial Projections </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($38.0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129.9</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May 2026 Supplemental Financial Analyses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analyses.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5"/>
        <w:gridCol w:w="527"/>
        <w:gridCol w:w="132"/>
        <w:gridCol w:w="972"/>
        <w:gridCol w:w="63"/>
      </w:tblGrid>
      <w:tr>
        <w:trPr/>
        <w:tc>
          <w:tcPr>
            <w:tcW w:w="5245"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3" w:type="dxa"/>
            <w:tcBorders/>
            <w:vAlign w:val="bottom"/>
          </w:tcPr>
          <w:p>
            <w:pPr>
              <w:pStyle w:val="TableContents"/>
              <w:bidi w:val="0"/>
              <w:spacing w:before="0" w:after="283"/>
              <w:jc w:val="left"/>
              <w:rPr/>
            </w:pPr>
            <w:r>
              <w:rPr/>
              <w:t> </w:t>
            </w:r>
          </w:p>
        </w:tc>
      </w:tr>
      <w:tr>
        <w:trPr/>
        <w:tc>
          <w:tcPr>
            <w:tcW w:w="5245"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Trading</w:t>
              <w:br/>
              <w:t>Enterprise</w:t>
              <w:br/>
              <w:t>Value /</w:t>
              <w:br/>
              <w:t>CY2026E</w:t>
              <w:br/>
              <w:t>EBITDA</w:t>
            </w:r>
          </w:p>
        </w:tc>
        <w:tc>
          <w:tcPr>
            <w:tcW w:w="63" w:type="dxa"/>
            <w:tcBorders/>
            <w:vAlign w:val="bottom"/>
          </w:tcPr>
          <w:p>
            <w:pPr>
              <w:pStyle w:val="TableContents"/>
              <w:bidi w:val="0"/>
              <w:spacing w:before="0" w:after="283"/>
              <w:jc w:val="left"/>
              <w:rPr/>
            </w:pPr>
            <w:r>
              <w:rPr/>
              <w:t> </w:t>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4.9x</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6.1x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7.0x</w:t>
            </w:r>
          </w:p>
        </w:tc>
        <w:tc>
          <w:tcPr>
            <w:tcW w:w="63" w:type="dxa"/>
            <w:tcBorders/>
            <w:vAlign w:val="bottom"/>
          </w:tcPr>
          <w:p>
            <w:pPr>
              <w:pStyle w:val="TableContents"/>
              <w:bidi w:val="0"/>
              <w:spacing w:before="0" w:after="283"/>
              <w:jc w:val="left"/>
              <w:rPr/>
            </w:pPr>
            <w:r>
              <w:rPr/>
              <w:t> </w:t>
            </w:r>
          </w:p>
        </w:tc>
      </w:tr>
      <w:tr>
        <w:trPr>
          <w:trHeight w:val="240" w:hRule="atLeast"/>
        </w:trPr>
        <w:tc>
          <w:tcPr>
            <w:tcW w:w="5245" w:type="dxa"/>
            <w:tcBorders/>
            <w:vAlign w:val="center"/>
          </w:tcPr>
          <w:p>
            <w:pPr>
              <w:pStyle w:val="TableContents"/>
              <w:bidi w:val="0"/>
              <w:spacing w:before="0" w:after="283"/>
              <w:jc w:val="left"/>
              <w:rPr>
                <w:sz w:val="4"/>
                <w:szCs w:val="4"/>
              </w:rPr>
            </w:pPr>
            <w:r>
              <w:rPr>
                <w:sz w:val="4"/>
                <w:szCs w:val="4"/>
              </w:rPr>
            </w:r>
          </w:p>
        </w:tc>
        <w:tc>
          <w:tcPr>
            <w:tcW w:w="1694" w:type="dxa"/>
            <w:gridSpan w:val="4"/>
            <w:tcBorders/>
            <w:vAlign w:val="center"/>
          </w:tcPr>
          <w:p>
            <w:pPr>
              <w:pStyle w:val="TableContents"/>
              <w:bidi w:val="0"/>
              <w:spacing w:before="0" w:after="283"/>
              <w:jc w:val="left"/>
              <w:rPr>
                <w:sz w:val="4"/>
                <w:szCs w:val="4"/>
              </w:rPr>
            </w:pPr>
            <w:r>
              <w:rPr>
                <w:sz w:val="4"/>
                <w:szCs w:val="4"/>
              </w:rPr>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5.7x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–7.0x and applied such trading multiples to the May 2026 DXL-Provided Financial Projections for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$0.63 – $1.06 per share for purposes of evaluating DXL common stock on a standalone basis, as compared to an overall reference range of $0.79 – $1.00 per share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($61.8) million – $86.4 million for purposes of evaluating FBB’s common stock on a standalone basis, as compared to an overall reference range of ($48.3) million – $33.1 million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May 11, 2025 through May 11, 2026 (the last trading day prior to the Zodiac tender offer), and Guggenheim Securities noted that DXL common stock generally had traded in a range of approximately $0.44 – $1.69 per share, as compared to a range of approximately $0.88 – $3.10 per share from December 9, 2024 through December 9, 2025 (the last trading day prior to the announcement of the merger)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May 11, 2026 (the last trading day prior to the Zodiac tender offer) and Guggenheim Securities noted that such Wall Street equity research analyst stock price targets for DXL common stock were $1.00 – $1.50 per share, as compared to a range of $1.30 – $2.00 per share as published prior to December 9, 2025 (the last trading day prior to the announcement of the merger) in connection with the December 2025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or providing the May 2026 Supplemental Financial Analyses. The decision to enter into and, conduct an ongoing evaluation of, the merger agreement was solely that of the DXL Board. The December 2025 Opinion, which was rendered only on and as of December 10, 2025 and has not been and will not be updated, was just one of the many factors taken into consideration by the DXL Board in December 2025 in entering into the merger agreement and the May 2026 Supplemental Financial Analyses was just one of many factors taken into consideration by the DXL Board in May 2026 in determining that the merger is not in the best interests of DXL stockholders. Consequently, Guggenheim Securities’ financial analyses in December of 2025, and subsequently in May 2026, should not be viewed as determinative of the decision of the DXL Board with respect to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DXL stockholders should not rely on the December 2025 Opinion and it does not constitute advice or a recommendation to any DXL stockholder as to how any DXL stockholder should vote or act in connection with the merger or otherwise, and should be read only together with the May 2026 Supplemental Financial Analyses described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(ii) a cash work fee of $250,000 that became payable in May 2026, and (iii) a supplemental advisory fee of $250,000 that became payable in August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delivery of the May 2026 Supplemental Financial Analyses to provide financial advisory or investment banking services for which Guggenheim Securities received fees. Guggenheim Securities has not been previously engaged by FBB during the two years prior to the delivery of the May 2026 Supplemental Financial Analyses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Zodiac Partners, other participants in the merger or the Zodiac tender offer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Zodiac Partners, other participants in the merger or the Zodiac tender offer or their respective affiliates. Furthermore, Guggenheim Securities and its affiliates and related entities and its or their respective directors, officers, employees, consultants and agents may have investments in DXL, FBB, Zodiac Partners, other participants in the merger or the Zodiac tender offer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Zodiac Partners, other participants in the merger or the Zodiac tender offer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1" w:name="tx76201_18"/>
      <w:bookmarkEnd w:id="21"/>
      <w:r>
        <w:rPr>
          <w:rFonts w:ascii="Times New Roman" w:hAnsi="Times New Roman"/>
          <w:b/>
          <w:sz w:val="20"/>
        </w:rPr>
        <w:t xml:space="preserve">Certain Financial Projections </w:t>
      </w:r>
    </w:p>
    <w:p>
      <w:pPr>
        <w:pStyle w:val="TextBody"/>
        <w:bidi w:val="0"/>
        <w:spacing w:before="120" w:after="0"/>
        <w:jc w:val="left"/>
        <w:rPr>
          <w:rFonts w:ascii="Times New Roman" w:hAnsi="Times New Roman"/>
          <w:sz w:val="20"/>
        </w:rPr>
      </w:pPr>
      <w:r>
        <w:rPr>
          <w:rFonts w:ascii="Times New Roman" w:hAnsi="Times New Roman"/>
          <w:sz w:val="20"/>
        </w:rPr>
        <w:t>DXL does not, as a matter of course, publicly disclose long-term projections of future financial results due to the inherent unpredictability, uncertainty and subjectivity of underlying assumptions and estimates. However, DXL is including in this proxy statement certain unaudited prospective financial information for DXL and FBB that was made available to the DXL Board in connection with its evaluation of the merger as well as Guggenheim Securities for purposes of performing its financial analyses, as described above under “</w:t>
      </w:r>
      <w:r>
        <w:rPr>
          <w:rFonts w:ascii="Times New Roman" w:hAnsi="Times New Roman"/>
          <w:i/>
          <w:sz w:val="20"/>
        </w:rPr>
        <w:t>Summary</w:t>
      </w:r>
      <w:r>
        <w:rPr>
          <w:rFonts w:ascii="Times New Roman" w:hAnsi="Times New Roman"/>
          <w:sz w:val="20"/>
        </w:rPr>
        <w:t>—</w:t>
      </w:r>
      <w:r>
        <w:rPr>
          <w:rFonts w:ascii="Times New Roman" w:hAnsi="Times New Roman"/>
          <w:i/>
          <w:sz w:val="20"/>
        </w:rPr>
        <w:t xml:space="preserve">Summary Comparison of Key Analytical Results </w:t>
      </w:r>
      <w:r>
        <w:rPr>
          <w:rFonts w:ascii="Times New Roman" w:hAnsi="Times New Roman"/>
          <w:sz w:val="20"/>
        </w:rPr>
        <w:t xml:space="preserve">— </w:t>
      </w:r>
      <w:r>
        <w:rPr>
          <w:rFonts w:ascii="Times New Roman" w:hAnsi="Times New Roman"/>
          <w:i/>
          <w:sz w:val="20"/>
        </w:rPr>
        <w:t>May 2026 Supplemental Financial Analyses versus December 2025</w:t>
      </w:r>
      <w:r>
        <w:rPr>
          <w:rFonts w:ascii="Times New Roman" w:hAnsi="Times New Roman"/>
          <w:sz w:val="20"/>
        </w:rPr>
        <w:t xml:space="preserve"> </w:t>
      </w:r>
      <w:r>
        <w:rPr>
          <w:rFonts w:ascii="Times New Roman" w:hAnsi="Times New Roman"/>
          <w:i/>
          <w:sz w:val="20"/>
        </w:rPr>
        <w:t>Opinion,” “—December 2025 Opinion of Guggenheim Securities, Financial Advisor to DXL” and “—May 2026 Supplemental Financial Analyses Prepared by Guggenheim Securities, Financial Advisor to DXL.</w:t>
      </w:r>
      <w:r>
        <w:rPr>
          <w:rFonts w:ascii="Times New Roman" w:hAnsi="Times New Roman"/>
          <w:sz w:val="20"/>
        </w:rPr>
        <w:t xml:space="preserve">” We refer to this information as the “Financial Projections.” A summary of certain significant elements of this information is included in this proxy statement for the purpose of providing DXL stockholders access to certain nonpublic information made available to DXL, the DXL Board and Guggenheim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Financial Projections should not be deemed an admission or representation by DXL, Guggenheim Securities, FBB or any of their respective officers, directors, affiliates, advisors, or other representatives with respect to such Financial Projections. The Financial Projections are not included to influence your views on the merger and the information from the Financial Projections should be evaluated, if at all, in conjunction with the historical financial statements and other information regarding FBB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Financial Projections contained in this section were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Neither DXL’s nor FBB’s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KPMG LLP reports incorporated by reference in this proxy statement relate to the previously issued financial statements of DXL. These reports, as well as the reports related to FBB included herein, do not extend to the Financial Projections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Further, the Financial Projections do not take into account the effect of any possible failure of the merger to occur. No assurances can be given that the estimates and assumptions made in preparing the Financial Projections will prove accurate or that any of the Financial Projections will be realized.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10-year December 2025 DXL-Provided Financial Projections for DXL provided to Guggenheim Securities and approved for Guggenheim Securities’ use by DXL’s senior management, in the financial analyses performed in connection with the December 2025 Opinion as described in </w:t>
      </w:r>
      <w:r>
        <w:rPr>
          <w:rFonts w:ascii="Times New Roman" w:hAnsi="Times New Roman"/>
          <w:i/>
          <w:sz w:val="20"/>
        </w:rPr>
        <w:t>the section titled “—December 2025 Opinion of Guggenheim Securities, Financial Advisor to DXL</w:t>
      </w:r>
      <w:r>
        <w:rPr>
          <w:rFonts w:ascii="Times New Roman" w:hAnsi="Times New Roman"/>
          <w:sz w:val="20"/>
        </w:rPr>
        <w:t xml:space="preserve">.” </w:t>
      </w: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 xml:space="preserve">the May 2026 Supplemental Financial Analyses described in the section entitled </w:t>
      </w:r>
      <w:r>
        <w:rPr>
          <w:rFonts w:ascii="Times New Roman" w:hAnsi="Times New Roman"/>
          <w:sz w:val="20"/>
        </w:rPr>
        <w:t>“—</w:t>
      </w:r>
      <w:r>
        <w:rPr>
          <w:rFonts w:ascii="Times New Roman" w:hAnsi="Times New Roman"/>
          <w:b/>
          <w:i/>
          <w:sz w:val="20"/>
        </w:rPr>
        <w:t>May 2026 Supplemental Financial Analyses Prepared by Guggenheim Securities, Financial Advisor to DXL</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1414"/>
        <w:gridCol w:w="142"/>
        <w:gridCol w:w="240"/>
        <w:gridCol w:w="426"/>
        <w:gridCol w:w="155"/>
        <w:gridCol w:w="83"/>
        <w:gridCol w:w="240"/>
        <w:gridCol w:w="426"/>
        <w:gridCol w:w="155"/>
        <w:gridCol w:w="83"/>
        <w:gridCol w:w="240"/>
        <w:gridCol w:w="426"/>
        <w:gridCol w:w="155"/>
        <w:gridCol w:w="83"/>
        <w:gridCol w:w="179"/>
        <w:gridCol w:w="486"/>
        <w:gridCol w:w="59"/>
        <w:gridCol w:w="142"/>
        <w:gridCol w:w="179"/>
        <w:gridCol w:w="486"/>
        <w:gridCol w:w="60"/>
        <w:gridCol w:w="142"/>
        <w:gridCol w:w="179"/>
        <w:gridCol w:w="486"/>
        <w:gridCol w:w="60"/>
        <w:gridCol w:w="142"/>
        <w:gridCol w:w="179"/>
        <w:gridCol w:w="486"/>
        <w:gridCol w:w="60"/>
        <w:gridCol w:w="141"/>
        <w:gridCol w:w="179"/>
        <w:gridCol w:w="486"/>
        <w:gridCol w:w="60"/>
        <w:gridCol w:w="142"/>
        <w:gridCol w:w="179"/>
        <w:gridCol w:w="486"/>
        <w:gridCol w:w="60"/>
        <w:gridCol w:w="142"/>
        <w:gridCol w:w="179"/>
        <w:gridCol w:w="486"/>
        <w:gridCol w:w="72"/>
      </w:tblGrid>
      <w:tr>
        <w:trPr/>
        <w:tc>
          <w:tcPr>
            <w:tcW w:w="141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577" w:type="dxa"/>
            <w:gridSpan w:val="38"/>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2025E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442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507</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559</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593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611</w:t>
            </w:r>
          </w:p>
        </w:tc>
        <w:tc>
          <w:tcPr>
            <w:tcW w:w="72" w:type="dxa"/>
            <w:tcBorders/>
            <w:shd w:fill="CCEEFF" w:val="clear"/>
            <w:vAlign w:val="bottom"/>
          </w:tcPr>
          <w:p>
            <w:pPr>
              <w:pStyle w:val="TableContents"/>
              <w:bidi w:val="0"/>
              <w:spacing w:before="0" w:after="283"/>
              <w:jc w:val="left"/>
              <w:rPr/>
            </w:pPr>
            <w:r>
              <w:rPr/>
              <w:t> </w:t>
            </w:r>
          </w:p>
        </w:tc>
      </w:tr>
      <w:tr>
        <w:trPr/>
        <w:tc>
          <w:tcPr>
            <w:tcW w:w="141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43</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10-year December 2025 DXL-Provided Financial Projections for FBB provided to Guggenheim Securities, and approved for Guggenheim Securities’ use by DXL’s senior management, in the financial analyses performed in connection with the December 2025 Opinion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xml:space="preserve">”, DXL was provided the December 2025 FBB-Provided Financial Projections for the years ending December 31, 2025 through December 31, 2029 by the management of FBB, and management of DXL prepared the December 2025 DXL-Provided Financial Projections for FBB for the years ending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December 31, 2034, based on DXL management’s 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1521"/>
        <w:gridCol w:w="143"/>
        <w:gridCol w:w="179"/>
        <w:gridCol w:w="486"/>
        <w:gridCol w:w="60"/>
        <w:gridCol w:w="143"/>
        <w:gridCol w:w="179"/>
        <w:gridCol w:w="486"/>
        <w:gridCol w:w="60"/>
        <w:gridCol w:w="143"/>
        <w:gridCol w:w="179"/>
        <w:gridCol w:w="486"/>
        <w:gridCol w:w="60"/>
        <w:gridCol w:w="143"/>
        <w:gridCol w:w="179"/>
        <w:gridCol w:w="486"/>
        <w:gridCol w:w="60"/>
        <w:gridCol w:w="143"/>
        <w:gridCol w:w="179"/>
        <w:gridCol w:w="486"/>
        <w:gridCol w:w="60"/>
        <w:gridCol w:w="143"/>
        <w:gridCol w:w="178"/>
        <w:gridCol w:w="486"/>
        <w:gridCol w:w="60"/>
        <w:gridCol w:w="143"/>
        <w:gridCol w:w="179"/>
        <w:gridCol w:w="486"/>
        <w:gridCol w:w="60"/>
        <w:gridCol w:w="143"/>
        <w:gridCol w:w="179"/>
        <w:gridCol w:w="486"/>
        <w:gridCol w:w="60"/>
        <w:gridCol w:w="143"/>
        <w:gridCol w:w="179"/>
        <w:gridCol w:w="486"/>
        <w:gridCol w:w="60"/>
        <w:gridCol w:w="143"/>
        <w:gridCol w:w="179"/>
        <w:gridCol w:w="486"/>
        <w:gridCol w:w="65"/>
      </w:tblGrid>
      <w:tr>
        <w:trPr/>
        <w:tc>
          <w:tcPr>
            <w:tcW w:w="15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76" w:type="dxa"/>
            <w:gridSpan w:val="38"/>
            <w:tcBorders/>
            <w:vAlign w:val="bottom"/>
          </w:tcPr>
          <w:p>
            <w:pPr>
              <w:pStyle w:val="TableContents"/>
              <w:bidi w:val="0"/>
              <w:spacing w:before="0" w:after="283"/>
              <w:jc w:val="center"/>
              <w:rPr>
                <w:b/>
              </w:rPr>
            </w:pPr>
            <w:r>
              <w:rPr>
                <w:b/>
              </w:rPr>
              <w:t>Fiscal Year Ending December</w:t>
            </w:r>
          </w:p>
        </w:tc>
        <w:tc>
          <w:tcPr>
            <w:tcW w:w="65"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4"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780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852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911</w:t>
            </w:r>
          </w:p>
        </w:tc>
        <w:tc>
          <w:tcPr>
            <w:tcW w:w="65"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May 2026 DXL-Provided Financial Projections for DXL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w:t>
      </w:r>
      <w:r>
        <w:rPr>
          <w:rFonts w:ascii="Times New Roman" w:hAnsi="Times New Roman"/>
          <w:sz w:val="20"/>
        </w:rPr>
        <w:t xml:space="preserve"> </w:t>
      </w:r>
      <w:r>
        <w:rPr>
          <w:rFonts w:ascii="Times New Roman" w:hAnsi="Times New Roman"/>
          <w:i/>
          <w:sz w:val="20"/>
        </w:rPr>
        <w:t>Financial Advisor to DXL</w:t>
      </w:r>
      <w:r>
        <w:rPr>
          <w:rFonts w:ascii="Times New Roman" w:hAnsi="Times New Roman"/>
          <w:sz w:val="20"/>
        </w:rPr>
        <w:t xml:space="preserve">.” </w:t>
      </w:r>
      <w:r>
        <w:rPr>
          <w:rFonts w:ascii="Times New Roman" w:hAnsi="Times New Roman"/>
          <w:b/>
          <w:sz w:val="20"/>
        </w:rPr>
        <w:t>The May 2026 Supplemental Financial Analyses were provided to the DXL Board (in its capacity as such) for its information and assistance in connection with its ongoing evaluation</w:t>
      </w:r>
      <w:r>
        <w:rPr>
          <w:rFonts w:ascii="Times New Roman" w:hAnsi="Times New Roman"/>
          <w:sz w:val="20"/>
        </w:rPr>
        <w:t xml:space="preserve"> </w:t>
      </w:r>
      <w:r>
        <w:rPr>
          <w:rFonts w:ascii="Times New Roman" w:hAnsi="Times New Roman"/>
          <w:b/>
          <w:sz w:val="20"/>
        </w:rPr>
        <w:t>of the merger. The May 2026 Supplemental Financial Analyses do not constitute an opinion, view, report</w:t>
      </w:r>
      <w:r>
        <w:rPr>
          <w:rFonts w:ascii="Times New Roman" w:hAnsi="Times New Roman"/>
          <w:sz w:val="20"/>
        </w:rPr>
        <w:t xml:space="preserve"> </w:t>
      </w:r>
      <w:r>
        <w:rPr>
          <w:rFonts w:ascii="Times New Roman" w:hAnsi="Times New Roman"/>
          <w:b/>
          <w:sz w:val="20"/>
        </w:rPr>
        <w:t>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2152"/>
        <w:gridCol w:w="164"/>
        <w:gridCol w:w="179"/>
        <w:gridCol w:w="486"/>
        <w:gridCol w:w="60"/>
        <w:gridCol w:w="164"/>
        <w:gridCol w:w="179"/>
        <w:gridCol w:w="486"/>
        <w:gridCol w:w="60"/>
        <w:gridCol w:w="164"/>
        <w:gridCol w:w="240"/>
        <w:gridCol w:w="428"/>
        <w:gridCol w:w="155"/>
        <w:gridCol w:w="107"/>
        <w:gridCol w:w="179"/>
        <w:gridCol w:w="486"/>
        <w:gridCol w:w="60"/>
        <w:gridCol w:w="164"/>
        <w:gridCol w:w="179"/>
        <w:gridCol w:w="486"/>
        <w:gridCol w:w="60"/>
        <w:gridCol w:w="164"/>
        <w:gridCol w:w="179"/>
        <w:gridCol w:w="486"/>
        <w:gridCol w:w="59"/>
        <w:gridCol w:w="164"/>
        <w:gridCol w:w="179"/>
        <w:gridCol w:w="486"/>
        <w:gridCol w:w="60"/>
        <w:gridCol w:w="164"/>
        <w:gridCol w:w="179"/>
        <w:gridCol w:w="486"/>
        <w:gridCol w:w="60"/>
        <w:gridCol w:w="164"/>
        <w:gridCol w:w="179"/>
        <w:gridCol w:w="486"/>
        <w:gridCol w:w="72"/>
      </w:tblGrid>
      <w:tr>
        <w:trPr/>
        <w:tc>
          <w:tcPr>
            <w:tcW w:w="215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817" w:type="dxa"/>
            <w:gridSpan w:val="34"/>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451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481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491</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525</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72"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24</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35</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Provided by FBB as of May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updated four-year May 2026 FBB-Provided Financial Projections for the years ending December 31, 2026 through December 31, 2029, provided to DXL’s senior management, and used by DXL’s senior management to prepare the May 2026 DXL-Provided Financial Projections. FBB’s management prepared these financial projections based on its judgment and experience in the industry and its analysis of FBB and its business. The May 2026 FBB-Provided Financial Projections were provided by FBB or its representatives and reflect FBB’s views. Accordingly, the May 2026 FBB-Provided Financial Projections may differ from, and in certain cases may be inconsistent with, the current views of the DXL Board. DXL stockholders should not view the inclusion of the May 2026 FBB-Provided Financial Projections as a recommendation by the DXL Board or as an indication that the DXL Board believes such projections will be realized, and should not place undue reliance on such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344"/>
        <w:gridCol w:w="238"/>
        <w:gridCol w:w="179"/>
        <w:gridCol w:w="487"/>
        <w:gridCol w:w="60"/>
        <w:gridCol w:w="238"/>
        <w:gridCol w:w="179"/>
        <w:gridCol w:w="487"/>
        <w:gridCol w:w="60"/>
        <w:gridCol w:w="238"/>
        <w:gridCol w:w="179"/>
        <w:gridCol w:w="487"/>
        <w:gridCol w:w="60"/>
        <w:gridCol w:w="238"/>
        <w:gridCol w:w="178"/>
        <w:gridCol w:w="487"/>
        <w:gridCol w:w="66"/>
      </w:tblGrid>
      <w:tr>
        <w:trPr/>
        <w:tc>
          <w:tcPr>
            <w:tcW w:w="6344"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55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710</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741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767</w:t>
            </w:r>
          </w:p>
        </w:tc>
        <w:tc>
          <w:tcPr>
            <w:tcW w:w="66" w:type="dxa"/>
            <w:tcBorders/>
            <w:shd w:fill="CCEEFF" w:val="clear"/>
            <w:vAlign w:val="bottom"/>
          </w:tcPr>
          <w:p>
            <w:pPr>
              <w:pStyle w:val="TableContents"/>
              <w:bidi w:val="0"/>
              <w:spacing w:before="0" w:after="283"/>
              <w:jc w:val="left"/>
              <w:rPr/>
            </w:pPr>
            <w:r>
              <w:rPr/>
              <w:t> </w:t>
            </w:r>
          </w:p>
        </w:tc>
      </w:tr>
      <w:tr>
        <w:trPr/>
        <w:tc>
          <w:tcPr>
            <w:tcW w:w="634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EBITDA(1)(2)</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53</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20"/>
              <w:jc w:val="left"/>
              <w:rPr>
                <w:rFonts w:ascii="Times New Roman" w:hAnsi="Times New Roman"/>
                <w:sz w:val="18"/>
              </w:rPr>
            </w:pPr>
            <w:r>
              <w:rPr>
                <w:rFonts w:ascii="Times New Roman" w:hAnsi="Times New Roman"/>
                <w:b/>
                <w:sz w:val="18"/>
              </w:rPr>
              <w:t xml:space="preserve">Adj. EBITDA </w:t>
            </w:r>
            <w:r>
              <w:rPr>
                <w:rFonts w:ascii="Times New Roman" w:hAnsi="Times New Roman"/>
                <w:b/>
                <w:i/>
                <w:sz w:val="18"/>
              </w:rPr>
              <w:t>less</w:t>
            </w:r>
            <w:r>
              <w:rPr>
                <w:rFonts w:ascii="Times New Roman" w:hAnsi="Times New Roman"/>
                <w:sz w:val="18"/>
              </w:rPr>
              <w:t xml:space="preserve"> </w:t>
            </w:r>
            <w:r>
              <w:rPr>
                <w:rFonts w:ascii="Times New Roman" w:hAnsi="Times New Roman"/>
                <w:b/>
                <w:sz w:val="18"/>
              </w:rPr>
              <w:t>Capital Expenditures(1)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May 2026 FBB-Provided Financial Projections furnished to DXL by FBB included estimates of Revenue and Adjusted EBITDA attributable to potential future acquisitions. The amounts presented in this table have been adjusted to exclude those acquisition-related estimates.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May 2026 DXL-Provided Financial Projections for FBB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was provided the May 2026 FBB-Provided Financial Projections for the years ending December 31, 2026 through December 31, 2029 by the management of FBB, and management of DXL prepared the May 2026 DXL-Provided Financial Projections for FBB for the years ending December 31, 2026 through December 31, 2034, based on DXL management’s 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2217"/>
        <w:gridCol w:w="161"/>
        <w:gridCol w:w="179"/>
        <w:gridCol w:w="486"/>
        <w:gridCol w:w="60"/>
        <w:gridCol w:w="161"/>
        <w:gridCol w:w="179"/>
        <w:gridCol w:w="486"/>
        <w:gridCol w:w="60"/>
        <w:gridCol w:w="161"/>
        <w:gridCol w:w="179"/>
        <w:gridCol w:w="486"/>
        <w:gridCol w:w="60"/>
        <w:gridCol w:w="160"/>
        <w:gridCol w:w="179"/>
        <w:gridCol w:w="486"/>
        <w:gridCol w:w="60"/>
        <w:gridCol w:w="161"/>
        <w:gridCol w:w="179"/>
        <w:gridCol w:w="486"/>
        <w:gridCol w:w="60"/>
        <w:gridCol w:w="161"/>
        <w:gridCol w:w="179"/>
        <w:gridCol w:w="486"/>
        <w:gridCol w:w="60"/>
        <w:gridCol w:w="161"/>
        <w:gridCol w:w="179"/>
        <w:gridCol w:w="486"/>
        <w:gridCol w:w="59"/>
        <w:gridCol w:w="161"/>
        <w:gridCol w:w="179"/>
        <w:gridCol w:w="486"/>
        <w:gridCol w:w="60"/>
        <w:gridCol w:w="161"/>
        <w:gridCol w:w="179"/>
        <w:gridCol w:w="486"/>
        <w:gridCol w:w="76"/>
      </w:tblGrid>
      <w:tr>
        <w:trPr/>
        <w:tc>
          <w:tcPr>
            <w:tcW w:w="221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751" w:type="dxa"/>
            <w:gridSpan w:val="34"/>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Fiscal Year Ending December</w:t>
            </w:r>
          </w:p>
        </w:tc>
        <w:tc>
          <w:tcPr>
            <w:tcW w:w="76" w:type="dxa"/>
            <w:tcBorders/>
            <w:vAlign w:val="bottom"/>
          </w:tcPr>
          <w:p>
            <w:pPr>
              <w:pStyle w:val="TableContents"/>
              <w:bidi w:val="0"/>
              <w:spacing w:before="0" w:after="283"/>
              <w:jc w:val="left"/>
              <w:rPr/>
            </w:pPr>
            <w:r>
              <w:rPr/>
              <w:t> </w:t>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680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696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746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771</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796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822</w:t>
            </w:r>
          </w:p>
        </w:tc>
        <w:tc>
          <w:tcPr>
            <w:tcW w:w="76" w:type="dxa"/>
            <w:tcBorders/>
            <w:shd w:fill="CCEEFF" w:val="clear"/>
            <w:vAlign w:val="bottom"/>
          </w:tcPr>
          <w:p>
            <w:pPr>
              <w:pStyle w:val="TableContents"/>
              <w:bidi w:val="0"/>
              <w:spacing w:before="0" w:after="283"/>
              <w:jc w:val="left"/>
              <w:rPr/>
            </w:pPr>
            <w:r>
              <w:rPr/>
              <w:t> </w:t>
            </w:r>
          </w:p>
        </w:tc>
      </w:tr>
      <w:tr>
        <w:trPr/>
        <w:tc>
          <w:tcPr>
            <w:tcW w:w="2217"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17</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Unlevered Free Cash Flow for FBB was not provided by FBB as part of the May 2026 FBB-Provided Financial Projections. Accordingly, Unlevered Free Cash Flow for FBB was calculated by DXL, with the assistance of Guggenheim Securities, using a methodology consistent with that used to calculate Unlevered Free Cash Flow in the May 2026 DXL-Provided Financial Projections for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068"/>
        <w:gridCol w:w="304"/>
        <w:gridCol w:w="232"/>
        <w:gridCol w:w="437"/>
        <w:gridCol w:w="60"/>
        <w:gridCol w:w="304"/>
        <w:gridCol w:w="232"/>
        <w:gridCol w:w="437"/>
        <w:gridCol w:w="60"/>
        <w:gridCol w:w="304"/>
        <w:gridCol w:w="232"/>
        <w:gridCol w:w="437"/>
        <w:gridCol w:w="60"/>
        <w:gridCol w:w="304"/>
        <w:gridCol w:w="231"/>
        <w:gridCol w:w="437"/>
        <w:gridCol w:w="66"/>
      </w:tblGrid>
      <w:tr>
        <w:trPr/>
        <w:tc>
          <w:tcPr>
            <w:tcW w:w="6068"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76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068"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Flow(1)</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33</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standalone Financial Projections for DXL and FBB were prepared separately using, in some cases, different assumptions, and are not intended to be added together. Adding the financial forecasts together for the two companies is not intended to represent the results DXL will achieve if the merger is completed and is not intended to represent forecasted financial information for DXL if the merger is completed. By including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proxy statement a summary of the Financial Projections, none of DXL, FBB or any of their respective representatives has made or makes any representation to any person regarding the ultimate performance of DXL or FBB compared to the information contained in the Financial Projections. Neither DXL nor FBB undertakes any obligation to update or otherwise revise the Financial Projections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The Financial Projections summarized in this section are not included in this proxy statement in order to induce any holder of DXL common stock to vote in favor of the issuance proposal or any of the other proposals to be voted on at the special meeting. </w:t>
      </w:r>
    </w:p>
    <w:p>
      <w:pPr>
        <w:pStyle w:val="TextBody"/>
        <w:bidi w:val="0"/>
        <w:spacing w:before="240" w:after="0"/>
        <w:jc w:val="left"/>
        <w:rPr>
          <w:rFonts w:ascii="Times New Roman" w:hAnsi="Times New Roman"/>
          <w:sz w:val="20"/>
        </w:rPr>
      </w:pPr>
      <w:r>
        <w:rPr>
          <w:rFonts w:ascii="Times New Roman" w:hAnsi="Times New Roman"/>
          <w:sz w:val="20"/>
        </w:rPr>
        <w:t>Certain of the Financial Projections were not prepared in accordance with GAAP, including Adjusted EBITDA and Unlevered Free Cash Flow (collectively, the “non-GAAP financial measures”). DXL believes that the use of these non-GAAP financial measures is useful in analyzing the financial forecasts and that they enhance investors’ understanding of DXL and FBB financial projections. The presentation of these non-GAAP financial measures is not in accordance with GAAP and should not be considered superior to, or as a substitute for, net income (loss), cash provided by operations or any other measure of performance derived in accordance with GAAP. In addition, not all companies calculate Adjusted EBITDA and Unlevered Free Cash Flow in the same manner and, accordingly, the non-GAAP financial measures presented in the Financial Projections may not be comparable to similar Adjusted EBITDA and Unlevered Free Cash Flow measures used by other companies. Reconciliations of non-GAAP financial measures were not relied upon by Guggenheim Securities for purposes of the December 2025 Opinion or the May 2026 Supplemental Financial Analyses, each as described in the sections entitled “—</w:t>
      </w:r>
      <w:r>
        <w:rPr>
          <w:rFonts w:ascii="Times New Roman" w:hAnsi="Times New Roman"/>
          <w:i/>
          <w:sz w:val="20"/>
        </w:rPr>
        <w:t>December 2025</w:t>
      </w:r>
      <w:r>
        <w:rPr>
          <w:rFonts w:ascii="Times New Roman" w:hAnsi="Times New Roman"/>
          <w:sz w:val="20"/>
        </w:rPr>
        <w:t xml:space="preserve"> </w:t>
      </w:r>
      <w:r>
        <w:rPr>
          <w:rFonts w:ascii="Times New Roman" w:hAnsi="Times New Roman"/>
          <w:i/>
          <w:sz w:val="20"/>
        </w:rPr>
        <w:t>Opinion of Guggenheim Securities, Financial Advisor to DXL</w:t>
      </w:r>
      <w:r>
        <w:rPr>
          <w:rFonts w:ascii="Times New Roman" w:hAnsi="Times New Roman"/>
          <w:sz w:val="20"/>
        </w:rPr>
        <w:t>” and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or by the DXL Board in connection with its consideration of the merger. In addition, financial measures provided to a board of directors or a financial advisor are excluded from the definition of non-GAAP financial measures under SEC rules and, therefore, are not subject to SEC rules regarding disclosures of non-GAAP financial measures, which would otherwise require, among other information, a reconciliation of a non-GAAP financial measure to a GAAP financial measure. Accordingly, DXL has not provided a reconciliation of the financial measures included in the Financial Projections. </w:t>
      </w:r>
    </w:p>
    <w:p>
      <w:pPr>
        <w:pStyle w:val="TextBody"/>
        <w:bidi w:val="0"/>
        <w:spacing w:before="360" w:after="0"/>
        <w:jc w:val="left"/>
        <w:rPr>
          <w:rFonts w:ascii="Times New Roman" w:hAnsi="Times New Roman"/>
          <w:b/>
          <w:sz w:val="20"/>
        </w:rPr>
      </w:pPr>
      <w:bookmarkStart w:id="22" w:name="tx76201_19"/>
      <w:bookmarkEnd w:id="22"/>
      <w:r>
        <w:rPr>
          <w:rFonts w:ascii="Times New Roman" w:hAnsi="Times New Roman"/>
          <w:b/>
          <w:sz w:val="20"/>
        </w:rPr>
        <w:t xml:space="preserve">Interests of DXL’s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As described below, some of DXL’s directors and executive officers have interests in the merger that are different from, or in addition to, those of other DXL stockholders generally. Members of the DXL Board were aware of and considered these interests, among other matters, in reaching its decision to approve the merger agreement in December 2025, and in evaluating and negotiating the merger agreement and the merger. In light of developments since the execution of the merger agreement, the DXL Board now recommends that DXL stockholders vote against the issuance proposal that is necessary for the merger.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DXL stockholders should take these interests into account in deciding whether to vote against the issuance proposal and in favor of the reverse stock split proposal and the 2016 plan proposal. These interests are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In conducting its ongoing evaluation of the merger, the DXL Board was aware that the current directors (including DXL’s interim chief executive officer), DXL’s chief financial officer, and the former chief executive officer and former director of DXL had entered into voting agreements in connection with the merger agreement, pursuant to which they agreed to vote in favor of the issuance proposal. The DXL Board was also aware that certain current directors and executive officers of DXL would be expected to continue serving as directors or executive officers of the combined company if the merger were consummated, as described below. The directors participated in the DXL Board’s review of updated information and analyses and in the DXL Board’s consideration of its recommendation with respect to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Continued Board of Directors Service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if the merger is consummated, it is expected that four of DXL’s current directors, Lionel F. Conacher, Carmen R. Bauza, Jack Boyle, and Willem Mesdag, would continue to serve on the board of directors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Payments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if consummated, would constitute a “change in control” (a “CIC”) pursuant to the DXL agreements and plans applicable to the executive officers described herein. A description of potential payments to executive officers of DXL are detailed below. The information set forth in the table below is intended to comply with Item 402(t) of the SEC’s Regulation S-K, which requires disclosure of information about compensation paid to DXL’s named executive officers that is based on, or otherwise relates to,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Harvey S. Kanter Retirement </w:t>
      </w:r>
    </w:p>
    <w:p>
      <w:pPr>
        <w:pStyle w:val="TextBody"/>
        <w:bidi w:val="0"/>
        <w:spacing w:before="120" w:after="0"/>
        <w:jc w:val="left"/>
        <w:rPr>
          <w:rFonts w:ascii="Times New Roman" w:hAnsi="Times New Roman"/>
          <w:sz w:val="20"/>
        </w:rPr>
      </w:pPr>
      <w:r>
        <w:rPr>
          <w:rFonts w:ascii="Times New Roman" w:hAnsi="Times New Roman"/>
          <w:sz w:val="20"/>
        </w:rPr>
        <w:t xml:space="preserve">Mr. Kanter served as president and chief executive officer of DXL until August 11, 2026. In accordance with the notice requirements in his employment agreement, Mr. Kanter was provided notice on May 11, 2026 that his employment with DXL would not continue past the end of the term of his current employment agreement. Accordingly, Mr. Kanter retired on August 11, 2026. In connection with his retirement, all outstanding unvested equity awards held by Mr. Kanter were forfeited and, as a result, Mr. Kanter is not entitled to any accelerated equity vesting or other benefits in connection with a CIC. </w:t>
      </w:r>
    </w:p>
    <w:p>
      <w:pPr>
        <w:pStyle w:val="TextBody"/>
        <w:bidi w:val="0"/>
        <w:spacing w:before="360" w:after="0"/>
        <w:jc w:val="left"/>
        <w:rPr>
          <w:rFonts w:ascii="Times New Roman" w:hAnsi="Times New Roman"/>
          <w:i/>
          <w:sz w:val="20"/>
        </w:rPr>
      </w:pPr>
      <w:r>
        <w:rPr>
          <w:rFonts w:ascii="Times New Roman" w:hAnsi="Times New Roman"/>
          <w:i/>
          <w:sz w:val="20"/>
        </w:rPr>
        <w:t xml:space="preserve">Lionel F. Conacher Offer Letter </w:t>
      </w:r>
    </w:p>
    <w:p>
      <w:pPr>
        <w:pStyle w:val="TextBody"/>
        <w:bidi w:val="0"/>
        <w:spacing w:before="120" w:after="0"/>
        <w:jc w:val="left"/>
        <w:rPr>
          <w:rFonts w:ascii="Times New Roman" w:hAnsi="Times New Roman"/>
          <w:sz w:val="20"/>
        </w:rPr>
      </w:pPr>
      <w:r>
        <w:rPr>
          <w:rFonts w:ascii="Times New Roman" w:hAnsi="Times New Roman"/>
          <w:sz w:val="20"/>
        </w:rPr>
        <w:t xml:space="preserve">DXL offered Mr. Conacher the position of interim chief executive officer and principal executive officer on August 5, 2026 to which he accepted. Mr. Conacher has served as a member of the DXL Board since June 2018 and he remains eligible to continue with his Board service during his employment as interim chief executive officer. However, Mr. Conacher will not receive any additional compensation for his Board service while he is employed as interim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offer letter, Mr. Conacher will receive a base salary of $80,000 per month, prorated for any partial month of employment. In addition, he will receive an additional monthly payment of $15,000 per month paid in the form of fully vested Shares (as defined in the Destination XL Group, Inc. Second Amended and Restated 2016 Incentive Compensation Plan) issued pursuant to, and subject to the terms of, the plan. The number of Shares is calculated by dividing $15,000 by the closing price of the Shares on the business day immediately prior to the grant date,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Mr. Conacher will also be eligible for benefits that are made available to other executive officers. Mr. Conacher is not eligible to participate in the AIP or the LTIP. Additionally, Mr. Conacher will not receive any CIC payments. Mr. Conacher’s employment is at will and may be terminated at any time. If Mr. Conacher’s employment is terminated other than by DXL with “justifiable cause”, each party must provide thirty (30) days’ advance notice of termination.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Named Executive Officers (Other than the CEO) </w:t>
      </w:r>
    </w:p>
    <w:p>
      <w:pPr>
        <w:pStyle w:val="TextBody"/>
        <w:bidi w:val="0"/>
        <w:spacing w:before="120" w:after="0"/>
        <w:jc w:val="left"/>
        <w:rPr>
          <w:rFonts w:ascii="Times New Roman" w:hAnsi="Times New Roman"/>
          <w:sz w:val="20"/>
        </w:rPr>
      </w:pPr>
      <w:r>
        <w:rPr>
          <w:rFonts w:ascii="Times New Roman" w:hAnsi="Times New Roman"/>
          <w:sz w:val="20"/>
        </w:rPr>
        <w:t xml:space="preserve">DXL has employment agreements with each of Messrs. Stratton, Gaeta, and Molloy and Ms. Surette (collectively, the “NEO Employment Agreements”). In accordance with the NEO Employment Agreements, if any of the executive officers experiences a termination without “justifiable cause” or for “good reason” (each, a “Qualifying Termination”) within one (1) year following a CIC, the named executive officer will receive twelve (12) months of the executive’s base salary. For Mr. Stratton and Mr. Molloy, this is the highest base salary in effect at any time during the six-month period ending on a CIC, for Mr. Gaeta and Ms. Surette, this is base salary in effect at the time of termination, in each case generally paid in a single payment within thirty (30) days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240" w:after="0"/>
        <w:jc w:val="left"/>
        <w:rPr>
          <w:rFonts w:ascii="Times New Roman" w:hAnsi="Times New Roman"/>
          <w:sz w:val="20"/>
        </w:rPr>
      </w:pPr>
      <w:r>
        <w:rPr>
          <w:rFonts w:ascii="Times New Roman" w:hAnsi="Times New Roman"/>
          <w:sz w:val="20"/>
        </w:rPr>
        <w:t>The proposed merger would constitute a CIC under the NEO Employment Agreements and the LTIP. For an estimate of the value of the severance payments and benefits that would be payable to Messrs. Stratton, Gaeta, and Molloy and Ms. Surette upon a Qualifying Termination in connection with a CIC under the NEO Employment Agreements, see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below.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Executive Officers who are not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DXL entered into employment agreements with Stacey Jones as Chief Human Resources Officer on February 21, 2021 and with John F. Cooney as Senior Vice President, Finance, Chief Accounting Officer and Corporate Controller on March 6, 2022 (together, the “Executive Officer Employment Agreements”). The Executive Officer Employment Agreements provide that the term of the agreements will continue until otherwise terminated by either party. Pursuant to the Executive Officer Employment Agreements, base salaries are subject to periodic review and adjustments. Ms. Jones currently receives an annual base salary of $377,500 and Mr. Cooney currently receives an annual base salary of $320,000. Both Ms. Jones and Mr. Cooney receive an annual $8,400 car allowance.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Executive Officer Employment Agreements, Ms. Jones and Mr. Cooney are eligible to participate in the AIP. Ms. Jones and Mr. Cooney are also eligible to participate in the LTIP at a target bonus equal to a specific percentage of their annual base salary in effect on their effective date of participation, which is 70% for Ms. Jones and 50% for Mr. Cooney. Pursuant to the terms of the LTIP, 50% of any award will be time-based compensation and 50% will be performance-based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Executive Officer Employment Agreements, if either Ms. Jones or Mr. Cooney experiences a Qualifying Termination within one (1) year following a CIC, each will receive twelve (12) months of their base salary in effect at the time of termination, in each case generally paid in a single payment within thirty (30) days after 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proposed merger would constitute a CIC under the Executive Officer Employment Agreements and the LTIP. The estimated aggregate amount that would be realized by Ms. Jones and Mr. Cooney, who are not named executive officers, upon a Qualifying Termination in connection with a CIC under the Executive Officer Employment Agreements is $697,500. </w:t>
      </w:r>
    </w:p>
    <w:p>
      <w:pPr>
        <w:pStyle w:val="TextBody"/>
        <w:bidi w:val="0"/>
        <w:spacing w:before="360" w:after="0"/>
        <w:jc w:val="left"/>
        <w:rPr>
          <w:rFonts w:ascii="Times New Roman" w:hAnsi="Times New Roman"/>
          <w:i/>
          <w:sz w:val="20"/>
        </w:rPr>
      </w:pPr>
      <w:r>
        <w:rPr>
          <w:rFonts w:ascii="Times New Roman" w:hAnsi="Times New Roman"/>
          <w:i/>
          <w:sz w:val="20"/>
        </w:rPr>
        <w:t xml:space="preserve">DXL Long-Term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LTIP consists of a combination of time-based and performance-based awards (collectively, the “LTIP Awards”) for which payouts may consist of cash or equity or both. All LTIP Awards have been granted under the 2016 plan. Participants in the LTIPs are eligible to receive awards based on their “Target Cash Value,” which is defined as the participant’s annual base salary multiplied by his or her LTIP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time-based portion of the LTIP (the “Time-Based LTIP Awards”), which represents 50% of the potential target payout, is made in a combination of cash and equity, which has historically consisted of restricted stock units (“RSUs”) or stock options. The Time-Based LTIP Awards vest equally over a four (4)-year period where the first tranche vests on the later of (i) April 1 immediately following the end of the first year of the performance period to which the award relates or (ii) the first anniversary of the date of grant (whichever applicable, the “Time-Vesting Date”) and then the second, third and fourth tranches vest on the second, third and fourth anniversaries of the Time Vesting Date,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performance-based portion of the LTIP (the “Performance-Based LTIP Awards”), which represents the remaining 50% of the potential target payout, are awards that vest based on financial metric(s) measured over a three (3)-year performance cycle. The current outstanding Performance-Based LTIP Awards under the 2024-2026 LTIP and the 2025-2027 LTIP, each of which approximate $1.7 million at target, will be granted at the end of the respective performance periods if the performance targets are achieved. Through the end of the first quarter of fiscal 2026, there was no accrual for performance under either LTIP. In the event the merger is consummated, the Performance-Based LTIP Awards under the 2024-2026 LTIP and the 2025-2027 LTIP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will be issued in shares of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Time-Based LTIP Awards that are issued and outstanding immediately prior to a CIC will remain in place after a CIC and continue to vest in accordance with their terms. If the merger is consummated, upon the CIC, the executive officers will have Time-Based LTIP Awards outstanding in the 2023-2025 LTIP, 2024- 2026 LTIP and the 2025 –2027 LTIP (the “Current LTIP Awards”). </w:t>
      </w:r>
    </w:p>
    <w:p>
      <w:pPr>
        <w:pStyle w:val="TextBody"/>
        <w:bidi w:val="0"/>
        <w:spacing w:before="240" w:after="0"/>
        <w:jc w:val="left"/>
        <w:rPr>
          <w:rFonts w:ascii="Times New Roman" w:hAnsi="Times New Roman"/>
          <w:sz w:val="20"/>
        </w:rPr>
      </w:pPr>
      <w:r>
        <w:rPr>
          <w:rFonts w:ascii="Times New Roman" w:hAnsi="Times New Roman"/>
          <w:sz w:val="20"/>
        </w:rPr>
        <w:t xml:space="preserve">The LTIPs include a “Structured Retirement” provision, which provides an opportunity for greater vesting upon retirement where the executive officer assists DXL in ensuring the succession of the executive’s position within DXL prior to the executive’s retirement. In order to be eligible to participate in a Structured Retirement, (i) the executive must terminate employment after meeting the age and service requirements set forth in the LTIP (which requires, at minimum, that the executive has attained age 59 and completed at least three (3) years of service in the case of the CEO, or five (5) years of service for other executives), (ii) the Compensation Committee must confirm through proper corporate action that the executive has met all of the succession planning objectives set by the Compensation Committee, (iii) the executive must continue to work until the date required by the Compensation Committee (which may not be more than sixty (60) days after the Compensation Committee confirms that the objectives have been met), and (iv) the executive must execute a release of claims in favor of DXL. The final determination as to whether the requirements of a Structured Retirement have been met is in the sole discretion of the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Time-Based LTIP Awards, if an executive officer experiences a Qualifying Termination within six (6) months before or eighteen (18) months after a CIC, if (i) the respective LTIP performance period has ended on or before the potential CIC, any unvested equity and cash awards shall immediately vest, and to the extent the portion of the Participant’s Award(s) that is attributable to a Time-Based LTIP Award for a performance period that ended on or before such CIC had not yet vested or been paid to the Participant shall immediately vest; (ii) the respective LTIP performance period has not ended on or before the potential CIC and if such portion of the Time-Based LTIP Award is not assumed by the acquirer or converted into a new award, a pro-rata vesting of any unvested equity and cash awards shall immediately vest, based on the number of days from the start of the respective performance period to a CIC over the total days of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The proposed merger, if consummated, would constitute a CIC for purposes of the LTIP. </w:t>
      </w:r>
    </w:p>
    <w:p>
      <w:pPr>
        <w:pStyle w:val="TextBody"/>
        <w:bidi w:val="0"/>
        <w:spacing w:before="240" w:after="0"/>
        <w:jc w:val="left"/>
        <w:rPr>
          <w:rFonts w:ascii="Times New Roman" w:hAnsi="Times New Roman"/>
          <w:sz w:val="20"/>
        </w:rPr>
      </w:pPr>
      <w:r>
        <w:rPr>
          <w:rFonts w:ascii="Times New Roman" w:hAnsi="Times New Roman"/>
          <w:sz w:val="20"/>
        </w:rPr>
        <w:t xml:space="preserve">The estimated value, if target is met, of the Performance-Based LTIP Awards to be cancelled and paid out with respect to each of Messrs. Stratton, Gaeta, and Molloy and Ms. Surette is included in the table below. Additionally, the estimated value of the Time-Based LTIP Awards, which would be paid on a Qualifying Termination, is also included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aggregate value, if target is met, of the Performance-Based LTIP Awards to be cancelled and paid out with respect to the two DXL executive officers who are not named executive officers is $269,588, assuming target. Additionally, the estimated aggregate value of the Time-Based LTIP Awards, which would be paid on a Qualifying Termination with respect to the two DXL executive officers who are not named executive officers is $83,224 in cash and $35,463 in RSUs. These amounts were determined using the assumptions set forth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As a result of such assumptions, which may or may not actually occur or be accurate on the relevant date, the actual amounts to be received by DXL executive officers who are not named executive officers may materially differ from the amounts set forth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Payments and Benefits to DXL’s Named Executive Officers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estimates of single trigger and double trigger CIC payments to the DXL named executive officers if the merger is consummated. The “CIC Payment” is a single trigger payment that would be made if the CIC is consummated. The amounts shown below assume, if the merger occurs, (i) the CIC occurred on August 21, 2026, (ii) a stock price of $1.08 (the average closing price per share of DXL common stock during the first five (5) days following the merger announcement), (iii) performance through the CIC as described herein, and (iv) continued employment through the CIC unless otherwise noted. All amounts are estimates. The calculations in the table do not include amounts that DXL’s named executive officers were already vested in as of the date of this proxy statement.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disclosure, “single trigger” refers to payments and benefits that arise solely as a result of the completion of the merger and “double trigger” refers to payments and benefits that require two conditions, which are the completion of the merger and a qualifying termination of employment.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8"/>
        <w:gridCol w:w="274"/>
        <w:gridCol w:w="161"/>
        <w:gridCol w:w="941"/>
        <w:gridCol w:w="169"/>
        <w:gridCol w:w="338"/>
        <w:gridCol w:w="210"/>
        <w:gridCol w:w="1162"/>
        <w:gridCol w:w="232"/>
        <w:gridCol w:w="338"/>
        <w:gridCol w:w="140"/>
        <w:gridCol w:w="876"/>
        <w:gridCol w:w="239"/>
      </w:tblGrid>
      <w:tr>
        <w:trPr/>
        <w:tc>
          <w:tcPr>
            <w:tcW w:w="4308"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74" w:type="dxa"/>
            <w:tcBorders/>
            <w:vAlign w:val="bottom"/>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($)(1)</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($)(2)</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Kanter(3)</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— </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818,505</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33,682</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852,187</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664,254</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24,940</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689,194</w:t>
            </w:r>
          </w:p>
        </w:tc>
        <w:tc>
          <w:tcPr>
            <w:tcW w:w="239"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274"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644,172</w:t>
            </w:r>
          </w:p>
        </w:tc>
        <w:tc>
          <w:tcPr>
            <w:tcW w:w="169"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24,846</w:t>
            </w:r>
          </w:p>
        </w:tc>
        <w:tc>
          <w:tcPr>
            <w:tcW w:w="232"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669,018</w:t>
            </w:r>
          </w:p>
        </w:tc>
        <w:tc>
          <w:tcPr>
            <w:tcW w:w="239"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27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624,721</w:t>
            </w:r>
          </w:p>
        </w:tc>
        <w:tc>
          <w:tcPr>
            <w:tcW w:w="169"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23,868</w:t>
            </w:r>
          </w:p>
        </w:tc>
        <w:tc>
          <w:tcPr>
            <w:tcW w:w="232"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648,589</w:t>
            </w:r>
          </w:p>
        </w:tc>
        <w:tc>
          <w:tcPr>
            <w:tcW w:w="23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column includes, for each named executive officer and as further detailed in the table below, the (i) the estimated value of the unvested cash Performance-Based LTIP Awards, assuming target, that will be cancelled and paid out, on a pro-rata basis, based on actual achievement through the potential CIC (which amounts are “single-trigger”), (ii) a cash severance payment equal to one (1) times base salary, which amounts are “double-trigger”, and (iii) a cash payment for the pro rata vesting of unvested cash Time-Based LTIP Cash Awards, which amounts are “double-trigger”. For purposes of this table, we are assuming the actual achievement of the performance targets under the Performance-based LTIP Awards will be at target; however, based on current performance it is unlikely that the respective performance targets under either LTIP will be achieved.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122"/>
        <w:gridCol w:w="207"/>
        <w:gridCol w:w="396"/>
        <w:gridCol w:w="2299"/>
        <w:gridCol w:w="60"/>
        <w:gridCol w:w="207"/>
        <w:gridCol w:w="244"/>
        <w:gridCol w:w="1412"/>
        <w:gridCol w:w="60"/>
        <w:gridCol w:w="207"/>
        <w:gridCol w:w="320"/>
        <w:gridCol w:w="1569"/>
        <w:gridCol w:w="59"/>
        <w:gridCol w:w="207"/>
        <w:gridCol w:w="140"/>
        <w:gridCol w:w="810"/>
        <w:gridCol w:w="69"/>
      </w:tblGrid>
      <w:tr>
        <w:trPr/>
        <w:tc>
          <w:tcPr>
            <w:tcW w:w="1122"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1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7" w:type="dxa"/>
            <w:tcBorders/>
            <w:vAlign w:val="bottom"/>
          </w:tcPr>
          <w:p>
            <w:pPr>
              <w:pStyle w:val="TableContents"/>
              <w:bidi w:val="0"/>
              <w:spacing w:before="0" w:after="283"/>
              <w:jc w:val="left"/>
              <w:rPr/>
            </w:pPr>
            <w:r>
              <w:rPr/>
              <w:t>  </w:t>
            </w:r>
          </w:p>
        </w:tc>
        <w:tc>
          <w:tcPr>
            <w:tcW w:w="2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Performance-Based LTIP</w:t>
              <w:br/>
              <w:t>Award</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Severance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Time-Based LTIP</w:t>
              <w:br/>
              <w:t>Cash Awards</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Cash</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Kanter(3)</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0</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0</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0</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0</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253,846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484,210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80,449</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818,505</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194,040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412,000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58,214</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664,254</w:t>
            </w:r>
          </w:p>
        </w:tc>
        <w:tc>
          <w:tcPr>
            <w:tcW w:w="69" w:type="dxa"/>
            <w:tcBorders/>
            <w:vAlign w:val="bottom"/>
          </w:tcPr>
          <w:p>
            <w:pPr>
              <w:pStyle w:val="TableContents"/>
              <w:bidi w:val="0"/>
              <w:spacing w:before="0" w:after="283"/>
              <w:jc w:val="left"/>
              <w:rPr/>
            </w:pPr>
            <w:r>
              <w:rPr/>
              <w:t> </w:t>
            </w:r>
          </w:p>
        </w:tc>
      </w:tr>
      <w:tr>
        <w:trPr/>
        <w:tc>
          <w:tcPr>
            <w:tcW w:w="1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207"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299" w:type="dxa"/>
            <w:tcBorders/>
            <w:shd w:fill="CCEEFF" w:val="clear"/>
            <w:vAlign w:val="bottom"/>
          </w:tcPr>
          <w:p>
            <w:pPr>
              <w:pStyle w:val="TableContents"/>
              <w:bidi w:val="0"/>
              <w:spacing w:before="0" w:after="283"/>
              <w:jc w:val="right"/>
              <w:rPr/>
            </w:pPr>
            <w:r>
              <w:rPr/>
              <w:t>187,249</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12" w:type="dxa"/>
            <w:tcBorders/>
            <w:shd w:fill="CCEEFF" w:val="clear"/>
            <w:vAlign w:val="bottom"/>
          </w:tcPr>
          <w:p>
            <w:pPr>
              <w:pStyle w:val="TableContents"/>
              <w:bidi w:val="0"/>
              <w:spacing w:before="0" w:after="283"/>
              <w:jc w:val="right"/>
              <w:rPr/>
            </w:pPr>
            <w:r>
              <w:rPr/>
              <w:t>397,580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569" w:type="dxa"/>
            <w:tcBorders/>
            <w:shd w:fill="CCEEFF" w:val="clear"/>
            <w:vAlign w:val="bottom"/>
          </w:tcPr>
          <w:p>
            <w:pPr>
              <w:pStyle w:val="TableContents"/>
              <w:bidi w:val="0"/>
              <w:spacing w:before="0" w:after="283"/>
              <w:jc w:val="right"/>
              <w:rPr/>
            </w:pPr>
            <w:r>
              <w:rPr/>
              <w:t>59,343</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644,172</w:t>
            </w:r>
          </w:p>
        </w:tc>
        <w:tc>
          <w:tcPr>
            <w:tcW w:w="69" w:type="dxa"/>
            <w:tcBorders/>
            <w:shd w:fill="CCEEFF" w:val="clear"/>
            <w:vAlign w:val="bottom"/>
          </w:tcPr>
          <w:p>
            <w:pPr>
              <w:pStyle w:val="TableContents"/>
              <w:bidi w:val="0"/>
              <w:spacing w:before="0" w:after="283"/>
              <w:jc w:val="left"/>
              <w:rPr/>
            </w:pPr>
            <w:r>
              <w:rPr/>
              <w:t> </w:t>
            </w:r>
          </w:p>
        </w:tc>
      </w:tr>
      <w:tr>
        <w:trPr/>
        <w:tc>
          <w:tcPr>
            <w:tcW w:w="1122"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207"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299" w:type="dxa"/>
            <w:tcBorders/>
            <w:vAlign w:val="bottom"/>
          </w:tcPr>
          <w:p>
            <w:pPr>
              <w:pStyle w:val="TableContents"/>
              <w:bidi w:val="0"/>
              <w:spacing w:before="0" w:after="283"/>
              <w:jc w:val="right"/>
              <w:rPr/>
            </w:pPr>
            <w:r>
              <w:rPr/>
              <w:t>181,913</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12" w:type="dxa"/>
            <w:tcBorders/>
            <w:vAlign w:val="bottom"/>
          </w:tcPr>
          <w:p>
            <w:pPr>
              <w:pStyle w:val="TableContents"/>
              <w:bidi w:val="0"/>
              <w:spacing w:before="0" w:after="283"/>
              <w:jc w:val="right"/>
              <w:rPr/>
            </w:pPr>
            <w:r>
              <w:rPr/>
              <w:t>386,250</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569" w:type="dxa"/>
            <w:tcBorders/>
            <w:vAlign w:val="bottom"/>
          </w:tcPr>
          <w:p>
            <w:pPr>
              <w:pStyle w:val="TableContents"/>
              <w:bidi w:val="0"/>
              <w:spacing w:before="0" w:after="283"/>
              <w:jc w:val="right"/>
              <w:rPr/>
            </w:pPr>
            <w:r>
              <w:rPr/>
              <w:t>56,558</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0" w:type="dxa"/>
            <w:tcBorders/>
            <w:vAlign w:val="bottom"/>
          </w:tcPr>
          <w:p>
            <w:pPr>
              <w:pStyle w:val="TableContents"/>
              <w:bidi w:val="0"/>
              <w:spacing w:before="0" w:after="283"/>
              <w:jc w:val="right"/>
              <w:rPr/>
            </w:pPr>
            <w:r>
              <w:rPr/>
              <w:t>624,721</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column includes the estimated value of the unvested equity-based Time-Based LTIP Awards under DXL’s 2023-2025 LTIP, 2024-2026 LTIP and 2025-2027 LTIP that will vest, on a pro rata basis,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accordance with the terms of the LTIP, as described above, if an executive officer experiences a Qualifying Termination within six (6) months prior or eighteen (18) months following a CIC. Such amounts are “double-trigger”.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Kanter served as president and chief executive officer of DXL until August 11, 2026. </w:t>
            </w:r>
          </w:p>
        </w:tc>
      </w:tr>
    </w:tbl>
    <w:p>
      <w:pPr>
        <w:pStyle w:val="TextBody"/>
        <w:bidi w:val="0"/>
        <w:spacing w:before="360" w:after="0"/>
        <w:jc w:val="left"/>
        <w:rPr>
          <w:rFonts w:ascii="Times New Roman" w:hAnsi="Times New Roman"/>
          <w:b/>
          <w:sz w:val="20"/>
        </w:rPr>
      </w:pPr>
      <w:bookmarkStart w:id="23" w:name="tx76201_20"/>
      <w:bookmarkEnd w:id="23"/>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merger would be treated by DXL as a reverse acquisition under U.S. generally accepted accounting principles (“GAAP”). For accounting purposes, FBB would be considered to be the accounting acquirer in this transaction even though DXL would be the legal acquirer. </w:t>
      </w:r>
    </w:p>
    <w:p>
      <w:pPr>
        <w:pStyle w:val="TextBody"/>
        <w:bidi w:val="0"/>
        <w:spacing w:before="360" w:after="0"/>
        <w:jc w:val="left"/>
        <w:rPr>
          <w:rFonts w:ascii="Times New Roman" w:hAnsi="Times New Roman"/>
          <w:b/>
          <w:sz w:val="20"/>
        </w:rPr>
      </w:pPr>
      <w:bookmarkStart w:id="24" w:name="tx76201_21"/>
      <w:bookmarkEnd w:id="24"/>
      <w:r>
        <w:rPr>
          <w:rFonts w:ascii="Times New Roman" w:hAnsi="Times New Roman"/>
          <w:b/>
          <w:sz w:val="20"/>
        </w:rPr>
        <w:t xml:space="preserve">Federal Securities Law Consequences; Resale Restrictions </w:t>
      </w:r>
    </w:p>
    <w:p>
      <w:pPr>
        <w:pStyle w:val="TextBody"/>
        <w:bidi w:val="0"/>
        <w:spacing w:before="120" w:after="0"/>
        <w:jc w:val="left"/>
        <w:rPr>
          <w:rFonts w:ascii="Times New Roman" w:hAnsi="Times New Roman"/>
          <w:sz w:val="20"/>
        </w:rPr>
      </w:pPr>
      <w:r>
        <w:rPr>
          <w:rFonts w:ascii="Times New Roman" w:hAnsi="Times New Roman"/>
          <w:sz w:val="20"/>
        </w:rPr>
        <w:t>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respective shares unless the shares are registered under the Securities Act or an exemption is available under the Securities Act. FBB represented and warranted to DXL in the merger agreement provides that the number of unaccredited investors is less than thirty (30).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5" w:name="tx76201_22"/>
      <w:bookmarkEnd w:id="25"/>
      <w:r>
        <w:rPr>
          <w:rFonts w:ascii="Times New Roman" w:hAnsi="Times New Roman"/>
          <w:b/>
          <w:sz w:val="20"/>
        </w:rPr>
        <w:t xml:space="preserve">Material U.S. Federal Income Tax Consequences of the Merger and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certain material U.S. federal income tax considerations of the merger and the reverse stock split that would be expected to apply generally to U.S. Holders (as defined below) of DXL common stock. This summary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DXL or its stockholders as described in this summary. No ruling from the U.S. Internal Revenue Service, or the IRS, has been or will be requested in connection with the merger or the reverse stock split and there can be no assurance that the IRS will not challenge the statements and conclusions set forth below or that a court would not sustain any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No attempt has been made to address all U.S. federal income tax consequences of the merger or the reverse stock split that may be relevant to particular U.S. Holders, including holders: (i) who are subject to special tax rules such as dealers, brokers and traders in securities, mutual funds, regulated investment companies, real estate investment trusts, insurance companies, banks or other financial institutions or tax-exempt entities; (ii) who acquired their shares in connection with stock options, stock purchase plans or other compensatory transactions; (iii) who hold their shares as a hedge or as part of a hedging, straddle, “conversion transaction”, “synthetic security”, integrated investment or any risk reduction strategy; (iv) who are partnerships, limited liability companies that are not treated as corporations for U.S. federal income tax purposes, S corporations, or other pass-through entities or investors in such pass-through entities; (v) who do not hold their shares as capital assets for U.S. federal income tax purposes (generally, property held for investment within the meaning of Section 1221 of the Code); (vi) who hold their shares through individual retirement or other tax-deferred accounts; (vii) who have a functional currency for United States federal income tax purposes other than the U.S. dollar, (viii) who are required under Section 451(b) of the Code to conform the timing of their income to their financial statements; or (ix) who acquired their shares of DXL common stock through the exercise of convertible securities or in a transaction subject to the gain rollover provisions of Section 1045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following discussion does not address state, local or non-U.S. tax consequences of the merger or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neither the merger nor the reverse stock split will be integrated or otherwise treated as part of a unified transaction with any other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DXL common stock that, for U.S. federal income tax purposes, is or is treated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(or is treated as)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has a valid election in effect under applicable Treasury Regulations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HOLDERS OF DXL COMMON STOCK ARE ADVISED AND EXPECTED TO CONSULT THEIR TAX ADVISORS REGARDING THE U.S. FEDERAL INCOME TAX CONSEQUENCES OF THE MERGER AND THE REVERSE STOCK SPLIT IN LIGHT OF THEIR PERSONAL CIRCUMSTANCES AND THE CONSEQUENCES OF THE MERGER AND REVERSE STOCK SPLIT UNDER STATE, LOCAL AND NON-U.S. TAX LAWS. </w:t>
      </w:r>
    </w:p>
    <w:p>
      <w:pPr>
        <w:pStyle w:val="TextBody"/>
        <w:bidi w:val="0"/>
        <w:spacing w:before="120" w:after="0"/>
        <w:jc w:val="left"/>
        <w:rPr>
          <w:rFonts w:ascii="Times New Roman" w:hAnsi="Times New Roman"/>
          <w:i/>
          <w:sz w:val="20"/>
        </w:rPr>
      </w:pPr>
      <w:r>
        <w:rPr>
          <w:rFonts w:ascii="Times New Roman" w:hAnsi="Times New Roman"/>
          <w:i/>
          <w:sz w:val="20"/>
        </w:rPr>
        <w:t xml:space="preserve">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Because of the form of the merger, U.S. Holders of DXL common stock, as of immediately prior to the merger, would not sell, exchange or dispose of any shares of DXL common stock as a result of the merger. Thus, there would be no material U.S. federal income tax consequences to DXL stockholders as a result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should not recognize gain or loss as a result of the reverse stock split. The aggregate adjusted tax basis in the shares of DXL common stock received pursuant to the reverse stock split should equal the aggregate adjusted tax basis of the shares of DXL common stock exchanged therefor, and each DXL stockholder’s holding period for the shares of DXL common stock received pursuant to the reverse stock split will include the holding period in the shares of DXL common stock exchanged therefor. DXL stockholders that acquired DXL common stock on different dates or at different prices should consult their tax advisors regarding the allocation of the tax basis and holding period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76201_23"/>
      <w:bookmarkEnd w:id="26"/>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bookmarkStart w:id="27" w:name="tx76201_24"/>
      <w:bookmarkEnd w:id="27"/>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of DXL stockholders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360" w:after="0"/>
        <w:jc w:val="left"/>
        <w:rPr>
          <w:rFonts w:ascii="Times New Roman" w:hAnsi="Times New Roman"/>
          <w:b/>
          <w:sz w:val="20"/>
        </w:rPr>
      </w:pPr>
      <w:bookmarkStart w:id="28" w:name="tx76201_25"/>
      <w:bookmarkEnd w:id="28"/>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special meeting is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unanimously recommends that DXL stockholders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issuance proposal is a condition to the completion of the merger. Although approval of the reverse stock split proposal is not expressly stated in the merger agreement as a condition to the completion of the merger, the merger agreement does include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tx76201_26"/>
      <w:bookmarkEnd w:id="29"/>
      <w:r>
        <w:rPr>
          <w:rFonts w:ascii="Times New Roman" w:hAnsi="Times New Roman"/>
          <w:b/>
          <w:sz w:val="20"/>
        </w:rPr>
        <w:t xml:space="preserve">Record Date; Shares Outstanding and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fixed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as the record date for the determination of stockholders entitled to notice of, and to vote at, the special meeting and any adjournment or postponement thereof. Only holders of record of shares of DXL common stock at the close of business on the record date are entitled to notice of, and to vote at, the special meeting. At the close of business on the record date, DXL had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of DXL common stock outstanding and entitled to vote at the special meeting. Each holder of record of shares of common stock on the record date will be entitled to one vote for each share held on all matters to be voted upon at the special meeting. </w:t>
      </w:r>
    </w:p>
    <w:p>
      <w:pPr>
        <w:pStyle w:val="TextBody"/>
        <w:bidi w:val="0"/>
        <w:spacing w:before="360" w:after="0"/>
        <w:jc w:val="left"/>
        <w:rPr>
          <w:rFonts w:ascii="Times New Roman" w:hAnsi="Times New Roman"/>
          <w:b/>
          <w:sz w:val="20"/>
        </w:rPr>
      </w:pPr>
      <w:bookmarkStart w:id="30" w:name="tx76201_27"/>
      <w:bookmarkEnd w:id="30"/>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Under the Fourth Amended and Restated By-Laws of DXL (the “By-Laws”), the holders of a majority of the shares of DXL common stock issued and outstanding and entitled to vote at the meeting, present in person or represented by proxy, shall constitute a quorum at any meeting of stockholders. If less than a quorum is present at a meeting, then the affirmative vote of a majority of the votes cast by DXL stockholders entitled to vote at the meeting, present in person or represented by proxy, shall have power to adjourn the meeting from time to time. The inspector of election appointed for the special meeting will determine whether a quorum is present. Abstentions and broker non-votes will be treated as present for purposes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If a beneficial owner of shares held in “street name” by a bank, broker or other nominee does not provide the organization that holds its shares with specific voting instructions, then, under applicable rules, the organization that holds its shares may generally vote on “discretionary” matters but cannot vote on “non-discretionary” matters. If the organization that holds the beneficial owner’s shares does not receive instructions from such stockholder on how to vote its shares on any proposal to be voted on at the special meeting, that bank, broker or other nominee will inform the inspector of election at the special meeting that it does not have authority to vote on any proposal at the special meeting with respect to such shares, and, furthermore, such shares will be deemed to be in attendance at the meeting. This is generally referred to as a “broker non-vote”. However, if the bank, broker or other nominee receives instructions from such stockholder on how to vote its shares as to at least one proposal but not all of the proposals, the shares will be voted as instructed on any proposal which voting instructions have been given but will not be voted on the other, uninstructed proposal(s). </w:t>
      </w:r>
    </w:p>
    <w:p>
      <w:pPr>
        <w:pStyle w:val="TextBody"/>
        <w:bidi w:val="0"/>
        <w:spacing w:before="360" w:after="0"/>
        <w:jc w:val="left"/>
        <w:rPr>
          <w:rFonts w:ascii="Times New Roman" w:hAnsi="Times New Roman"/>
          <w:b/>
          <w:sz w:val="20"/>
        </w:rPr>
      </w:pPr>
      <w:bookmarkStart w:id="31" w:name="tx76201_28"/>
      <w:bookmarkEnd w:id="31"/>
      <w:r>
        <w:rPr>
          <w:rFonts w:ascii="Times New Roman" w:hAnsi="Times New Roman"/>
          <w:b/>
          <w:sz w:val="20"/>
        </w:rPr>
        <w:t xml:space="preserve">How to Vote Your Shares </w:t>
      </w:r>
    </w:p>
    <w:p>
      <w:pPr>
        <w:pStyle w:val="TextBody"/>
        <w:bidi w:val="0"/>
        <w:spacing w:before="120" w:after="0"/>
        <w:jc w:val="left"/>
        <w:rPr>
          <w:rFonts w:ascii="Times New Roman" w:hAnsi="Times New Roman"/>
          <w:sz w:val="20"/>
        </w:rPr>
      </w:pPr>
      <w:r>
        <w:rPr>
          <w:rFonts w:ascii="Times New Roman" w:hAnsi="Times New Roman"/>
          <w:b/>
          <w:sz w:val="20"/>
        </w:rPr>
        <w:t xml:space="preserve">If you hold your shares in your own name, </w:t>
      </w:r>
      <w:r>
        <w:rPr>
          <w:rFonts w:ascii="Times New Roman" w:hAnsi="Times New Roman"/>
          <w:sz w:val="20"/>
        </w:rPr>
        <w:t xml:space="preserve">you may submit a proxy by telephone, via the internet or by mail or vote by attending the special meeting and voting during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by Telephone</w:t>
            </w:r>
            <w:r>
              <w:rPr>
                <w:rFonts w:ascii="Times New Roman" w:hAnsi="Times New Roman"/>
                <w:sz w:val="20"/>
              </w:rPr>
              <w:t xml:space="preserve">: You can submit a proxy for your shares by telephone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calling the toll-free telephone number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via the internet</w:t>
            </w:r>
            <w:r>
              <w:rPr>
                <w:rFonts w:ascii="Times New Roman" w:hAnsi="Times New Roman"/>
                <w:sz w:val="20"/>
              </w:rPr>
              <w:t xml:space="preserve">: You can submit a proxy via the internet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accessing the web site listed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Submitting a Proxy by Mail: </w:t>
            </w:r>
            <w:r>
              <w:rPr>
                <w:rFonts w:ascii="Times New Roman" w:hAnsi="Times New Roman"/>
                <w:sz w:val="20"/>
              </w:rPr>
              <w:t xml:space="preserve">If you choose to submit a proxy by mail, simply mark the enclosed proxy card, date and sign it, and return it in the postage paid envelope provided. The envelope requires no additional postage if mailed in the United States. If you intend to submit your proxy by mail, your completed proxy card must be received prior to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casting your vote in any of the three ways listed above, you are authorizing the individuals listed on the proxy to vote your shares in accordance with your instructions. </w:t>
      </w:r>
    </w:p>
    <w:p>
      <w:pPr>
        <w:pStyle w:val="TextBody"/>
        <w:bidi w:val="0"/>
        <w:spacing w:before="240" w:after="0"/>
        <w:jc w:val="left"/>
        <w:rPr>
          <w:rFonts w:ascii="Times New Roman" w:hAnsi="Times New Roman"/>
          <w:sz w:val="20"/>
        </w:rPr>
      </w:pPr>
      <w:r>
        <w:rPr>
          <w:rFonts w:ascii="Times New Roman" w:hAnsi="Times New Roman"/>
          <w:b/>
          <w:sz w:val="20"/>
        </w:rPr>
        <w:t xml:space="preserve">If your shares are held in the name of a bank, broker or other nominee, </w:t>
      </w:r>
      <w:r>
        <w:rPr>
          <w:rFonts w:ascii="Times New Roman" w:hAnsi="Times New Roman"/>
          <w:sz w:val="20"/>
        </w:rPr>
        <w:t xml:space="preserve">you will receive instructions from the holder of record that you must follow for your shares to be voted. Please follow the instructions from the holder of record carefully.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2" w:name="tx76201_29"/>
      <w:bookmarkEnd w:id="32"/>
      <w:r>
        <w:rPr>
          <w:rFonts w:ascii="Times New Roman" w:hAnsi="Times New Roman"/>
          <w:b/>
          <w:sz w:val="20"/>
        </w:rPr>
        <w:t xml:space="preserve">How to Change Your Vote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 is solicited on behalf of the DXL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Any DXL stockholder of record voting by proxy, other than those DXL stockholders who have executed a voting agreement and irrevocable proxy, has the right to revoke the proxy at any time before the polls close at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stockholder of DXL has instructed a broker to vote its shares of DXL common stock that are held in “street name,” the stockholder must follow directions received from its broker to change those instructions. </w:t>
      </w:r>
    </w:p>
    <w:p>
      <w:pPr>
        <w:pStyle w:val="TextBody"/>
        <w:bidi w:val="0"/>
        <w:spacing w:before="360" w:after="0"/>
        <w:jc w:val="left"/>
        <w:rPr>
          <w:rFonts w:ascii="Times New Roman" w:hAnsi="Times New Roman"/>
          <w:b/>
          <w:sz w:val="20"/>
        </w:rPr>
      </w:pPr>
      <w:bookmarkStart w:id="33" w:name="tx76201_30"/>
      <w:bookmarkEnd w:id="33"/>
      <w:r>
        <w:rPr>
          <w:rFonts w:ascii="Times New Roman" w:hAnsi="Times New Roman"/>
          <w:b/>
          <w:sz w:val="20"/>
        </w:rPr>
        <w:t xml:space="preserve">Proxies; Counting Your Vote </w:t>
      </w:r>
    </w:p>
    <w:p>
      <w:pPr>
        <w:pStyle w:val="TextBody"/>
        <w:bidi w:val="0"/>
        <w:spacing w:before="12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constitute a quorum at the special meeting. Abstentions and broker non-votes will be included in determining the number of shares present and entitled to vote at the meeting for the purpose of determining the presence of a quorum. Stockholders shall have one vote for each share of stock entitled to vote owned by them as of the record date. Assuming the presence of a quorum at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issuance proposal requires the affirmative vote of a majority of the votes cast by DXL stockholders.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reverse stock split proposal requires the affirmative vote of a majority of the votes cast by DXL stockholders.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2016 plan proposal requires the affirmative vote of a majority of the votes cast by DXL stockholders.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by DXL stockholders.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360" w:after="0"/>
        <w:jc w:val="left"/>
        <w:rPr>
          <w:rFonts w:ascii="Times New Roman" w:hAnsi="Times New Roman"/>
          <w:b/>
          <w:sz w:val="20"/>
        </w:rPr>
      </w:pPr>
      <w:bookmarkStart w:id="34" w:name="tx76201_31"/>
      <w:bookmarkEnd w:id="34"/>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are not entitled to appraisal rights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5" w:name="tx76201_32"/>
      <w:bookmarkEnd w:id="35"/>
      <w:r>
        <w:rPr>
          <w:rFonts w:ascii="Times New Roman" w:hAnsi="Times New Roman"/>
          <w:b/>
          <w:sz w:val="20"/>
        </w:rPr>
        <w:t xml:space="preserve">Voting by DXL’s Directors and Certain Stockholders </w:t>
      </w:r>
    </w:p>
    <w:p>
      <w:pPr>
        <w:pStyle w:val="TextBody"/>
        <w:bidi w:val="0"/>
        <w:spacing w:before="120" w:after="0"/>
        <w:jc w:val="left"/>
        <w:rPr>
          <w:rFonts w:ascii="Times New Roman" w:hAnsi="Times New Roman"/>
          <w:sz w:val="20"/>
        </w:rPr>
      </w:pPr>
      <w:r>
        <w:rPr>
          <w:rFonts w:ascii="Times New Roman" w:hAnsi="Times New Roman"/>
          <w:sz w:val="20"/>
        </w:rPr>
        <w:t xml:space="preserve">Certain DXL stockholders, including the current directors (including DXL’s interim chief executive officer), DXL’s chief financial officer, the former chief executive officer and former director of DXL, and Fund 1 Investments, LLC (an entity of which Pleasant Lake Partners LLC serves as investment advisor) (“PLP”), are subject to voting agreements, pursuant to which each such stockholder agreed to vote such stockholder’s shares of DXL common stock in favor of the transactions contemplated by the merger agreement. As of the record date, such stockholders collectively beneficially owned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of DXL’s outstanding common stock, including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which were beneficially owned by PLP.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 of the outstanding shares of DXL common stock entitled to vote at the special meeting, including approximately [●]% held by PLP. After giving effect to the shares of DXL common stock subject to the voting agreements, holders of an additional [●] shares of DXL common stock not subject to the voting agreements, representing approximately [●]% of the shares of DXL common stock not subject to the voting agreements, would be required to be present in person or represented by proxy at the special meeting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2050" w:type="dxa"/>
        <w:jc w:val="center"/>
        <w:tblInd w:w="0" w:type="dxa"/>
        <w:tblLayout w:type="fixed"/>
        <w:tblCellMar>
          <w:top w:w="0" w:type="dxa"/>
          <w:left w:w="0" w:type="dxa"/>
          <w:bottom w:w="0" w:type="dxa"/>
          <w:right w:w="0" w:type="dxa"/>
        </w:tblCellMar>
      </w:tblPr>
      <w:tblGrid>
        <w:gridCol w:w="2165"/>
        <w:gridCol w:w="120"/>
        <w:gridCol w:w="94"/>
        <w:gridCol w:w="2311"/>
        <w:gridCol w:w="275"/>
        <w:gridCol w:w="60"/>
        <w:gridCol w:w="768"/>
        <w:gridCol w:w="1217"/>
        <w:gridCol w:w="500"/>
        <w:gridCol w:w="60"/>
        <w:gridCol w:w="1540"/>
        <w:gridCol w:w="2440"/>
        <w:gridCol w:w="50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Present and Voting on</w:t>
              <w:br/>
              <w:t>Issuance Proposal</w:t>
              <w:br/>
              <w:t>(as % of Outstanding Shares)</w:t>
            </w:r>
          </w:p>
        </w:tc>
        <w:tc>
          <w:tcPr>
            <w:tcW w:w="120" w:type="dxa"/>
            <w:tcBorders/>
            <w:vAlign w:val="bottom"/>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Required for</w:t>
              <w:br/>
              <w:t>Approval</w:t>
              <w:br/>
              <w:t>(Majority of Votes Cast)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w:t>
              <w:br/>
              <w:t>Voting Agreements</w:t>
            </w:r>
          </w:p>
        </w:tc>
        <w:tc>
          <w:tcPr>
            <w:tcW w:w="500" w:type="dxa"/>
            <w:tcBorders/>
            <w:vAlign w:val="bottom"/>
          </w:tcPr>
          <w:p>
            <w:pPr>
              <w:pStyle w:val="TableContents"/>
              <w:bidi w:val="0"/>
              <w:spacing w:before="0" w:after="283"/>
              <w:jc w:val="left"/>
              <w:rPr/>
            </w:pPr>
            <w:r>
              <w:rPr/>
              <w:t> </w:t>
            </w:r>
          </w:p>
        </w:tc>
      </w:tr>
      <w:tr>
        <w:trPr/>
        <w:tc>
          <w:tcPr>
            <w:tcW w:w="21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51.0%</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25.5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165" w:type="dxa"/>
            <w:tcBorders/>
          </w:tcPr>
          <w:p>
            <w:pPr>
              <w:pStyle w:val="TableContents"/>
              <w:bidi w:val="0"/>
              <w:spacing w:before="0" w:after="0"/>
              <w:jc w:val="center"/>
              <w:rPr>
                <w:rFonts w:ascii="Times New Roman" w:hAnsi="Times New Roman"/>
                <w:sz w:val="20"/>
              </w:rPr>
            </w:pPr>
            <w:r>
              <w:rPr>
                <w:rFonts w:ascii="Times New Roman" w:hAnsi="Times New Roman"/>
                <w:sz w:val="20"/>
              </w:rPr>
              <w:t>60.0%</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30.0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1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70.0%</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35.0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165" w:type="dxa"/>
            <w:tcBorders/>
          </w:tcPr>
          <w:p>
            <w:pPr>
              <w:pStyle w:val="TableContents"/>
              <w:bidi w:val="0"/>
              <w:spacing w:before="0" w:after="0"/>
              <w:jc w:val="center"/>
              <w:rPr>
                <w:rFonts w:ascii="Times New Roman" w:hAnsi="Times New Roman"/>
                <w:sz w:val="20"/>
              </w:rPr>
            </w:pPr>
            <w:r>
              <w:rPr>
                <w:rFonts w:ascii="Times New Roman" w:hAnsi="Times New Roman"/>
                <w:sz w:val="20"/>
              </w:rPr>
              <w:t>80.0%</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40.0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1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90.0%</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45.0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165" w:type="dxa"/>
            <w:tcBorders/>
          </w:tcPr>
          <w:p>
            <w:pPr>
              <w:pStyle w:val="TableContents"/>
              <w:bidi w:val="0"/>
              <w:spacing w:before="0" w:after="0"/>
              <w:jc w:val="center"/>
              <w:rPr>
                <w:rFonts w:ascii="Times New Roman" w:hAnsi="Times New Roman"/>
                <w:sz w:val="20"/>
              </w:rPr>
            </w:pPr>
            <w:r>
              <w:rPr>
                <w:rFonts w:ascii="Times New Roman" w:hAnsi="Times New Roman"/>
                <w:sz w:val="20"/>
              </w:rPr>
              <w:t>100.0%</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shares subject to the voting agreements are obligated to be voted in favor of the issuance proposal and therefore will count toward the votes required to approve the issuance proposal. As a result, approval of the issuance proposal will require fewer additional affirmative votes from other DXL stockholders than would otherwise be required if the shares subject to the voting agreements were not committed to vote in favor of the issuance proposal. However, the shares subject to the voting agreements are not sufficient, by themselves, to constitute a quorum and approve the issuance proposal. </w:t>
      </w:r>
    </w:p>
    <w:p>
      <w:pPr>
        <w:pStyle w:val="TextBody"/>
        <w:bidi w:val="0"/>
        <w:spacing w:before="240" w:after="0"/>
        <w:jc w:val="left"/>
        <w:rPr>
          <w:rFonts w:ascii="Times New Roman" w:hAnsi="Times New Roman"/>
          <w:sz w:val="20"/>
        </w:rPr>
      </w:pPr>
      <w:r>
        <w:rPr>
          <w:rFonts w:ascii="Times New Roman" w:hAnsi="Times New Roman"/>
          <w:sz w:val="20"/>
        </w:rPr>
        <w:t>Certain of the voting agreements also grant FBB designees an irrevocable proxy and power of attorney, exercisable in specified circumstances if a stockholder party fails to vote in accordance with the applicable voting agreement, to vote the covered shares in accordance with its terms. Please see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6" w:name="tx76201_33"/>
      <w:bookmarkEnd w:id="36"/>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DXL and FBB will equally share the cost of the printing and filing of this proxy statement and the fees paid to a financial printer or the SEC. DXL will pay any other fees and expenses incurred by it. DXL and FBB may use the services of its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x76201_34"/>
      <w:bookmarkEnd w:id="37"/>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DXL urges you to carefully read the merger agreement in its entirety as it is the legal document governing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DXL and the merger subsidiary, on the one hand, and FBB,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such statements made in the representations and warranties prove to be incorrect. In addition, the assertions made in the representations and warranties are qualified by the information in confidential disclosure schedules exchanged by the parties in connection with the signing of the merger agreement. While DXL and FBB do not believe that these disclosure schedules contain information required to be publicly disclosed under the applicable securities laws, other than information that has already been so disclosed, the disclosure schedules contain information that modifies, qualifies and creates exceptions to the representations and warranties set forth in the merger agreement. Accordingly, you should not rely on the representations and warranties as current characterizations of factual information about DXL, FBB or the merger subsidiary, because they were made as of specific dates, may be intended merely as a risk allocation mechanism between DXL and the merger subsidiary, on the one hand, and FBB, on the other hand, and are modified by the disclosure schedules. </w:t>
      </w:r>
    </w:p>
    <w:p>
      <w:pPr>
        <w:pStyle w:val="TextBody"/>
        <w:bidi w:val="0"/>
        <w:spacing w:before="360" w:after="0"/>
        <w:jc w:val="left"/>
        <w:rPr>
          <w:rFonts w:ascii="Times New Roman" w:hAnsi="Times New Roman"/>
          <w:b/>
          <w:sz w:val="20"/>
        </w:rPr>
      </w:pPr>
      <w:bookmarkStart w:id="38" w:name="tx76201_35"/>
      <w:bookmarkEnd w:id="38"/>
      <w:r>
        <w:rPr>
          <w:rFonts w:ascii="Times New Roman" w:hAnsi="Times New Roman"/>
          <w:b/>
          <w:sz w:val="20"/>
        </w:rPr>
        <w:t xml:space="preserve">Structure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the terms and subject to the conditions of the merger agreement, and in accordance with Delaware law, at the effective time of the merger, the merger subsidiary, a wholly owned direct subsidiary of DXL, would merge with and into FBB, with FBB continuing as the surviving corporation in the merger and a wholly owned subsidiary of DXL. </w:t>
      </w:r>
    </w:p>
    <w:p>
      <w:pPr>
        <w:pStyle w:val="TextBody"/>
        <w:bidi w:val="0"/>
        <w:spacing w:before="360" w:after="0"/>
        <w:jc w:val="left"/>
        <w:rPr>
          <w:rFonts w:ascii="Times New Roman" w:hAnsi="Times New Roman"/>
          <w:b/>
          <w:sz w:val="20"/>
        </w:rPr>
      </w:pPr>
      <w:bookmarkStart w:id="39" w:name="tx76201_36"/>
      <w:bookmarkEnd w:id="39"/>
      <w:r>
        <w:rPr>
          <w:rFonts w:ascii="Times New Roman" w:hAnsi="Times New Roman"/>
          <w:b/>
          <w:sz w:val="20"/>
        </w:rPr>
        <w:t xml:space="preserve">Effects of the Merger; Certificate of Incorporation; By-Laws </w:t>
      </w:r>
    </w:p>
    <w:p>
      <w:pPr>
        <w:pStyle w:val="TextBody"/>
        <w:bidi w:val="0"/>
        <w:spacing w:before="120" w:after="0"/>
        <w:jc w:val="left"/>
        <w:rPr>
          <w:rFonts w:ascii="Times New Roman" w:hAnsi="Times New Roman"/>
          <w:sz w:val="20"/>
        </w:rPr>
      </w:pPr>
      <w:r>
        <w:rPr>
          <w:rFonts w:ascii="Times New Roman" w:hAnsi="Times New Roman"/>
          <w:sz w:val="20"/>
        </w:rPr>
        <w:t xml:space="preserve">The merger would have the effects set forth in the merger agreement and as specified in the applicable provisions of Delaware law. From and after the effective time of the merger, all property, rights, privileges, immunities, powers, franchises, licenses and authority of FBB and the merger subsidiary would vest in FBB as the surviving corporation, and all debts, liabilities, obligations, restrictions and duties of FBB and the merger subsidiary would become the debts, liabilities, obligations, restrictions and duties of FBB as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As of the effective time of the merger, the certificate of incorporation of FBB would be amended and restated in its entirety and would be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the bylaws of the surviving corporation would be amended and restated to conform to the bylaws of merger subsidiary that is in effect immediately prior to the effective time of the merger, which would conform with the rights and responsibilities of the surviving corporation under the merger agreement, including those rights and responsibilities related to director and officer indemnification and insurance. </w:t>
      </w:r>
    </w:p>
    <w:p>
      <w:pPr>
        <w:pStyle w:val="TextBody"/>
        <w:bidi w:val="0"/>
        <w:spacing w:before="360" w:after="0"/>
        <w:jc w:val="left"/>
        <w:rPr>
          <w:rFonts w:ascii="Times New Roman" w:hAnsi="Times New Roman"/>
          <w:b/>
          <w:sz w:val="20"/>
        </w:rPr>
      </w:pPr>
      <w:bookmarkStart w:id="40" w:name="tx76201_37"/>
      <w:bookmarkEnd w:id="40"/>
      <w:r>
        <w:rPr>
          <w:rFonts w:ascii="Times New Roman" w:hAnsi="Times New Roman"/>
          <w:b/>
          <w:sz w:val="20"/>
        </w:rPr>
        <w:t xml:space="preserve">Directors and Executive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the board of directors of the combined company would be composed of nine members, with four such members designated by DXL, four such members designated by FBB, and one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mutually agreed to by both DXL and FBB. Jim Fogarty would serve as the chief executive officer and Peter H. Stratton, Jr. would serve as the chief financial officer of the combined company. The other officers of DXL at the effective time would be those mutually agreed by DXL and FBB through a process overseen by Mr. Fogarty in consultation with the directors designated by each of DXL and FBB for the combined company. The directors and officers of the combined company would hold office in accordance with the restated certificate of incorporation, as amended, of the combined company until their earlier resignation or removal or until their respective successors are duly elected or appointed and qualified. </w:t>
      </w:r>
    </w:p>
    <w:p>
      <w:pPr>
        <w:pStyle w:val="TextBody"/>
        <w:bidi w:val="0"/>
        <w:spacing w:before="360" w:after="0"/>
        <w:jc w:val="left"/>
        <w:rPr>
          <w:rFonts w:ascii="Times New Roman" w:hAnsi="Times New Roman"/>
          <w:b/>
          <w:sz w:val="20"/>
        </w:rPr>
      </w:pPr>
      <w:bookmarkStart w:id="41" w:name="tx76201_38"/>
      <w:bookmarkEnd w:id="41"/>
      <w:r>
        <w:rPr>
          <w:rFonts w:ascii="Times New Roman" w:hAnsi="Times New Roman"/>
          <w:b/>
          <w:sz w:val="20"/>
        </w:rPr>
        <w:t xml:space="preserve">Closing of the Merger; Effective Time </w:t>
      </w:r>
    </w:p>
    <w:p>
      <w:pPr>
        <w:pStyle w:val="TextBody"/>
        <w:bidi w:val="0"/>
        <w:spacing w:before="0" w:after="0"/>
        <w:jc w:val="left"/>
        <w:rPr>
          <w:rFonts w:ascii="Times New Roman" w:hAnsi="Times New Roman"/>
          <w:sz w:val="20"/>
        </w:rPr>
      </w:pPr>
      <w:r>
        <w:rPr>
          <w:rFonts w:ascii="Times New Roman" w:hAnsi="Times New Roman"/>
          <w:sz w:val="20"/>
        </w:rPr>
        <w:t xml:space="preserve">Unless earlier terminated in accordance with the terms of the merger agreement, the closing of the merger would take place on the third (3rd) business day following the satisfaction or (to the extent permitted by law) waiver of all of the closing conditions set forth in the merger agreement (other than those conditions that by their nature are to be satisfied at the closing of the merger, but subject to the satisfaction or waiver of those conditions), or at such other place, time and date agreed to in writing by DXL and FBB,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would become effective upon the filing of a certificate of merger with the Secretary of State of the State of Delaware, or such later date and time as may be specified in the certificate of merger in accordance with Delaware law. </w:t>
      </w:r>
    </w:p>
    <w:p>
      <w:pPr>
        <w:pStyle w:val="TextBody"/>
        <w:bidi w:val="0"/>
        <w:spacing w:before="360" w:after="0"/>
        <w:jc w:val="left"/>
        <w:rPr>
          <w:rFonts w:ascii="Times New Roman" w:hAnsi="Times New Roman"/>
          <w:b/>
          <w:sz w:val="20"/>
        </w:rPr>
      </w:pPr>
      <w:bookmarkStart w:id="42" w:name="tx76201_39"/>
      <w:bookmarkEnd w:id="42"/>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each share of FBB common stock outstanding immediately prior to the effective time of the merger (other than (i) “Excluded Shares”, (ii) “Appraisal Shares”, and (iii) “Unaccredited 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FBB, DXL or merger subsidiary immediately prior to the effective time of the merger. At the effective time of the merger, all Excluded Shares would be cancelled and cease to exist, and no consideration would be delivered in exchange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At the effective time of the merger,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the cash consideration for the Unaccredited Investor Shares, without any interest thereon.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x76201_40"/>
      <w:bookmarkEnd w:id="43"/>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sz w:val="20"/>
        </w:rPr>
      </w:pPr>
      <w:bookmarkStart w:id="44" w:name="tx76201_41"/>
      <w:bookmarkEnd w:id="44"/>
      <w:r>
        <w:rPr>
          <w:rFonts w:ascii="Times New Roman" w:hAnsi="Times New Roman"/>
          <w:b/>
          <w:sz w:val="20"/>
        </w:rPr>
        <w:t xml:space="preserve">Treatment of Unaccredited Investor Shares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FBB common stock held immediately prior to the effective time by an FBB stockholder that is an unaccredited investor would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360" w:after="0"/>
        <w:jc w:val="left"/>
        <w:rPr>
          <w:rFonts w:ascii="Times New Roman" w:hAnsi="Times New Roman"/>
          <w:b/>
          <w:sz w:val="20"/>
        </w:rPr>
      </w:pPr>
      <w:bookmarkStart w:id="45" w:name="tx76201_42"/>
      <w:bookmarkEnd w:id="45"/>
      <w:r>
        <w:rPr>
          <w:rFonts w:ascii="Times New Roman" w:hAnsi="Times New Roman"/>
          <w:b/>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sz w:val="20"/>
        </w:rPr>
      </w:pPr>
      <w:bookmarkStart w:id="46" w:name="tx76201_43"/>
      <w:bookmarkEnd w:id="46"/>
      <w:r>
        <w:rPr>
          <w:rFonts w:ascii="Times New Roman" w:hAnsi="Times New Roman"/>
          <w:b/>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outstanding under the LTIP at the effective time of the merger (a) would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respective performance targets under either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sz w:val="20"/>
        </w:rPr>
      </w:pPr>
      <w:bookmarkStart w:id="47" w:name="tx76201_44"/>
      <w:bookmarkEnd w:id="47"/>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the effective time of the merger, DXL would cause the exchange agent to mail to each holder of record of FBB common stock entitled to receive the merger consideration a letter of transmittal which would include instructions for effecting the surrender of certificates or book-entry shares representing FBB common stock in exchange for the merger consideration. Upon proper surrender, the holder of the certificate or book-entry share would be entitled to receive either (i) the cash consideration for the Unaccredited Investor Shares or (ii) a physical certificate or uncertificated book entry representing the number of whole DXL common stock that such holder has the right to receive, together with a check representing any dividends or distributions that the holder has the right to receive, and the surrendered certificate or book-entry share would be immediately cancelled. No interest would be paid or would accrue on any cash payable upon surrender of any certificate or book entry-share.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merger consideration issued or paid upon surrender of such certificates or book-entry shares would be deemed to have been issued or paid in full satisfaction of all rights pertaining to the shares of FBB common stock. From and after the effective time of the merger, all holder of FBB common stock would cease to have any rights as stockholders of FBB, other than the right to receive the merger consideration and any dividends or other distributions that holders have the right to receive upon surrender of such certificates of book-entry shares (without interest) and the share registry of FBB would be closed with respect to all FBB common stock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From and after the effective time of the merger, there would be no further registration of transfers on the share registry of the surviving corporation of FBB common stock that were outstanding immediately prior to the effective time of the merger and FBB common stock outstanding immediately prior to the effective time of the merger would, from and after the effective time of the merger, be deemed to evidence only the right to receive the allocable merger consideration in accordance with the terms of the merger agreement. If, after the effective time of the merger, any certificates or book entry-shares formerly representing FBB common stock are presented to DXL, the surviving corporation or the exchange agent for any reason, such certificates or book entry-shares would be canceled and exchanged, as provided in the merger agreement.</w:t>
      </w:r>
    </w:p>
    <w:p>
      <w:pPr>
        <w:pStyle w:val="TextBody"/>
        <w:bidi w:val="0"/>
        <w:spacing w:before="240" w:after="0"/>
        <w:jc w:val="left"/>
        <w:rPr>
          <w:rFonts w:ascii="Times New Roman" w:hAnsi="Times New Roman"/>
          <w:sz w:val="20"/>
        </w:rPr>
      </w:pPr>
      <w:r>
        <w:rPr>
          <w:rFonts w:ascii="Times New Roman" w:hAnsi="Times New Roman"/>
          <w:sz w:val="20"/>
        </w:rPr>
        <w:t xml:space="preserve">None of DXL, merger subsidiary, FBB or the exchange agent would be liable to any person for any portion of the exchange fund or the merger consideration delivered to a public official pursuant to any applicable abandoned property, escheat or similar law. Each of DXL, the exchange agent, or anyone on their behalf would be entitled to deduct and withhold from any consideration otherwise payable or deliverable to any person pursuant to the merger agreement such amounts as may be required to be deducted and withheld with respect to the making of such payment under any applicable tax law. </w:t>
      </w:r>
    </w:p>
    <w:p>
      <w:pPr>
        <w:pStyle w:val="TextBody"/>
        <w:bidi w:val="0"/>
        <w:spacing w:before="360" w:after="0"/>
        <w:jc w:val="left"/>
        <w:rPr>
          <w:rFonts w:ascii="Times New Roman" w:hAnsi="Times New Roman"/>
          <w:b/>
          <w:sz w:val="20"/>
        </w:rPr>
      </w:pPr>
      <w:bookmarkStart w:id="48" w:name="tx76201_45"/>
      <w:bookmarkEnd w:id="48"/>
      <w:r>
        <w:rPr>
          <w:rFonts w:ascii="Times New Roman" w:hAnsi="Times New Roman"/>
          <w:b/>
          <w:sz w:val="20"/>
        </w:rPr>
        <w:t xml:space="preserve">Termination of Exchange Fund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of the merger, DXL would deposit the DXL common stock (in certificated or book-entry form) with the exchange agent in the exchange fund, for the benefit of holders of FBB common stock certificates or book-entry shares, to be delivered as merger consideration. Any portion of the exchange fund that remains unclaimed or undistributed by the date that is twelve (12) months after the effective time of the merger would be delivered to DXL, upon demand. Any holder of FBB common stock certificates or book-entry shares would thereafter only look to DXL for satisfaction of its claim for the merger consideration and any cash in respect of dividends or distributions that the holder has the right to receive. </w:t>
      </w:r>
    </w:p>
    <w:p>
      <w:pPr>
        <w:pStyle w:val="TextBody"/>
        <w:bidi w:val="0"/>
        <w:spacing w:before="360" w:after="0"/>
        <w:jc w:val="left"/>
        <w:rPr>
          <w:rFonts w:ascii="Times New Roman" w:hAnsi="Times New Roman"/>
          <w:b/>
          <w:sz w:val="20"/>
        </w:rPr>
      </w:pPr>
      <w:bookmarkStart w:id="49" w:name="tx76201_46"/>
      <w:bookmarkEnd w:id="49"/>
      <w:r>
        <w:rPr>
          <w:rFonts w:ascii="Times New Roman" w:hAnsi="Times New Roman"/>
          <w:b/>
          <w:sz w:val="20"/>
        </w:rPr>
        <w:t xml:space="preserve">Lost, Stolen or Destroyed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any certificate representing FBB common stock have been lost, stolen or destroyed, upon making an affidavit by the person claiming such certificate to be lost, stolen or destroyed and, if reasonably required by the exchange agent, the posting of a bond (as indemnity against any claim that may be made against it with respect to such certificate), the exchange agent would deliver, in exchange for such lost, stolen or destroyed certificate, the merger consideration and any cash in respect of any dividends or distributions that the holder has the right to receive. </w:t>
      </w:r>
    </w:p>
    <w:p>
      <w:pPr>
        <w:pStyle w:val="TextBody"/>
        <w:bidi w:val="0"/>
        <w:spacing w:before="360" w:after="0"/>
        <w:jc w:val="left"/>
        <w:rPr>
          <w:rFonts w:ascii="Times New Roman" w:hAnsi="Times New Roman"/>
          <w:b/>
          <w:sz w:val="20"/>
        </w:rPr>
      </w:pPr>
      <w:bookmarkStart w:id="50" w:name="tx76201_47"/>
      <w:bookmarkEnd w:id="50"/>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The merger agreement contains customary and substantially reciprocal representations and warranties of DXL and the merger subsidiary, on the one hand, and FBB, on the other, that are subject, in some cases, to specified exceptions and qualifications contained in confidential disclosure schedules and, in the case of the representations and warranties of DXL, are also qualified, in some cases, by certain reports, registrations, schedules, forms, statements and other documents filed by DXL before December 9, 2025 (excluding forward-looking disclosures contained in the “</w:t>
      </w:r>
      <w:r>
        <w:rPr>
          <w:rFonts w:ascii="Times New Roman" w:hAnsi="Times New Roman"/>
          <w:i/>
          <w:sz w:val="20"/>
        </w:rPr>
        <w:t>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sections of such reports, and any other statements or disclosures that are similarly predictive or forward looking in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reciprocal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and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advisors’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and tax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and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accuracy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anti-corruption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representations or warranties;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non-reliance.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and the merger subsidiary made additional representations and warranties to FBB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fairness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made additional representations and warranties to DXL and the merger subsidiary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pre-closing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 of the representations, warranties, covenants and agreements in the merger agreement would survive the effective time of the merger. </w:t>
      </w:r>
    </w:p>
    <w:p>
      <w:pPr>
        <w:pStyle w:val="TextBody"/>
        <w:bidi w:val="0"/>
        <w:spacing w:before="360" w:after="0"/>
        <w:jc w:val="left"/>
        <w:rPr>
          <w:rFonts w:ascii="Times New Roman" w:hAnsi="Times New Roman"/>
          <w:b/>
          <w:sz w:val="20"/>
        </w:rPr>
      </w:pPr>
      <w:bookmarkStart w:id="51" w:name="tx76201_48"/>
      <w:bookmarkEnd w:id="51"/>
      <w:r>
        <w:rPr>
          <w:rFonts w:ascii="Times New Roman" w:hAnsi="Times New Roman"/>
          <w:b/>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each of DXL and FBB agreed that, except (i) as required by law, (ii) as expressly contemplated or permitted by the merger agreement, (iii) as set forth in the confidential disclosure schedules, (iv) certain necessary corporate actions of FBB required under the merger agreement, or (v) as consented to in writing by the other party (such consent not to be unreasonably withheld, conditioned or delayed), that during the period from after the date of the merger agreement to the effective time of the merger or the earlier termination of the merger agreement, it will, and will cause each of their respective subsidiaries to, use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its business solely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available the services of current officers and employees;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and preserve intact its business organization and advantageous business relationships.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agreed that, except (i) as required by law, (ii) as expressly contemplated by the merger agreement, (iii) as set forth in its confidential disclosure schedule, or (iv) consented to in writing by the other party (such consent not to be unreasonably withheld, conditioned or delayed), it will not, and will not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any indebtedness in excess of $250,000 in the aggregate, or make any loan or advance to any person (other than advances of expenses to employees in the ordinary course of business) or enter into any swap or hedging transaction, subject to certain exceptions in the case of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declare or pay any dividend, or make any other distribution (including interest) on, or directly or indirectly redeem, purchase or otherwise acquire, any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reclassify, combine, split, subdivide or issue, deliver, sell, grant, pledge (other than equity interests that are required to be pledged in accordance with any existing loan document) or otherwise encumber or subject to any lien (i) any of its (or its subsidiaries’) equity interests or any of its voting debt or (ii) any rights that are linked in any way to the price of any share capital of, or to the value of or of any part of, or to any dividends or distributions paid on any share capital of, its (or its subsidiaries’)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under the terms of any benefit plan or contract that are in effect on the date of the merger agreement (i) materially increase the compensation or benefits of any of its directors, officers or employees, other than increases to current employees and officers (x) in connection with a promotion or change in responsibilities, (y) in the ordinary course of business consistent with past practice or (z) the payment of incentive compensation for completed performance periods, (ii) engage any independent contractor that is a natural person, subject to certain exceptions, (iii) enter into, establish, adopt, amend or terminate any benefit plan other than as required by applicable law or pursuant to the terms of such benefit plan as in effect on the date of the merger agreement, subject to certain exceptions, (iv) accelerate the time of payment or vesting of, or the lapsing of restrictions with respect to, or fund or otherwise secure the payment of, any compensation or benefits under any benefit plan, (v) terminate the employment or services of any restricted employee, other than for cause, (vi) hire or promote any individual who would be a restricted employee, other than as a replacement hire receiving substantially similar terms of employment as the departed employee, (vii) change any actuarial or other assumptions used to calculate funding obligations with respect to any benefit plan or change the manner in which contributions to such plans are made or the basis on which such contributions are determined, except as may be required by GAAP, (viii) pay, grant or award any equity awards or other incentive awards, or (ix) loan or advance any money or other property to any current or former employee or other service provider (other than advances for reimbursable employee expenses in the ordinary course of business and in accordance with its expense reimbursement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effectuate (i) a “plant closing” (as defined in WARN or any similar applicable law) affecting any site of employment of one or more facilities or operating units within any site of employment or facility, or (ii) a “mass layoff” or collective dismissal (as defined in WARN, or any similar applicable law) affecting any site of employment or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sell, transfer, mortgage, encumber or otherwise dispose of any of its tangible properties or assets in any transaction or series of transactions to any person other than in the ordinary course of business consistent with past practice, or (ii) cancel, release or assign to any such person any material indebtedness or any material claim, other than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assign, pledge, license, convey, subject to any lien (other than permitted liens) or otherwise dispose of any intellectual property rights, other than non-exclusive licenses granted to its (or its subsidiaries’) contractor or service provider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amend any of its (or its subsidiaries’) data privacy or information security policies or practices, except as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any claim, action or proceeding requiring payment of an amount in excess of $100,000 individually or $250,000 in the aggregate, or would obligate it or its subsidiary to admit any wrongdoing, to grant any material rights, to take any material action or impose any material restrictions or material liabilities on the business, or would not provide a full release from any and all liability arising in connection with any such claim, action or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set forth in the capex budget, make any capital expenditures in excess of $1,000,000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the charter, except as contemplated by the merger agreement, or (ii) in the case of DXL, otherwise take any action to exempt any person (other than FBB), or any action taken by any such person, from any takeover statute or similarly restrictive provisions of its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implement or adopt any material change in its tax accounting or financial accounting policies, practices or methods, other than as may be required by applicable law or GAAP or regulatory guidelines or to consummate the transactions contemplated by the merger agreement or (ii) make, change or revoke any material tax election, except,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keep or cause to be kept its material existing insurance policies (or substantial equivalents) in such amounts substantially as in force as of the date of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commit, resolve or propose to take any of the actions prohibited by any of the foregoing. </w:t>
            </w:r>
          </w:p>
        </w:tc>
      </w:tr>
    </w:tbl>
    <w:p>
      <w:pPr>
        <w:pStyle w:val="TextBody"/>
        <w:bidi w:val="0"/>
        <w:spacing w:before="360" w:after="0"/>
        <w:jc w:val="left"/>
        <w:rPr>
          <w:rFonts w:ascii="Times New Roman" w:hAnsi="Times New Roman"/>
          <w:b/>
          <w:sz w:val="20"/>
        </w:rPr>
      </w:pPr>
      <w:bookmarkStart w:id="52" w:name="tx76201_49"/>
      <w:bookmarkEnd w:id="52"/>
      <w:r>
        <w:rPr>
          <w:rFonts w:ascii="Times New Roman" w:hAnsi="Times New Roman"/>
          <w:b/>
          <w:sz w:val="20"/>
        </w:rPr>
        <w:t xml:space="preserve">Required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requires the affirmative vote of a majority of the votes cast by DXL stockholders at the special meeting. Approval of the issuance proposal is a condition to the completion of the merger. Although approval of the reverse stock split proposal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360" w:after="0"/>
        <w:jc w:val="left"/>
        <w:rPr>
          <w:rFonts w:ascii="Times New Roman" w:hAnsi="Times New Roman"/>
          <w:b/>
          <w:sz w:val="20"/>
        </w:rPr>
      </w:pPr>
      <w:bookmarkStart w:id="53" w:name="tx76201_50"/>
      <w:bookmarkEnd w:id="53"/>
      <w:r>
        <w:rPr>
          <w:rFonts w:ascii="Times New Roman" w:hAnsi="Times New Roman"/>
          <w:b/>
          <w:sz w:val="20"/>
        </w:rPr>
        <w:t xml:space="preserve">Board Recommendation </w:t>
      </w:r>
    </w:p>
    <w:p>
      <w:pPr>
        <w:pStyle w:val="TextBody"/>
        <w:bidi w:val="0"/>
        <w:spacing w:before="120" w:after="0"/>
        <w:jc w:val="left"/>
        <w:rPr>
          <w:rFonts w:ascii="Times New Roman" w:hAnsi="Times New Roman"/>
          <w:sz w:val="20"/>
        </w:rPr>
      </w:pPr>
      <w:r>
        <w:rPr>
          <w:rFonts w:ascii="Times New Roman" w:hAnsi="Times New Roman"/>
          <w:sz w:val="20"/>
        </w:rPr>
        <w:t>The merger agreement contains a representation by DXL that the DXL Board has determined to recommend, upon the terms and subject to the conditions set forth in the merger agreement, that DXL stockholders provide the required DXL stockholder vote. The merger agreement further provides that, subject to certain procedures set forth in the merger agreement and described below, neither the DXL Board nor any committee thereof will withhold, withdraw, amend, modify, change or propose or resolve to withhold, withdraw, amend, modify or change, in each case in a manner materially adverse to FBB or which would prevent or delay consummation of the merger, the recommendation of the DXL Board that DXL stockholders provide the required DXL stockholder vote. Please see the section entitled “—</w:t>
      </w:r>
      <w:r>
        <w:rPr>
          <w:rFonts w:ascii="Times New Roman" w:hAnsi="Times New Roman"/>
          <w:i/>
          <w:sz w:val="20"/>
        </w:rPr>
        <w:t>Non-Solicitation of Acquisition Proposals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However,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54" w:name="tx76201_51"/>
      <w:bookmarkEnd w:id="54"/>
      <w:r>
        <w:rPr>
          <w:rFonts w:ascii="Times New Roman" w:hAnsi="Times New Roman"/>
          <w:b/>
          <w:sz w:val="20"/>
        </w:rPr>
        <w:t xml:space="preserve">Non-Solicitation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an FBB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has agreed that it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FBB has agreed to promptly (but in any event within forty-eight (48) hours) (i) notify DXL in writing in the event that FBB or any of its subsidiaries or representatives receives an FBB Takeover Proposal and (ii) provide to DXL (x) an unredacted copy of any FBB Takeover Proposal made in writing and unredacted copies of all other material written materials exchanged between FBB (or any of its subsidiaries or representatives) and such person (or any of its affiliates or its or their representatives) or otherwise received by FBB (or any of its subsidiaries or representatives or any stockholder of FBB) and (y) a written summary of all material terms and conditions of any such FBB Takeover Proposal if not made in writing. From and after such notification, FBB has agreed to keep DXL informed on a prompt basis (and in any event within forty-eight (48) hours) of any material developments with respect to any such FBB Takeover Proposal or any material substantive discussions or negotiations. FBB has agreed to not, and will cause its subsidiaries not to, enter into any confidentiality or similar agreement with any person that prohibits FBB from providing to DXL any of the information required to be provided to DXL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“FBB Takeover Proposal” means, in each case other than an Excluded Transaction (as described below),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(ii) direct or indirect acquisition or sale of outstanding or newly issued FBB common stock or other securities of FBB representing (after giving effect to such acquisition) 20% or more of the outstanding FBB common stock or of the outstanding voting power of FBB, or any other direct or indirect acquisition of 20% or more of the outstanding voting power of FBB, (iii) tender offer or exchange offer that if consummated would result, directly or indirectly, in any person or group (or the stockholders of any person or group) beneficially owning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“Excluded Transaction” means any direct or indirect acquisition or sale of outstanding or newly issued FBB common stock by FBB, including pursuant to the pre-closing investment.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 DXL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which is referred to as a “DXL Acquisition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to promptly (but in any event within forty-eight (48) hours) (i) notify FBB in writing in the event that DXL or any of its subsidiaries or representatives receives a DXL Takeover Proposal and (ii) provide to FBB (x) an unredacted copy of any DXL Takeover Proposal made in writing and unredacted copies of all other material written materials exchanged between DXL (or any of its subsidiaries or representatives) and such person (or any of its affiliates or its or their representatives) or otherwise received by DXL (or any of its subsidiaries or representatives or any stockholder of DXL) and (y) a written summary of all material terms and conditions of any such DXL Takeover Proposal if not made in writing. From and after such notification, DXL has agreed to keep FBB informed on a prompt basis (and in any event within forty-eight (48) hours) of any material developments with respect to any such DXL Takeover Proposal or any material substantive discussions or negotiations. DXL has agreed to not, and will cause its subsidiaries not to, enter into any confidentiality or similar agreement with any person that prohibits DXL from providing to FBB any of the information required to be provided to FBB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a “DXL Takeover Proposal”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(ii) direct or indirect acquisition or sale of outstanding or newly issued DXL common stock or other securities of DXL representing (after giving effect to such acquisition) 20% or more of the outstanding DXL common stock or of the outstanding voting power of DXL, or any other direct or indirect acquisition of 20% or more of the outstanding voting power of DXL, (iii) tender offer or exchange offer that if consummated would result, directly or indirectly, in any Person or group (or the stockholders of any person or group) beneficially owning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power).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if at any time before obtaining the required DXL stockholder vote, the DXL stockholders, DXL or any of its subsidiaries or representatives receives a bona fide written DXL Takeover Proposal and the DXL Board determines in good faith (after consultation with its financial advisor and outside counsel) that such DXL Takeover Proposal constitutes or would reasonably likely lead to a DXL Superior Proposal (as described below) and the failure to take the actions in (x) or (y) below would reasonably be expected to violate the fiduciary duties of DXL’s directors under applicable law, then DXL, its subsidiaries and its representatives may, following written notice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 enter into an acceptable confidentiality agreement with the person or group making the DXL Takeover Proposal and thereafter furnish information to the person or group making such DXL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Proposal; provided, that DXL agrees to promptly (but in any event within forty-eight (48) hours) provide to FBB any written information that is provided to any person or group which was not previously provided to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 engage in or otherwise participate in discussions or negotiations with the person or group making such DXL Takeover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“DXL Superior Proposal” means any bona fide written DXL Takeover Proposal made by a third party and which, if consummated, would result in such third party acquiring, directly or indirectly, more than 50% of the voting power of DXL and the issued and outstanding DXL capital stock or more than 50% of the consolidated assets of DXL and its subsidiaries (based on the fair market value), including through the acquisition of one or more DXL subsidiaries owning such assets, for consideration consisting of cash and/or securities that the DXL Board determines in good faith (after consultation with its financial advisor and outside counsel) would be more favorable from a financial point of view to DXL stockholders than the transactions contemplated in the merger agreement, taking into account (i) any changes to the terms of the merger transactions irrevocably and timely proposed by FBB in response to such offer, (ii) all legal, regulatory, financial and other aspects of such proposal and of the merger agreement deemed relevant by the DXL Board in good faith and (iii) the obligation to pay the applicable termination fee to DXL.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DXL has also agreed that the DXL Board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any of the following (each, individually, a “DXL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 withdraw or modify in a manner adverse to FBB the recommendation to stockholders of DXL that they give the required DXL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 or approve the approval of, or publicly propose to recommend or approve the approval of, any DXL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refrain from recommending against any DXL Takeover Proposal that is a tender offer or exchange offer within ten (10) business days after the commencement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propose publicly to execute or enter into a DXL Acquisition Agreement (other than any acceptable confidentiality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before the required DXL stockholder vote is obtained, the DXL Board may (i) make a DXL Adverse Recommendation Change or (ii) cause DXL to enter into a DXL Acquisition Agreement with respect to a DXL Takeover Proposal, in either case if the DXL Board determines in good faith (after consultation with its financial advisor and outside counsel) that (x) to do otherwise would be reasonably expected to violate the fiduciary duties of DXL’s directors under applicable law, and (y) in the case of clause (i) where the DXL Adverse Recommendation Change is made in response to a DXL Takeover Proposal or in the case of both clauses (i) and (ii), such DXL Takeover Proposal constitutes a DXL Superior Proposal. The DXL Board has agreed to not, and will cause DXL not to, take any action set forth in clause (i) or clause (ii)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provided written notice to FBB advising FBB that the DXL Board intends to take such action and the reasons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such notice of DXL Takeover Proposal, such notice specifies the material terms and conditions of such DXL Takeover Proposal, and includes a copy of the most current version of the agreement or proposal and all material related documentation with respect to such DXL Takeover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for such proposed action will require a new notice and an additional four (4) business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by FBB, DXL has negotiated, and has caused its subsidiaries and representatives to negotiate, in good faith with FBB during such five (5) business day period (as may be extended) with respect to any changes to the terms of the merger agreement proposed by FBB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into account any changes to the terms of the merger agreement irrevocably and timely proposed by FBB, the DXL Board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the merger agreement pursuant to this sentence will be void and of no force and effect unless the termination is in accordance with the termination provisions of the merger agreement and DXL pays the applicable termination fee to FBB. </w:t>
            </w:r>
          </w:p>
        </w:tc>
      </w:tr>
    </w:tbl>
    <w:p>
      <w:pPr>
        <w:pStyle w:val="TextBody"/>
        <w:bidi w:val="0"/>
        <w:spacing w:before="360" w:after="0"/>
        <w:jc w:val="left"/>
        <w:rPr>
          <w:rFonts w:ascii="Times New Roman" w:hAnsi="Times New Roman"/>
          <w:b/>
          <w:sz w:val="20"/>
        </w:rPr>
      </w:pPr>
      <w:bookmarkStart w:id="55" w:name="tx76201_52"/>
      <w:bookmarkEnd w:id="55"/>
      <w:r>
        <w:rPr>
          <w:rFonts w:ascii="Times New Roman" w:hAnsi="Times New Roman"/>
          <w:b/>
          <w:sz w:val="20"/>
        </w:rPr>
        <w:t xml:space="preserve">Employee Benefits Matters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time of the merger and thereafter during the periods specified below, unless otherwise mutually determined by FBB and DXL, DXL would provide, or would cause the DXL subsidiaries (including, without limitation, the surviving corporation) to provide to each DXL employee and each FBB employee who at the effective time of the merger are an employee of DXL or the DXL subsidiaries (including, without limitation, the surviving corporation) (each, a “continuing employee”) with the following compensation and benefits: (i) for the period commencing at the effective time of the merger and ending on the one-year anniversary of the closing date of the merger, (A) a base salary or base wage rate that is no less favorable than the base salary or base wage rate provided to such continuing employee immediately prior to the effective time of the merger, and (B) annual cash or other short-term incentive compensation opportunities that are no less favorable than the annual cash or other short-term incentive compensation opportunities provided to such continuing employee immediately prior to the effective time of the merger and (ii) for the period commencing on the effective time of the merger until the surviving corporation in the merger and DXL adopt the new benefit plans,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of the merger; provided that DXL may satisfy these obligations for a transitional period through the end of the year in which the closing of the merger occurs by providing (x) for continuing employees who were FBB employees immediately prior to the closing, employee benefits under the FBB benefit plans in effect as of the closing; and (y) for continuing employees who were DXL employees immediately prior to the closing, employee benefits under the DXL benefit plans in effect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merger, FBB and DXL agree to cooperate in reviewing, evaluating and analyzing the DXL benefit plans and FBB benefit plans with a view towards developing appropriate new benefit plans with respect to continuing employees, which would, to the extent permitted by applicable law, and among other things, (A) treat similarly situated employees on a substantially equivalent basis, taking into account all relevant factors, and (B) not discriminate between employees who were covered by DXL benefit plans, on the one hand, and those covered by FBB benefit plans,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As of the closing date of the merger, DXL and DXL subsidiaries (including, without limitation, the surviving corporation) agree to recognize all service of each continuing employee prior to the closing date of the merger to the same extent such service was recognized by DXL and FBB, respectively, for purposes of eligibility, participation, vesting and level of benefits (other than benefit accrued under any defined benefit plan or vesting under any equity or equity-based compensation plan, or to the extent that such recognition would result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following the effective time, DXL has agreed to waive pre-existing condition exclusions, actively at work requirements and waiting periods under applicable welfare benefit plans and provide appropriate credit for deductibles and out-of-pocket expenses incurred prior to the effective time, in each case, to the extent provided in the merger agreement. </w:t>
      </w:r>
    </w:p>
    <w:p>
      <w:pPr>
        <w:pStyle w:val="TextBody"/>
        <w:bidi w:val="0"/>
        <w:spacing w:before="360" w:after="0"/>
        <w:jc w:val="left"/>
        <w:rPr>
          <w:rFonts w:ascii="Times New Roman" w:hAnsi="Times New Roman"/>
          <w:b/>
          <w:sz w:val="20"/>
        </w:rPr>
      </w:pPr>
      <w:bookmarkStart w:id="56" w:name="tx76201_53"/>
      <w:bookmarkEnd w:id="56"/>
      <w:r>
        <w:rPr>
          <w:rFonts w:ascii="Times New Roman" w:hAnsi="Times New Roman"/>
          <w:b/>
          <w:sz w:val="20"/>
        </w:rPr>
        <w:t xml:space="preserve">Directors’ and Officers’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DXL and the merger subsidiary agree that all rights to indemnification, advancement of expenses and exculpation from liabilities for acts or omissions occurring at or prior to the effective time of the merger in favor of any person who was or becomes prior to the effective time of the merger a current or former director, officer or employee of FBB (including any person who is or was serving at the request of FBB as a current or former officer, director or employee of a subsidiary of FBB) would survive the merger and would continue in full force and effect in accordance with their terms. For a period of six years from the effective time of the merger, the surviving corporation would, and DXL would cause the surviving corporation to, (i) cause the surviving corporation’s charter documents and the charter documents of any subsidiary of FBB to contain indemnification, exculpation and advancement of expenses provisions that are at least as favorable as those provisions contained in the charter documents of FBB and (ii) maintain any indemnification agreements of FBB and its subsidiaries with any such indemnified party existing prior to the date of the merger agreement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or prior to the effective time of the merger, FBB would, with DXL’s prior written consent (not to be unreasonably withheld), purchase a six year “tail” policy with terms, conditions, and coverage that are no less favorable than the terms, conditions and coverage provided to the indemnified parties under FBB’s existing policies as of the date of the merger agreement. The surviving corporation and DXL would cause the tail policy to be maintained in full force and effect, for its full term; provided that, if the tail policy becomes unavailable, DXL would cause the surviving corporation to obtain the greatest coverage available for a cost not exceeding an annual premium equal to the foregoing maximum premium. </w:t>
      </w:r>
    </w:p>
    <w:p>
      <w:pPr>
        <w:pStyle w:val="TextBody"/>
        <w:bidi w:val="0"/>
        <w:spacing w:before="360" w:after="0"/>
        <w:jc w:val="left"/>
        <w:rPr>
          <w:rFonts w:ascii="Times New Roman" w:hAnsi="Times New Roman"/>
          <w:b/>
          <w:sz w:val="20"/>
        </w:rPr>
      </w:pPr>
      <w:bookmarkStart w:id="57" w:name="tx76201_54"/>
      <w:bookmarkEnd w:id="57"/>
      <w:r>
        <w:rPr>
          <w:rFonts w:ascii="Times New Roman" w:hAnsi="Times New Roman"/>
          <w:b/>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closing, FBB agrees to use its reasonable best efforts to take, or cause to be taken, all reasonable actions and do, or cause to be done, all things necessary, proper or advisable to consummate the pre-closing investment contemplated by the commitment and subscription agreements and use its reasonable best efforts to satisfy all conditions and covenants applicable to FBB and comply with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merger, the combined company is expected to have a capital structure that includes (i) FBB’s existing term loan facility, which has been amended and restated pursuant to an executed amended and restated credit agreement that will become effective upon the occurrence of specified conditions at closing (the “A&amp;R Term Loan Facility”), and (ii) a new combined asset-based revolving credit facility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The amendment and restatement governing the A&amp;R Term Loan Facility has been executed and would become effective upon the satisfaction of specified closing conditions, including the consummation of the merger. Upon effectiveness, DXL and certain of its material domestic subsidiaries would become guarantors under the A&amp;R Term Loan Facility, and the obligations thereunder would be secured by substantially all assets of the combined company, including its material U.S. subsidiaries, subject to customary exceptions. The A&amp;R Term Loan Facility would mature in August 22, 2029 and would bear interest at a rate equal to term SOFR (subject to a 1.00% floor and a 0.15% credit spread adjustment) plus 7.50% per annum or, at the borrower’s option, an alternate base rate plus 6.50% per annum. The A&amp;R Term Loan Facility contains customary affirmative and negative covenants, including limitations on indebtedness, liens, restricted payments, investments and asset sales, and would include a financial maintenance covenant requiring compliance with a maximum total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would use the proceeds from the transactions contemplated by the commitment and subscription agreements to reduce outstanding indebtedness under the A&amp;R Term Loan Facility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in connection with the closing of the merger, DXL and FBB intend to establish the Combined ABL Facility for the surviving company and its subsidiaries, pursuant to the terms of the Bank of America Commitment Letter. The Combined ABL Facility is expected to provide revolving commitments subject to a borrowing base based primarily on eligible inventory and accounts receivable and to contain customary representations, covenants and events of default consistent with comparable asset-based revolving facilities for similarly situated retail companies, including a springing minimum fixed charge coverage ratio that becomes operative when borrowing availability falls below a specified threshold.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of DXL and FBB has agreed, and has agreed to cause its respective subsidiaries, to use reasonable best efforts to cooperate with the other party in connection with (i) the effectiveness of the A&amp;R Term Loan Facility and (ii) the documentation and closing of the Combined ABL Facility for the surviving company and its subsidiaries on the closing date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of DXL and FBB has further agreed, and has agreed to cause its respective subsidiaries, to use reasonable best efforts to (i) furnish the other party and debt financing sources with reasonably requested financial, corporate, organizational, and collateral information in connection with the preparation of the loan facilities, (ii) provide customary certificates, organizational documents, schedules, instruments and other deliverables reasonably requested by lenders, (iii) reasonably participate in customary diligence, (iv) all documentation and information reasonably requested in writing in connection with applicable “know-your-customer” and anti-money laundering rules and regulations, and (v) execute and deliver as of the closing of the merger any guarantee, pledge and security documents, other definitive financing documents, or other certificates or documents reasonably requested by the leading party or the debt financing sources. </w:t>
      </w:r>
    </w:p>
    <w:p>
      <w:pPr>
        <w:pStyle w:val="TextBody"/>
        <w:bidi w:val="0"/>
        <w:spacing w:before="360" w:after="0"/>
        <w:jc w:val="left"/>
        <w:rPr>
          <w:rFonts w:ascii="Times New Roman" w:hAnsi="Times New Roman"/>
          <w:b/>
          <w:sz w:val="20"/>
        </w:rPr>
      </w:pPr>
      <w:bookmarkStart w:id="58" w:name="tx76201_55"/>
      <w:bookmarkEnd w:id="58"/>
      <w:r>
        <w:rPr>
          <w:rFonts w:ascii="Times New Roman" w:hAnsi="Times New Roman"/>
          <w:b/>
          <w:sz w:val="20"/>
        </w:rPr>
        <w:t xml:space="preserve">Nasdaq Listing </w:t>
      </w:r>
    </w:p>
    <w:p>
      <w:pPr>
        <w:pStyle w:val="TextBody"/>
        <w:bidi w:val="0"/>
        <w:spacing w:before="120" w:after="0"/>
        <w:jc w:val="left"/>
        <w:rPr>
          <w:rFonts w:ascii="Times New Roman" w:hAnsi="Times New Roman"/>
          <w:sz w:val="20"/>
        </w:rPr>
      </w:pPr>
      <w:r>
        <w:rPr>
          <w:rFonts w:ascii="Times New Roman" w:hAnsi="Times New Roman"/>
          <w:sz w:val="20"/>
        </w:rPr>
        <w:t xml:space="preserve">If the issuance proposal is approved, prior to the effective time of the merger, DXL has agreed to prepare and submit to Nasdaq a listing application or notification, as applicable, covering the shares of DXL common stock 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rPr>
      </w:pPr>
      <w:bookmarkStart w:id="59" w:name="tx76201_56"/>
      <w:bookmarkEnd w:id="59"/>
      <w:r>
        <w:rPr>
          <w:rFonts w:ascii="Times New Roman" w:hAnsi="Times New Roman"/>
          <w:b/>
          <w:sz w:val="20"/>
        </w:rPr>
        <w:t xml:space="preserve">Conditions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obligations to effect the merger is subject to the satisfaction or waiver by each of the parties,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by the holders of (i) a majority of the voting power of the outstanding FBB capital stock, (ii) a majority of the outstanding FBB preferred stock and (iii) a majority of the liquidation preference of all of the shares of FBB preferred stock, to approve and adopt the merger agreement, the merger, the amendment of the FBB charter and the amendment of the certificate of designation of the FBB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of a majority of the votes cast at a meeting of the holders of DXL common stock to approve the issuance of shares of DXL common stock as the merger consideration pursuant to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common stock to be issued as merger consideration has been authorized for listing on Nasdaq,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investment has been consummated pursuant to, and in the amounts set forth in, the commitment and subscription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preventing the consummation of the merger or any of the other transactions contemplated by the merger agreement has been in effect and no statute, rule, regulation or injunction has been enacted, entered, promulgated or enforced by any governmental entity that prohibits or makes the consummation of the merger illegal.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DXL’s obligation to effect the merger is subject to the satisfaction, or waiver by DXL,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FBB’s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FBB has delivered to DXL a certificate certifying the satisfaction of the conditions set forth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time of the merger, FBB will have (i) amended the FBB charter to increase the total number of authorized shares sufficient to permit the consummation of the pre-closing investment, (ii) amended the certificate of designation of the FBB preferred stock to cause the conversion of all issued and outstanding shares of FBB preferred stock into shares of FBB common stock and (iii) taken all actions necessary to cause the conversion of all issued and outstanding shares of FBB preferred stock into shares of FBB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FBB’s obligation to effect the merger is subject to the satisfaction, or waiver by FBB,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DXL’s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DXL;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DXL has delivered to FBB a certificate certifying the satisfaction of the conditions set forth above. </w:t>
            </w:r>
          </w:p>
        </w:tc>
      </w:tr>
    </w:tbl>
    <w:p>
      <w:pPr>
        <w:pStyle w:val="TextBody"/>
        <w:bidi w:val="0"/>
        <w:spacing w:before="360" w:after="0"/>
        <w:jc w:val="left"/>
        <w:rPr>
          <w:rFonts w:ascii="Times New Roman" w:hAnsi="Times New Roman"/>
          <w:b/>
          <w:sz w:val="20"/>
        </w:rPr>
      </w:pPr>
      <w:bookmarkStart w:id="60" w:name="tx76201_57"/>
      <w:bookmarkEnd w:id="60"/>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of the merger, whether before or after receipt of the FBB stockholder approval or the required DXL stockholder vote, by action taken or authorized by the board of directors of the terminating party or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consent of DXL and FBB in a written instrument;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DXL 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governmental entity of competent jurisdiction has issued a final and non-appealable order permanently enjoining or otherwise prohibiting the consummation of the merger or the other transactions contemplated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required DXL stockholder vote has not been obtained at the DXL stockholders meeting or any adjournment or postponement;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FBB stockholder approval has not been obtained within five (5) calendar days of the date of the merger agreement;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has not been consummated on or before October 30, 2026, subject to extension in accordance with the provisions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any of its representations and warranties or failed to perform any of its covenants or agreements such that the conditions to DXL’s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or failed to perform any of its covenants and agreements to consummate the pre-closing investment and take the necessary corporate actions with respect thereto, such that the conditions to DXL’s obligation to consummate the merger would not be satisfied, and such breach has not been cured within the specified cure period or is incapable of being cured;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connection with accepting a DXL Superior Proposal and entering into a DXL Acquisition Agreement; provided, that DXL concurrently pays FBB the applicable termination fee (as set forth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DXL has breached any of its representations and warranties or failed to perform any of its covenants or agreements such that the conditions to FBB’s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Nasdaq has informed FBB or DXL, whether orally or in writing, that Nasdaq will not list the merger consideration upon consummation of the merger and otherwise at the effective time of the 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the event of a DXL Adverse Recommendation Change by the DXL Board or any committee thereof. </w:t>
            </w:r>
          </w:p>
        </w:tc>
      </w:tr>
    </w:tbl>
    <w:p>
      <w:pPr>
        <w:pStyle w:val="TextBody"/>
        <w:bidi w:val="0"/>
        <w:spacing w:before="360" w:after="0"/>
        <w:jc w:val="left"/>
        <w:rPr>
          <w:rFonts w:ascii="Times New Roman" w:hAnsi="Times New Roman"/>
          <w:b/>
          <w:sz w:val="20"/>
        </w:rPr>
      </w:pPr>
      <w:bookmarkStart w:id="61" w:name="tx76201_58"/>
      <w:bookmarkEnd w:id="61"/>
      <w:r>
        <w:rPr>
          <w:rFonts w:ascii="Times New Roman" w:hAnsi="Times New Roman"/>
          <w:b/>
          <w:sz w:val="20"/>
        </w:rPr>
        <w:t xml:space="preserve">Termination Fee; Expense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pursuant to accepting a DXL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FBB pursuant to a change in DXL Adverse Recommendation Change by the DXL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DXL Takeover Proposal has been publicly announced and (i) the merger agreement is terminated due to failure to obtain the required DXL stockholder vote, lapse of end date of closing of the merger, or a breach by DXL, and (ii) DXL enters into an agreement to consummate a subsequent transaction in respect of the DXL Takeover Proposal within twelve (12) months after the termination of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DXL will pay FBB a termination fee equal to $2,500,000.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or FBB pursuant to the failure to obtain the required DXL stockholder vote;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paid the termination fee of $2,500,000 as set forth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DXL will reimburse FBB for all reasonable out-of-pocket fees and expenses incurred by FBB in connection with the negotiation of the merger agreement, up to a maximum of $950,000.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the merger agreement is terminated by DXL due to FBB’s breach or failure to consummate the pre-closing investment and take the necessary corporate actions, then FBB will pay DXL a termination fee equal to $2,500,000 and FBB will reimburse DXL for all reasonable out-of-pocket fees and expenses incurred by DXL in connection with the negotiation of the merger agreement, up to a maximum of $950,000. </w:t>
      </w:r>
    </w:p>
    <w:p>
      <w:pPr>
        <w:pStyle w:val="TextBody"/>
        <w:bidi w:val="0"/>
        <w:spacing w:before="360" w:after="0"/>
        <w:jc w:val="left"/>
        <w:rPr>
          <w:rFonts w:ascii="Times New Roman" w:hAnsi="Times New Roman"/>
          <w:b/>
          <w:sz w:val="20"/>
        </w:rPr>
      </w:pPr>
      <w:bookmarkStart w:id="62" w:name="tx76201_59"/>
      <w:bookmarkEnd w:id="62"/>
      <w:r>
        <w:rPr>
          <w:rFonts w:ascii="Times New Roman" w:hAnsi="Times New Roman"/>
          <w:b/>
          <w:sz w:val="20"/>
        </w:rPr>
        <w:t xml:space="preserve">Amendments; Extensions; Waivers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law, the merger agreement may be amended by DXL, merger subsidiary and FBB, by action taken or authorized by their respective boards of directors, at any time before or after the FBB stockholder approval or the required DXL stockholder vote; provided that (i) after the FBB stockholder approval has been obtained, any amendment of the merger agreement that by applicable law requires the further approval by the stockholders of FBB will be effective only with the approval of such stockholders and (ii) after the required DXL stockholder vote has been obtained, any amendment of the merger agreement that by applicable law requires the further approval by the stockholders of DXL will be effective only with the approval of such stockholders. The merger agreement may not be amended except by an instrument in writing signed on behalf of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effective time of the merger, DXL (on behalf of itself and the merger subsidiary) and FBB may, to the extent legally allowed, (a) extend the time for the performance of any of the obligations or other acts of DXL or the merger subsidiary, in the case of FBB, or FBB, in the case of DXL, (b) waive any inaccuracies in the representations and warranties of DXL or the merger subsidiary, in the case of FBB, or FBB, in the case of DXL, contained in the merger agreement, and (c) waive compliance by DXL or the merger subsidiary, in the case of FBB, or FBB, in the case of DXL, with any of the agreements or conditions contained in the merger agreement. Any agreement on the part of a party to any such extension or waiver will be valid only if set forth in a written instrument signed by an authorized officer of such party.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2026, DXL, the merger subsidiary and FBB entered into an amendment to the merger agreement, pursuant to which the parties agreed to amend the End Date from September 11, 2026 to October 30, 2026. </w:t>
      </w:r>
    </w:p>
    <w:p>
      <w:pPr>
        <w:pStyle w:val="TextBody"/>
        <w:bidi w:val="0"/>
        <w:spacing w:before="360" w:after="0"/>
        <w:jc w:val="left"/>
        <w:rPr>
          <w:rFonts w:ascii="Times New Roman" w:hAnsi="Times New Roman"/>
          <w:b/>
          <w:sz w:val="20"/>
        </w:rPr>
      </w:pPr>
      <w:bookmarkStart w:id="63" w:name="tx76201_60"/>
      <w:bookmarkEnd w:id="63"/>
      <w:r>
        <w:rPr>
          <w:rFonts w:ascii="Times New Roman" w:hAnsi="Times New Roman"/>
          <w:b/>
          <w:sz w:val="20"/>
        </w:rPr>
        <w:t xml:space="preserve">Assignment </w:t>
      </w:r>
    </w:p>
    <w:p>
      <w:pPr>
        <w:pStyle w:val="TextBody"/>
        <w:bidi w:val="0"/>
        <w:spacing w:before="120" w:after="0"/>
        <w:jc w:val="left"/>
        <w:rPr>
          <w:rFonts w:ascii="Times New Roman" w:hAnsi="Times New Roman"/>
          <w:sz w:val="20"/>
        </w:rPr>
      </w:pPr>
      <w:r>
        <w:rPr>
          <w:rFonts w:ascii="Times New Roman" w:hAnsi="Times New Roman"/>
          <w:sz w:val="20"/>
        </w:rPr>
        <w:t xml:space="preserve">Neither the merger agreement, nor any of the rights, interests or obligations under the merger agreement, may be assigned, in whole or in part, by operation of law or otherwise by any of the parties without the prior written consent of the other parties. Any purported assignment without such consent will be void. </w:t>
      </w:r>
    </w:p>
    <w:p>
      <w:pPr>
        <w:pStyle w:val="TextBody"/>
        <w:bidi w:val="0"/>
        <w:spacing w:before="360" w:after="0"/>
        <w:jc w:val="left"/>
        <w:rPr>
          <w:rFonts w:ascii="Times New Roman" w:hAnsi="Times New Roman"/>
          <w:b/>
          <w:sz w:val="20"/>
        </w:rPr>
      </w:pPr>
      <w:bookmarkStart w:id="64" w:name="tx76201_61"/>
      <w:bookmarkEnd w:id="64"/>
      <w:r>
        <w:rPr>
          <w:rFonts w:ascii="Times New Roman" w:hAnsi="Times New Roman"/>
          <w:b/>
          <w:sz w:val="20"/>
        </w:rPr>
        <w:t xml:space="preserve">Entire Agreement; No Third-Party Beneficiaries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together with the mutual confidentiality and non-disclosure agreement dated as of February 12, 2024 (as amended), constitutes the entire agreement among the parties with respect to the merger and the other transactions contemplated in the merger agreement, and is not intended to, and does not, confer upon any person any rights or remedies, other than, following the effective time of the merger, (i) the provisions of Article II of the merger agreement relating to the payment of the merger consideration and any dividends or other distributions payable will be enforceable by holders of FBB capital stock at the effective time of the merger as provided in the merger agreement, (ii) the FBB selling stockholders are intended third party beneficiaries of Section 6.02 of the merger agreement governing such selling stockholders’ resale registration rights, and (iii) the indemnified directors and officers are intended third party beneficiaries of Section 6.11(a) of the merger agreement, providing for rights to indemnification, advancement of expenses and exculpation of liabilities to such indemnified parties. </w:t>
      </w:r>
    </w:p>
    <w:p>
      <w:pPr>
        <w:pStyle w:val="TextBody"/>
        <w:bidi w:val="0"/>
        <w:spacing w:before="360" w:after="0"/>
        <w:jc w:val="left"/>
        <w:rPr>
          <w:rFonts w:ascii="Times New Roman" w:hAnsi="Times New Roman"/>
          <w:b/>
          <w:sz w:val="20"/>
        </w:rPr>
      </w:pPr>
      <w:bookmarkStart w:id="65" w:name="tx76201_62"/>
      <w:bookmarkEnd w:id="65"/>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explicitly provided in the merger agreement, all costs and expenses incurred in connection with the merger agreement, the merger and the other transactions contemplated thereby will be paid by the party incurring such costs and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6" w:name="tx76201_63"/>
      <w:bookmarkEnd w:id="66"/>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acknowledge and agree that irreparable damage would occur in the event that any of the provisions of the merger agreement were not performed in accordance with their specific terms or were otherwise breached, and that monetary damages, even if available, would not be an adequate remedy therefor and therefore fully intend for specific performance to be an available remedy for breaches of the merger agreement. It is accordingly agreed that the parties will be entitled to an injunction or injunctions to prevent breaches of the merger agreement and to enforce specifically the performance of terms and provisions of the merger agreement, without proof of actual damages, in addition to any other remedy to which they are 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w:t>
      </w:r>
    </w:p>
    <w:p>
      <w:pPr>
        <w:pStyle w:val="TextBody"/>
        <w:bidi w:val="0"/>
        <w:spacing w:before="360" w:after="0"/>
        <w:jc w:val="left"/>
        <w:rPr>
          <w:rFonts w:ascii="Times New Roman" w:hAnsi="Times New Roman"/>
          <w:b/>
          <w:sz w:val="20"/>
        </w:rPr>
      </w:pPr>
      <w:bookmarkStart w:id="67" w:name="tx76201_64"/>
      <w:bookmarkEnd w:id="67"/>
      <w:r>
        <w:rPr>
          <w:rFonts w:ascii="Times New Roman" w:hAnsi="Times New Roman"/>
          <w:b/>
          <w:sz w:val="20"/>
        </w:rPr>
        <w:t xml:space="preserve">Governing Law and Jurisdiction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the laws of the State of Delaware, without giving effect to any choice of law or conflict of law provision or rule (whether of the State of Delaware or otherwise) that would cause the application of the laws of any other jurisdiction. The parties have agreed that any dispute arising out of or relating to the merger agreement or the transactions contemplated by the merger agreement will be brought and determined exclusively in the Delaware Court of Chancery or, if (and only if) such court finds it lacks jurisdiction, the State or Federal courts of the United States of America sitting in Delaware, and any appellate court from any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8" w:name="tx76201_65"/>
      <w:bookmarkEnd w:id="68"/>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69" w:name="tx76201_66"/>
      <w:bookmarkEnd w:id="69"/>
      <w:r>
        <w:rPr>
          <w:rFonts w:ascii="Times New Roman" w:hAnsi="Times New Roman"/>
          <w:b/>
          <w:sz w:val="20"/>
        </w:rPr>
        <w:t xml:space="preserve">Voting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the current directors (including DXL’s interim chief executive officer), DXL’s chief financial officer, the former chief executive officer and former director of DXL, and PLP entered into a voting agreement with FBB pursuant to which they agreed, among other things, at any meeting of the stockholders of DXL and in connection with any action proposed to be taken by written consent of the stockholders of DXL, that they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them to be counted as present for the purpose of determining a quorum;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cause to be voted), or deliver (or cause to be delivered) a written consent with respect to, all shares held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any Adverse Proposal (described below), except as permitted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voting agreements, “Adverse Proposal” means (i) any DXL Takeover Proposal (as described above); (ii) any change in the present capitalization of DXL or any amendment or change to the DXL charter or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in the merger agreement or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voting agreements, the voting commitments apply not only to shares owned by the applicable stockholder at the time the voting agreement was executed, but also to additional shares of DXL common stock acquired by such stockholder prior to termination of the applicable voting agreement. In addition, the current directors (including DXL’s interim chief executive officer), DXL’s chief financial officer, and the former chief executive officer and former director of DXL agreed not to transfer any DXL shares held by them, and any transferee pursuant to an involuntary transfer will agree to hold such DXL shares subject to the restrictions, obligations, liabilities and rights under the voting agreement. Unlike the voting agreements entered into by the current directors (including DXL’s interim chief executive officer), DXL’s chief financial officer and the former chief executive officer and former director of DXL, PLP’s voting agreement does not prohibit PLP from transferring shares of DXL common stock prior to termination of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voting agreement terminates upon the earliest to occur of: (i) the effective time of the merger, (ii) the termination of the merger agreement in accordance with its terms, and (iii) the termination of the voting agreement by mutual written consent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stockholders subject to the voting agreements held approximately [●]% of the outstanding shares of DXL common stock entitled to vote at the special meeting, including approximately [●]% held by PLP. After giving effect to the shares of DXL common stock subject to the voting agreements, holders of an additional [●] shares of DXL common stock not subject to the voting agreements, representing approximately [●]% of the shares of DXL common stock not subject to the voting agreements, would be required to be present in person or represented by proxy at the special meeting to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Because the issuance proposal requires the affirmative vote of a majority of the votes cast on the proposal, the number of shares of DXL common stock not subject to the voting agreements that would be required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favor of the issuance proposal will depend on the number of shares present and voting on the proposal at the special meeting. The table below illustrates, at various levels of stockholder participation, the number of additional affirmative votes that would be required from shares not subject to the voting agreements for the issuance proposal to be approved, assuming that all shares subject to the voting agreements are present and voted in favor of the issuance proposal and that no shares vote against the issuance proposal: </w:t>
      </w:r>
    </w:p>
    <w:p>
      <w:pPr>
        <w:pStyle w:val="TextBody"/>
        <w:bidi w:val="0"/>
        <w:spacing w:before="0" w:after="0"/>
        <w:jc w:val="left"/>
        <w:rPr/>
      </w:pPr>
      <w:r>
        <w:rPr/>
        <w:t> </w:t>
      </w:r>
    </w:p>
    <w:tbl>
      <w:tblPr>
        <w:tblW w:w="12050" w:type="dxa"/>
        <w:jc w:val="center"/>
        <w:tblInd w:w="0" w:type="dxa"/>
        <w:tblLayout w:type="fixed"/>
        <w:tblCellMar>
          <w:top w:w="0" w:type="dxa"/>
          <w:left w:w="0" w:type="dxa"/>
          <w:bottom w:w="0" w:type="dxa"/>
          <w:right w:w="0" w:type="dxa"/>
        </w:tblCellMar>
      </w:tblPr>
      <w:tblGrid>
        <w:gridCol w:w="2165"/>
        <w:gridCol w:w="120"/>
        <w:gridCol w:w="94"/>
        <w:gridCol w:w="2311"/>
        <w:gridCol w:w="275"/>
        <w:gridCol w:w="60"/>
        <w:gridCol w:w="768"/>
        <w:gridCol w:w="1217"/>
        <w:gridCol w:w="500"/>
        <w:gridCol w:w="60"/>
        <w:gridCol w:w="1540"/>
        <w:gridCol w:w="2440"/>
        <w:gridCol w:w="50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Shares Present and Voting on</w:t>
              <w:br/>
              <w:t>Issuance Proposal</w:t>
              <w:br/>
              <w:t>(as % of Outstanding Shares)</w:t>
            </w:r>
          </w:p>
        </w:tc>
        <w:tc>
          <w:tcPr>
            <w:tcW w:w="120" w:type="dxa"/>
            <w:tcBorders/>
            <w:vAlign w:val="bottom"/>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Required for</w:t>
              <w:br/>
              <w:t>Approval</w:t>
              <w:br/>
              <w:t>(Majority of Votes Cast)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 Subject to</w:t>
              <w:br/>
              <w:t>Voting Agreements</w:t>
            </w:r>
          </w:p>
        </w:tc>
        <w:tc>
          <w:tcPr>
            <w:tcW w:w="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 Affirmative Votes Required</w:t>
              <w:br/>
              <w:t>From Shares Not Subject to</w:t>
              <w:br/>
              <w:t>Voting Agreements</w:t>
            </w:r>
          </w:p>
        </w:tc>
        <w:tc>
          <w:tcPr>
            <w:tcW w:w="500" w:type="dxa"/>
            <w:tcBorders/>
            <w:vAlign w:val="bottom"/>
          </w:tcPr>
          <w:p>
            <w:pPr>
              <w:pStyle w:val="TableContents"/>
              <w:bidi w:val="0"/>
              <w:spacing w:before="0" w:after="283"/>
              <w:jc w:val="left"/>
              <w:rPr/>
            </w:pPr>
            <w:r>
              <w:rPr/>
              <w:t> </w:t>
            </w:r>
          </w:p>
        </w:tc>
      </w:tr>
      <w:tr>
        <w:trPr/>
        <w:tc>
          <w:tcPr>
            <w:tcW w:w="21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51.0%</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25.5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165" w:type="dxa"/>
            <w:tcBorders/>
          </w:tcPr>
          <w:p>
            <w:pPr>
              <w:pStyle w:val="TableContents"/>
              <w:bidi w:val="0"/>
              <w:spacing w:before="0" w:after="0"/>
              <w:jc w:val="center"/>
              <w:rPr>
                <w:rFonts w:ascii="Times New Roman" w:hAnsi="Times New Roman"/>
                <w:sz w:val="20"/>
              </w:rPr>
            </w:pPr>
            <w:r>
              <w:rPr>
                <w:rFonts w:ascii="Times New Roman" w:hAnsi="Times New Roman"/>
                <w:sz w:val="20"/>
              </w:rPr>
              <w:t>60.0%</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30.0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1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70.0%</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35.0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165" w:type="dxa"/>
            <w:tcBorders/>
          </w:tcPr>
          <w:p>
            <w:pPr>
              <w:pStyle w:val="TableContents"/>
              <w:bidi w:val="0"/>
              <w:spacing w:before="0" w:after="0"/>
              <w:jc w:val="center"/>
              <w:rPr>
                <w:rFonts w:ascii="Times New Roman" w:hAnsi="Times New Roman"/>
                <w:sz w:val="20"/>
              </w:rPr>
            </w:pPr>
            <w:r>
              <w:rPr>
                <w:rFonts w:ascii="Times New Roman" w:hAnsi="Times New Roman"/>
                <w:sz w:val="20"/>
              </w:rPr>
              <w:t>80.0%</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40.0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r>
        <w:trPr/>
        <w:tc>
          <w:tcPr>
            <w:tcW w:w="2165"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90.0%</w:t>
            </w:r>
          </w:p>
        </w:tc>
        <w:tc>
          <w:tcPr>
            <w:tcW w:w="120"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2311" w:type="dxa"/>
            <w:tcBorders/>
            <w:shd w:fill="CCEEFF" w:val="clear"/>
            <w:vAlign w:val="bottom"/>
          </w:tcPr>
          <w:p>
            <w:pPr>
              <w:pStyle w:val="TableContents"/>
              <w:bidi w:val="0"/>
              <w:spacing w:before="0" w:after="283"/>
              <w:jc w:val="right"/>
              <w:rPr/>
            </w:pPr>
            <w:r>
              <w:rPr/>
              <w:t>More than 45.0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c>
          <w:tcPr>
            <w:tcW w:w="60"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left"/>
              <w:rPr/>
            </w:pPr>
            <w:r>
              <w:rPr/>
              <w:t> </w:t>
            </w:r>
          </w:p>
        </w:tc>
        <w:tc>
          <w:tcPr>
            <w:tcW w:w="2440" w:type="dxa"/>
            <w:tcBorders/>
            <w:shd w:fill="CCEEFF" w:val="clear"/>
            <w:vAlign w:val="bottom"/>
          </w:tcPr>
          <w:p>
            <w:pPr>
              <w:pStyle w:val="TableContents"/>
              <w:bidi w:val="0"/>
              <w:spacing w:before="0" w:after="283"/>
              <w:jc w:val="right"/>
              <w:rPr/>
            </w:pPr>
            <w:r>
              <w:rPr/>
              <w:t>[</w:t>
            </w:r>
          </w:p>
        </w:tc>
        <w:tc>
          <w:tcPr>
            <w:tcW w:w="500" w:type="dxa"/>
            <w:tcBorders/>
            <w:shd w:fill="CCEEFF" w:val="clear"/>
            <w:vAlign w:val="bottom"/>
          </w:tcPr>
          <w:p>
            <w:pPr>
              <w:pStyle w:val="TableContents"/>
              <w:bidi w:val="0"/>
              <w:spacing w:before="0" w:after="283"/>
              <w:jc w:val="left"/>
              <w:rPr/>
            </w:pPr>
            <w:r>
              <w:rPr/>
              <w:t>●</w:t>
            </w:r>
            <w:r>
              <w:rPr/>
              <w:t>]% </w:t>
            </w:r>
          </w:p>
        </w:tc>
      </w:tr>
      <w:tr>
        <w:trPr/>
        <w:tc>
          <w:tcPr>
            <w:tcW w:w="2165" w:type="dxa"/>
            <w:tcBorders/>
          </w:tcPr>
          <w:p>
            <w:pPr>
              <w:pStyle w:val="TableContents"/>
              <w:bidi w:val="0"/>
              <w:spacing w:before="0" w:after="0"/>
              <w:jc w:val="center"/>
              <w:rPr>
                <w:rFonts w:ascii="Times New Roman" w:hAnsi="Times New Roman"/>
                <w:sz w:val="20"/>
              </w:rPr>
            </w:pPr>
            <w:r>
              <w:rPr>
                <w:rFonts w:ascii="Times New Roman" w:hAnsi="Times New Roman"/>
                <w:sz w:val="20"/>
              </w:rPr>
              <w:t>100.0%</w:t>
            </w:r>
          </w:p>
        </w:tc>
        <w:tc>
          <w:tcPr>
            <w:tcW w:w="120"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311" w:type="dxa"/>
            <w:tcBorders/>
            <w:vAlign w:val="bottom"/>
          </w:tcPr>
          <w:p>
            <w:pPr>
              <w:pStyle w:val="TableContents"/>
              <w:bidi w:val="0"/>
              <w:spacing w:before="0" w:after="283"/>
              <w:jc w:val="right"/>
              <w:rPr/>
            </w:pPr>
            <w:r>
              <w:rPr/>
              <w:t>More than 50.0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c>
          <w:tcPr>
            <w:tcW w:w="60"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left"/>
              <w:rPr/>
            </w:pPr>
            <w:r>
              <w:rPr/>
              <w:t> </w:t>
            </w:r>
          </w:p>
        </w:tc>
        <w:tc>
          <w:tcPr>
            <w:tcW w:w="2440" w:type="dxa"/>
            <w:tcBorders/>
            <w:vAlign w:val="bottom"/>
          </w:tcPr>
          <w:p>
            <w:pPr>
              <w:pStyle w:val="TableContents"/>
              <w:bidi w:val="0"/>
              <w:spacing w:before="0" w:after="283"/>
              <w:jc w:val="right"/>
              <w:rPr/>
            </w:pPr>
            <w:r>
              <w:rPr/>
              <w:t>[</w:t>
            </w:r>
          </w:p>
        </w:tc>
        <w:tc>
          <w:tcPr>
            <w:tcW w:w="500" w:type="dxa"/>
            <w:tcBorders/>
            <w:vAlign w:val="bottom"/>
          </w:tcPr>
          <w:p>
            <w:pPr>
              <w:pStyle w:val="TableContents"/>
              <w:bidi w:val="0"/>
              <w:spacing w:before="0" w:after="283"/>
              <w:jc w:val="left"/>
              <w:rPr/>
            </w:pPr>
            <w:r>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is provided for illustrative purposes only. The actual number of additional affirmative votes required from shares not subject to the voting agreements will depend on the number of shares present and voting on the issuance proposal at the special meeting and the number of shares voted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recommendation of the DXL Board, unless and until they terminate in accordance with their terms. </w:t>
      </w:r>
    </w:p>
    <w:p>
      <w:pPr>
        <w:pStyle w:val="TextBody"/>
        <w:bidi w:val="0"/>
        <w:spacing w:before="360" w:after="0"/>
        <w:jc w:val="left"/>
        <w:rPr>
          <w:rFonts w:ascii="Times New Roman" w:hAnsi="Times New Roman"/>
          <w:b/>
          <w:sz w:val="20"/>
        </w:rPr>
      </w:pPr>
      <w:bookmarkStart w:id="70" w:name="tx76201_67"/>
      <w:bookmarkEnd w:id="70"/>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stockholders of FBB expected to represent approximately 38.5% of the outstanding shares of DXL common stock as of immediately following the merger, entered into lock-up agreements, pursuant to which they accepted certain restrictions on transfers of the 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rPr>
      </w:pPr>
      <w:bookmarkStart w:id="71" w:name="tx76201_68"/>
      <w:bookmarkEnd w:id="71"/>
      <w:r>
        <w:rPr>
          <w:rFonts w:ascii="Times New Roman" w:hAnsi="Times New Roman"/>
          <w:b/>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On August 21, 2026, FBB and the private placement investors entered into an amendment to such commitment and subscription agreements that increased the aggregate purchase price of the private placement from approximately $92 million to approximately $107 million. Pursuant to the amendment, certain investors affiliated with Charlesbank and Deutsche Bank agreed to convert an additional $15 million of indebtedness under FBB’s term loan facility into equity through the debt-for-equity exchange. The aggregate number of shares of FBB common stock to be issued in the private placement remained unchanged, and the amendment does not alter the merger consideration payable to DXL stockholders or the exchange ratio. Because the additional $15 million of indebtedness is converted into equity without any corresponding increase in the number of shares to be issued, the amendment has the effect of increasing the aggregate reduction of FBB’s term loan indebtedness to be effected in connection with the merger to approximately $107 million, without additional dilution to DXL stockholders. However, FBB’s indebtedness has increased substantially since the execution of the merger agreement, including as a result of borrowings under its asset-based lending facility that exceeded levels anticipated at signing. As a result, notwithstanding the additional indebtedness conversion contemplated by the amendment, FBB’s overall indebtedness remains substantially higher than levels anticipated at the time the merger agreement was executed.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below listed private placement investors purchasing private placement shares are expected to beneficially own or be affiliates of holders of more than 5% of the combined company’s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8"/>
        <w:gridCol w:w="620"/>
        <w:gridCol w:w="160"/>
        <w:gridCol w:w="1499"/>
        <w:gridCol w:w="278"/>
      </w:tblGrid>
      <w:tr>
        <w:trPr/>
        <w:tc>
          <w:tcPr>
            <w:tcW w:w="5198"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1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Private Placement Investor</w:t>
            </w:r>
          </w:p>
        </w:tc>
        <w:tc>
          <w:tcPr>
            <w:tcW w:w="620" w:type="dxa"/>
            <w:tcBorders/>
            <w:vAlign w:val="bottom"/>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 Class</w:t>
            </w:r>
          </w:p>
        </w:tc>
        <w:tc>
          <w:tcPr>
            <w:tcW w:w="278" w:type="dxa"/>
            <w:tcBorders/>
            <w:vAlign w:val="bottom"/>
          </w:tcPr>
          <w:p>
            <w:pPr>
              <w:pStyle w:val="TableContents"/>
              <w:bidi w:val="0"/>
              <w:spacing w:before="0" w:after="283"/>
              <w:jc w:val="left"/>
              <w:rPr/>
            </w:pPr>
            <w:r>
              <w:rPr/>
              <w:t> </w:t>
            </w:r>
          </w:p>
        </w:tc>
      </w:tr>
      <w:tr>
        <w:trPr/>
        <w:tc>
          <w:tcPr>
            <w:tcW w:w="5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Oaktree Capital Management(1)</w:t>
            </w:r>
          </w:p>
        </w:tc>
        <w:tc>
          <w:tcPr>
            <w:tcW w:w="62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23.33</w:t>
            </w:r>
          </w:p>
        </w:tc>
        <w:tc>
          <w:tcPr>
            <w:tcW w:w="278" w:type="dxa"/>
            <w:tcBorders/>
            <w:shd w:fill="CCEEFF" w:val="clear"/>
            <w:vAlign w:val="bottom"/>
          </w:tcPr>
          <w:p>
            <w:pPr>
              <w:pStyle w:val="TableContents"/>
              <w:bidi w:val="0"/>
              <w:spacing w:before="0" w:after="283"/>
              <w:jc w:val="left"/>
              <w:rPr/>
            </w:pPr>
            <w:r>
              <w:rPr/>
              <w:t>% </w:t>
            </w:r>
          </w:p>
        </w:tc>
      </w:tr>
      <w:tr>
        <w:trPr/>
        <w:tc>
          <w:tcPr>
            <w:tcW w:w="5198"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Charlesbank Capital Partners(2)</w:t>
            </w:r>
          </w:p>
        </w:tc>
        <w:tc>
          <w:tcPr>
            <w:tcW w:w="62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15.47</w:t>
            </w:r>
          </w:p>
        </w:tc>
        <w:tc>
          <w:tcPr>
            <w:tcW w:w="278" w:type="dxa"/>
            <w:tcBorders/>
            <w:vAlign w:val="bottom"/>
          </w:tcPr>
          <w:p>
            <w:pPr>
              <w:pStyle w:val="TableContents"/>
              <w:bidi w:val="0"/>
              <w:spacing w:before="0" w:after="283"/>
              <w:jc w:val="left"/>
              <w:rPr/>
            </w:pPr>
            <w:r>
              <w:rPr/>
              <w:t>% </w:t>
            </w:r>
          </w:p>
        </w:tc>
      </w:tr>
      <w:tr>
        <w:trPr/>
        <w:tc>
          <w:tcPr>
            <w:tcW w:w="5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Arbour Lane Capital Management(3)</w:t>
            </w:r>
          </w:p>
        </w:tc>
        <w:tc>
          <w:tcPr>
            <w:tcW w:w="62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7.70</w:t>
            </w:r>
          </w:p>
        </w:tc>
        <w:tc>
          <w:tcPr>
            <w:tcW w:w="278" w:type="dxa"/>
            <w:tcBorders/>
            <w:shd w:fill="CCEEFF" w:val="clear"/>
            <w:vAlign w:val="bottom"/>
          </w:tcPr>
          <w:p>
            <w:pPr>
              <w:pStyle w:val="TableContents"/>
              <w:bidi w:val="0"/>
              <w:spacing w:before="0" w:after="283"/>
              <w:jc w:val="left"/>
              <w:rPr/>
            </w:pPr>
            <w:r>
              <w:rPr/>
              <w:t>% </w:t>
            </w:r>
          </w:p>
        </w:tc>
      </w:tr>
      <w:tr>
        <w:trPr/>
        <w:tc>
          <w:tcPr>
            <w:tcW w:w="5198"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AG (New York Branch)</w:t>
            </w:r>
          </w:p>
        </w:tc>
        <w:tc>
          <w:tcPr>
            <w:tcW w:w="62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5.07</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Opps FB Holdings I, L.P., (ii) Opps FB Holdings II, L.P., (iii) Opps FB Holdings III, L.P., (iv) Opps FB Holdings IV, L.P., (v) Opps FB Holdings V, L.P., (vi) Opps FB Holdings VI, LP, (vii) Opps FB Holdings VII, L.P., (viii) Opps FB Holdings VIII, L.P., (ix) VOF FB Holdings I, LLC, (x) VOF FB Holdings II, LLC, (xi) VOF FB Holdings III, LLC and (xii) VOF FB Holdings IV, LLC. Steven Tesoriere, a member of the combined company’s Board, is a managing director at Oaktree Capital Management. Mr. Tesoriere has voting or dispositive power with respect to shares held by Oaktree Capital Management, including the entities set forth in (i) through (xii).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Hudson Post Credit Opportunities SPV-F, LP, (ii) Hudson Point II-B Financing LLC, (iii) Hudson Point Credit Opportunities Aggregator III-B, LLC and (iv) Hudson Point Credit Dislocation Overage Financing-B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ALCOF II NUBT, L.P. and (ii) ALCOF III NUBT, L.P. </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x76201_69"/>
      <w:bookmarkEnd w:id="72"/>
      <w:r>
        <w:rPr>
          <w:rFonts w:ascii="Times New Roman" w:hAnsi="Times New Roman"/>
          <w:b/>
          <w:sz w:val="20"/>
        </w:rPr>
        <w:t xml:space="preserve">PROPOSAL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stockholders are being asked to approve the issuance of shares of DXL common stock as the merger consideration pursuant to the terms of the merger agreement and the resulting “change of control” of DXL under the Nasdaq rules.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The discussion in this proxy statement of the transactions and the principal terms of the merger agreement is subject to, and qualified in its entirety by reference to, the merger agreement, which is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You should carefully read this proxy statement in its entirety for more detailed information concerning the merger agreement. Please see the sections titled “</w:t>
      </w:r>
      <w:r>
        <w:rPr>
          <w:rFonts w:ascii="Times New Roman" w:hAnsi="Times New Roman"/>
          <w:i/>
          <w:sz w:val="20"/>
        </w:rPr>
        <w:t>Merger</w:t>
      </w:r>
      <w:r>
        <w:rPr>
          <w:rFonts w:ascii="Times New Roman" w:hAnsi="Times New Roman"/>
          <w:sz w:val="20"/>
        </w:rPr>
        <w:t>” and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 Agreement</w:t>
      </w:r>
      <w:r>
        <w:rPr>
          <w:rFonts w:ascii="Times New Roman" w:hAnsi="Times New Roman"/>
          <w:sz w:val="20"/>
        </w:rPr>
        <w:t xml:space="preserve">” beginning on pages 71 and 133, respectively, for additional information and a summary of certain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Submitting the Issuance Proposal for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DXL would issue shares of DXL common stock to FBB stockholders as merger consideration. DXL common stock is listed on The Nasdaq Capital Market, and, as such, DXL is subject to Nasdaq Listing Rule 5635. Under Nasdaq Listing Rule 5635(a), stockholder approval is required prior to the issuance of 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the merger, if completed, the number of shares of DXL common stock to be issued would be based on, among other factors, the reverse stock split ratio and the total number of outstanding shares of DXL common stock, on a fully diluted basis using the treasury stock method. Based on the assumptions set forth in this proxy statement, if the merger is consummated, DXL would be expected to issue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million shares of DXL common stock on a fully diluted basis, and DXL common stock to be issued pursuant to the merger agreement would represent greater than 20% of its voting stock. Such issuance would also be expected to result in a change of control under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the merger is consummated, because the issuance of DXL common stock in connection with the merger would exceed these thresholds and would be expected to result in a change of control under the Nasdaq rules, stockholder approval is required to authorize the issuance of shares of DXL common stock as the merger consideration in connection with the merger and the resulting “change of control” of DXL under the Nasdaq rules.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If proposal 1 and, to a lesser extent, proposal 3 are approved, existing DXL stockholders will experience significant dilution in ownership interests and voting rights as a result of the issuance of shares of DXL common stock in connection with the merger. The number of shares of DXL common stock to be issued will be based on, among other factors, the reverse stock split ratio and the total number of outstanding shares of DXL common stock, on a fully-diluted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1 by DXL stockholders is a separate vote from approval of the amendment to the restated certificate of incorporation of DXL to effect a reverse stock split contemplated by proposal 2, and from approval of the amendment to the Second Amended and Restated 2016 Incentive Compensation Plan contemplated by proposal 3. Accordingly, DXL stockholders may vote for proposal 2 and proposal 3 and vote against proposal 1. However, if DXL stockholders do not approve this proposal 1, DXL will not have satisfied the condition precedent to the completion of the merger under the merger agreement, even if proposal 2 and proposal 3 are approved by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1 is not approved by DXL stockholders at the special meeting, the merger will not be consummated. In that event, proposal 2 and proposal 3 may still be implemented, in the DXL Board’s discretion. Because the DXL Board believes those proposals are important to DXL’s ongoing operations and capital structure, the DXL Board expects to implement proposal 2 and proposal 3, if approved by the DXL stockholders,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issuance proposal. Abstentions, the failure to vote, and broker non-votes, if any, will have no effect on the outcome of the issuance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“AGAINST”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x76201_70"/>
      <w:bookmarkEnd w:id="73"/>
      <w:r>
        <w:rPr>
          <w:rFonts w:ascii="Times New Roman" w:hAnsi="Times New Roman"/>
          <w:b/>
          <w:sz w:val="20"/>
        </w:rPr>
        <w:t xml:space="preserve">PROPOSAL 2 </w:t>
      </w:r>
    </w:p>
    <w:p>
      <w:pPr>
        <w:pStyle w:val="TextBody"/>
        <w:bidi w:val="0"/>
        <w:spacing w:before="120" w:after="0"/>
        <w:jc w:val="center"/>
        <w:rPr>
          <w:rFonts w:ascii="Times New Roman" w:hAnsi="Times New Roman"/>
          <w:b/>
          <w:sz w:val="20"/>
        </w:rPr>
      </w:pPr>
      <w:r>
        <w:rPr>
          <w:rFonts w:ascii="Times New Roman" w:hAnsi="Times New Roman"/>
          <w:b/>
          <w:sz w:val="20"/>
        </w:rPr>
        <w:t xml:space="preserve">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DXL Board approved, and is recommending that its stockholders approve, an amendment (the “amendment”) to DXL’s restated certificate of incorporation, as amended (the “charter”), to effect a reverse stock split of the issued and outstanding shares of DXL common stock at a ratio of not less than 1-for-2 and not more than 1-for-30, such ratio, and the implementation and timing of such reverse stock split, to be determined in the sole discretion of the DXL Board and announced by DXL before this certificate of amendment is filed with the Secretary of State of the State of Delaware (the “reverse stock split”). As part of proposal 2, DXL stockholders are also being asked to authorize the DXL Board to elect, in its sole discretion and without further action by the DXL stockholders, to abandon the proposed amendment and not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DXL stockholders, the final decision of whether to proceed with the reverse stock split and the effective time of the reverse stock split will be determined by the DXL Board in its sole discretion and announced by DXL before this certificate of amendment is filed with the Secretary of State of the State of Delaware. Approval of proposal 2 includes the authorization of the DXL Board such that, even if approved by its stockholders, the DXL Board may elect, in its sole discretion and without further action by the DXL stockholders, to abandon the proposed amendment and not effect the reverse stock split. Also, if the DXL Board does not implement the reverse stock split within the one-year anniversary of the date on which the reverse stock split is approved by the DXL stockholders at the special meeting or any adjournment or postponement thereto,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amendment to effect the reverse stock split, if any, will include the split ratio fixed by the DXL Board, within the range approved by its stockholders at the special meeting. The ratio, if any, selected by the DXL Board for the reverse stock split would be publicly disclosed by DXL to its stockholders on or before the date on which the amendment reflecting the reverse stock split is filed with the Secretary of State of the State of Delaware. The text of the proposed amendment is set forth in Section 1 in the form attached as Annex C to this proxy statement. Upon the effectiveness of the amendment, all issued and outstanding shares of DXL common stock and treasury shares will be reclassified by combining them into a lesser number of shares, such that one share of DXL common stock will be issued and outstanding in lieu of a specified number of shares within the approved reverse stock split range.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2 is approved by DXL stockholders at the special meeting, no further approval or authorization of DXL stockholders will be required to effect (or abandon) the reverse stock split. However, if the DXL Board does not implement the reverse stock split within the one-year anniversary of the date on which the reverse stock split is approved by the DXL stockholders,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the amendment to effect the reverse stock split, as more fully described below, will effect the reverse stock split but will not change the number of authorized shares of DXL common stock or preferred stock, or the par value of DXL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DXL is Seeking Approval of the Reverse Stock Split Proposal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Nasdaq under the symbol “DXLG”. The DXL Board has approved the proposed amendment to the charter to effect the reverse stock split, and believes the reverse stock split proposal is important to DXL independent of the merger, for the following reasons: </w:t>
      </w:r>
    </w:p>
    <w:p>
      <w:pPr>
        <w:pStyle w:val="TextBody"/>
        <w:bidi w:val="0"/>
        <w:spacing w:before="360" w:after="0"/>
        <w:jc w:val="left"/>
        <w:rPr>
          <w:rFonts w:ascii="Times New Roman" w:hAnsi="Times New Roman"/>
          <w:i/>
          <w:sz w:val="20"/>
        </w:rPr>
      </w:pPr>
      <w:r>
        <w:rPr>
          <w:rFonts w:ascii="Times New Roman" w:hAnsi="Times New Roman"/>
          <w:i/>
          <w:sz w:val="20"/>
        </w:rPr>
        <w:t xml:space="preserve">Maintain its Listing on Nasdaq, Whether or Not the Merger is Consummated </w:t>
      </w:r>
    </w:p>
    <w:p>
      <w:pPr>
        <w:pStyle w:val="TextBody"/>
        <w:bidi w:val="0"/>
        <w:spacing w:before="120" w:after="0"/>
        <w:jc w:val="left"/>
        <w:rPr>
          <w:rFonts w:ascii="Times New Roman" w:hAnsi="Times New Roman"/>
          <w:sz w:val="20"/>
        </w:rPr>
      </w:pPr>
      <w:r>
        <w:rPr>
          <w:rFonts w:ascii="Times New Roman" w:hAnsi="Times New Roman"/>
          <w:sz w:val="20"/>
        </w:rPr>
        <w:t xml:space="preserve">By potentially increasing the trading price of DXL common stock, the reverse stock split would reduce the risk that DXL common stock could be delisted from Nasdaq before the effective time of the merger or in the event the merger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which expired on August 3, 2026, to regain compliance with the minimum bid price requirement. On June 30, 2026, DXL (i) submitted a transfer application to Nasdaq to transfer to The Nasdaq Capital Market and (ii) provided 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On August 4, 2026, Nasdaq approved DXL’s application to transfer its listing to The Nasdaq Capital Market, having determined that DXL met the applicable requirements for initial listing on The Nasdaq Capital Market, other than the minimum bid price requirement. Accordingly, DXL’s common stock listing transferred to The Nasdaq Capital Market on August 7, 2026. In connection with the transfer, Nasdaq granted DXL an additional 180-calendar-day compliance period, through February 1, 2027, to regain compliance with the minimum bid price requirement. To regain compliance, the closing bid price of DXL common stock must be at least $1.00 per share for a minimum of ten consecutive business days during the additional compliance period. </w:t>
      </w:r>
    </w:p>
    <w:p>
      <w:pPr>
        <w:pStyle w:val="TextBody"/>
        <w:bidi w:val="0"/>
        <w:spacing w:before="240" w:after="0"/>
        <w:jc w:val="left"/>
        <w:rPr>
          <w:rFonts w:ascii="Times New Roman" w:hAnsi="Times New Roman"/>
          <w:sz w:val="20"/>
        </w:rPr>
      </w:pPr>
      <w:r>
        <w:rPr>
          <w:rFonts w:ascii="Times New Roman" w:hAnsi="Times New Roman"/>
          <w:sz w:val="20"/>
        </w:rPr>
        <w:t xml:space="preserve">A reason DXL is seeking stockholder approval for this reverse stock split is to provide the DXL Board the ability, if necessary, to increase the price of DXL common stock in order to meet the minimum bid price requirement for continued listing of DXL common stock on Nasdaq should DXL be unable to regain compliance during the additional compliance period provided by Nasdaq, which expires on February 1, 2027. A reverse stock split may also make DXL common stock more attractive to a broader range of investors who may prefer to invest in shares that trade at higher share prices and, therefore, potentially increase the trading volume and liquidity of DXL common stock. If the DXL Board does not implement the reverse stock split within the one-year anniversary of the date on which the reverse stock split is approved by the DXL stockholders, the authority granted in this proposal to implement the reverse stock split will terminate. Accordingly, the DXL Board believes that authority to effect the reverse stock split is in the best interests of DXL and its stockholders and is important to support DXL’s continued Nasdaq listing, liquidity and capital markets flexibility, regardless of whether the merger is consummated. </w:t>
      </w:r>
    </w:p>
    <w:p>
      <w:pPr>
        <w:pStyle w:val="TextBody"/>
        <w:bidi w:val="0"/>
        <w:spacing w:before="240" w:after="0"/>
        <w:jc w:val="left"/>
        <w:rPr>
          <w:rFonts w:ascii="Times New Roman" w:hAnsi="Times New Roman"/>
          <w:sz w:val="20"/>
        </w:rPr>
      </w:pPr>
      <w:r>
        <w:rPr>
          <w:rFonts w:ascii="Times New Roman" w:hAnsi="Times New Roman"/>
          <w:sz w:val="20"/>
        </w:rPr>
        <w:t>In evaluating the reverse stock split, the DXL Board took into consideration a number of positive and negative factors commonly associated with reverse stock splits, including those discussed below under the section entitled “—</w:t>
      </w:r>
      <w:r>
        <w:rPr>
          <w:rFonts w:ascii="Times New Roman" w:hAnsi="Times New Roman"/>
          <w:i/>
          <w:sz w:val="20"/>
        </w:rPr>
        <w:t>Certain Risks and Potential Disadvantages Associated with the Reverse Stock Split”</w:t>
      </w:r>
      <w:r>
        <w:rPr>
          <w:rFonts w:ascii="Times New Roman" w:hAnsi="Times New Roman"/>
          <w:sz w:val="20"/>
        </w:rPr>
        <w:t xml:space="preserve">. The DXL Board determined, however, that the potential negative factors were significantly outweighed by the potential benefits, and believes that the increase of the per-share market price of DXL common stock that may result from the reverse stock split may allow DXL to maintain or regain compliance with Nasdaq listing requirements, support the continued listing of DXL common stock on The Nasdaq Capital Market or another tier of Nasdaq, encourage greater interest in DXL common stock from market participants, and enhance the liquidity and marketability of DXL common stock. If the merger were to be completed, the reverse stock split may also assist in satisfying applicable Nasdaq listing requirements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Reducing the number of issued and outstanding shares of DXL common stock through the reverse stock split is intended, absent other factors, to increase the per-share market price of DXL common stock. However, other factors, such as DXL’s financial results, market conditions and the market perception of its business may adversely affect the market price of DXL common stock. In addition, the reverse stock split will result in additional authorized and unissued shares becoming available for general corporate purposes as the DXL Board may determine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maintaining the current number of authorized shares of DXL common stock, irrespective of the reverse stock split, is necessary to provide DXL with the flexibility to act in the future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raising additional financing, potential strategic collaborations and other corporate purposes without the delay and expense associated with obtaining special stockholder approval each time an opportunity requiring the issuance of shares of DXL common stock may arise. Such a delay might deny DXL the flexibility that the DXL Board views as important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reverse stock split, if completed, will result in the intended benefits described above, that the market price of DXL common stock will increase following the reverse stock split, that the market price of DXL common stock will not decrease in the future, or that DXL common stock will achieve a high enough price per share to consummate the merger or permit its continued listing on Nasdaq. </w:t>
      </w:r>
    </w:p>
    <w:p>
      <w:pPr>
        <w:pStyle w:val="TextBody"/>
        <w:bidi w:val="0"/>
        <w:spacing w:before="360" w:after="0"/>
        <w:jc w:val="left"/>
        <w:rPr>
          <w:rFonts w:ascii="Times New Roman" w:hAnsi="Times New Roman"/>
          <w:i/>
          <w:sz w:val="20"/>
        </w:rPr>
      </w:pPr>
      <w:r>
        <w:rPr>
          <w:rFonts w:ascii="Times New Roman" w:hAnsi="Times New Roman"/>
          <w:i/>
          <w:sz w:val="20"/>
        </w:rPr>
        <w:t xml:space="preserve">Meet the Initial Listing Requirements on Nasdaq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DXL intends to file an initial listing application pursuant to the terms of the merger agreement in connection with the merger. The initial listing requirements are more difficult to achieve than Nasdaq’s continued listing requirements. 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The listing standards of Nasdaq will require DXL (following the merger, if consummated) to have, among other things, a $4.00 per share minimum bid/closing price for a certain number of trading days preceding the closing of the merger, unless it effects a reverse stock split. On [●], 2026, the last practicable date before the printing of the proxy statement, the closing price per share of DXL common stock as reported on Nasdaq was $[●] per share. Accordingly, the reverse stock split may be necessary in order to satisfy applicable Nasdaq requirements in the event the merger is consummated. In addition to the minimum bid price requirement, Nasdaq’s initial listing standards require, among other things, that DXL (following the merger, if consummated) satisfy minimum standards relating to stockholders’ equity, market value of listed securities, and number of round lot stockholders. Based on the unaudited pro forma condensed combined financial information included elsewhere in this proxy statement, DXL currently expects to satisfy these additional initial listing requirements; however, there can be no assurance that Nasdaq will approve any such listing application. </w:t>
      </w:r>
    </w:p>
    <w:p>
      <w:pPr>
        <w:pStyle w:val="TextBody"/>
        <w:bidi w:val="0"/>
        <w:spacing w:before="240" w:after="0"/>
        <w:jc w:val="left"/>
        <w:rPr>
          <w:rFonts w:ascii="Times New Roman" w:hAnsi="Times New Roman"/>
          <w:sz w:val="20"/>
        </w:rPr>
      </w:pPr>
      <w:r>
        <w:rPr>
          <w:rFonts w:ascii="Times New Roman" w:hAnsi="Times New Roman"/>
          <w:sz w:val="20"/>
        </w:rPr>
        <w:t>In addition, it is a condition to the closing of the merger that the Nasdaq listing application for the combined company be approved by Nasdaq. If the reverse stock split proposal is not approved and DXL is unable to otherwise effect the reverse stock split, such condition to closing the merger may not be satisfied. Please see the section entitled “</w:t>
      </w:r>
      <w:r>
        <w:rPr>
          <w:rFonts w:ascii="Times New Roman" w:hAnsi="Times New Roman"/>
          <w:i/>
          <w:sz w:val="20"/>
        </w:rPr>
        <w:t>The Merger Agreement—Conditions to the</w:t>
      </w:r>
      <w:r>
        <w:rPr>
          <w:rFonts w:ascii="Times New Roman" w:hAnsi="Times New Roman"/>
          <w:sz w:val="20"/>
        </w:rPr>
        <w:t xml:space="preserve"> </w:t>
      </w:r>
      <w:r>
        <w:rPr>
          <w:rFonts w:ascii="Times New Roman" w:hAnsi="Times New Roman"/>
          <w:i/>
          <w:sz w:val="20"/>
        </w:rPr>
        <w:t>Closing of the Merger</w:t>
      </w:r>
      <w:r>
        <w:rPr>
          <w:rFonts w:ascii="Times New Roman" w:hAnsi="Times New Roman"/>
          <w:sz w:val="20"/>
        </w:rPr>
        <w:t xml:space="preserve">” for additional information in this regard.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and Potential Disadvantages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Before voting on this proposal, you should consider the risks and potential disadvantages associated with the implementation of the reverse stock split discussed under the section entitled “</w:t>
      </w:r>
      <w:r>
        <w:rPr>
          <w:rFonts w:ascii="Times New Roman" w:hAnsi="Times New Roman"/>
          <w:i/>
          <w:sz w:val="20"/>
        </w:rPr>
        <w:t>Risk Factors—Risks Related to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Discretion to Effect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proposal is approved by the DXL stockholders, the DXL Board will have the discretion to implement the reverse stock split or to not effect the reverse stock split at all. The DXL Board intends to effect the reverse stock split if it determines, in its sole discretion, that effecting such reverse stock split is necessary to regain compliance with the minimum bid price requirement. If the DXL Board does not implement the reverse stock split within the one-year anniversary of the date on which the reverse stock split is approved by the DXL stockholders, the authority granted in this proposal to implement the reverse stock split will terminate. Following the reverse stock split, if implemented, there can be no assurance that the market price of DXL common stock will rise in proportion to the reduction in the number of outstanding shares resulting from the reverse stock split or that the market price of the post-split common stock can be maintained above $1.00. There can also be no assurance that the DXL common stock will not be delisted from The Nasdaq Capital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DXL stockholders approve the reverse stock split proposal, the reverse stock split will be effected, if at all, in the event that the DXL Board, in its sole discretion, determines that effecting such reverse stock split is in the best interests of DXL and the DXL stockholders and is necessary to regain compliance with the minimum bid price requirement. No further action on the part of the DXL stockholders will be required to either effect or abandon the reverse stock split. If the DXL Board does not implement the reverse stock split prior to the one-year anniversary of the date on which the reverse stock split is approved by the DXL stockholders at the special meeting, the authority granted in this proposal to implement the reverse stock split will terminate and the certificate of amendment will be abandoned.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the DXL common stock is dependent upon DXL’s performance and other factors, some of which are unrelated to the number of shares outstanding. If the reverse stock split is effected and the market price of the DXL common stock declines, the percentage decline as an absolute number and as a percentage of DXL’s overall market capitalization may be greater than what would occur in the absence of the reverse stock split. Furthermore, the reduced number of shares that would be outstanding after the reverse stock split could significantly reduce the trading volume and otherwise adversely affect the liquidity of DXL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SEC rules require disclosure and discussion of the effects of any proposal that could be used as an anti-takeover device. This proposal, if adopted and implemented, will result in a relative increase in the number of authorized but unissued shares of DXL common stock vis-à-vis the outstanding shares of DXL common stock and could, under certain circumstances, have an anti-takeover effect, although that is not the purpose or intent of the proposal. A relative increase in the number of authorized but unissued shares of DXL common stock could have other effects on DXL stockholders, depending upon the exact nature and circumstances of any actual issuances of authorized shares. A relative increase in the authorized but unissued shares of DXL common stock could potentially deter takeovers, including takeovers that the DXL Board determines are not in the best interest of its stockholders, in that additional shares could be issued (within the limits imposed by applicable law) in one or more transactions that could make a change in control or takeover more difficult. Other than in connection with the merger, the DXL Board is not aware of any attempt to take control of the DXL business, and the DXL Board has not considered the reverse stock split to be a tool to be utilized as a type of anti-takeover device. Other than in connection with the merger, DXL currently has no plans, proposals or arrangements to issue any shares of DXL common stock that would become newly available for issuance as a result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Outstanding DXL Common Stock; Procedure for Effecting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stockholders of DXL approve the reverse stock split, and if the DXL Board elects to proceed with the reverse stock split, the DXL Board will determine the ratio of the reverse stock split to be implemented within the range approved by its stockholders and will file the amendment to the certificate of incorporation, in Section 1 of the form attached as Annex C to this proxy statement, with the Secretary of State of the State of Delaware reflecting the designated ratio. The DXL Board may decide not to effect the reverse stock split without resoliciting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illustrates a range of the possible reverse stock split ratios with the implied number of issued and outstanding shares of DXL common stock resulting from the reverse stock split, based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of DXL common stock issued and outstanding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0" w:after="0"/>
        <w:jc w:val="left"/>
        <w:rPr/>
      </w:pPr>
      <w:r>
        <w:rPr/>
        <w:t> </w:t>
      </w:r>
    </w:p>
    <w:tbl>
      <w:tblPr>
        <w:tblW w:w="12825" w:type="dxa"/>
        <w:jc w:val="center"/>
        <w:tblInd w:w="0" w:type="dxa"/>
        <w:tblLayout w:type="fixed"/>
        <w:tblCellMar>
          <w:top w:w="0" w:type="dxa"/>
          <w:left w:w="0" w:type="dxa"/>
          <w:bottom w:w="0" w:type="dxa"/>
          <w:right w:w="0" w:type="dxa"/>
        </w:tblCellMar>
      </w:tblPr>
      <w:tblGrid>
        <w:gridCol w:w="935"/>
        <w:gridCol w:w="120"/>
        <w:gridCol w:w="74"/>
        <w:gridCol w:w="1521"/>
        <w:gridCol w:w="60"/>
        <w:gridCol w:w="120"/>
        <w:gridCol w:w="260"/>
        <w:gridCol w:w="1065"/>
        <w:gridCol w:w="155"/>
        <w:gridCol w:w="60"/>
        <w:gridCol w:w="291"/>
        <w:gridCol w:w="884"/>
        <w:gridCol w:w="155"/>
        <w:gridCol w:w="120"/>
        <w:gridCol w:w="285"/>
        <w:gridCol w:w="500"/>
        <w:gridCol w:w="155"/>
        <w:gridCol w:w="120"/>
        <w:gridCol w:w="77"/>
        <w:gridCol w:w="1518"/>
        <w:gridCol w:w="60"/>
        <w:gridCol w:w="120"/>
        <w:gridCol w:w="260"/>
        <w:gridCol w:w="1065"/>
        <w:gridCol w:w="155"/>
        <w:gridCol w:w="60"/>
        <w:gridCol w:w="514"/>
        <w:gridCol w:w="901"/>
        <w:gridCol w:w="155"/>
        <w:gridCol w:w="120"/>
        <w:gridCol w:w="285"/>
        <w:gridCol w:w="500"/>
        <w:gridCol w:w="15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5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15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 Ratio</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r>
        <w:trPr/>
        <w:tc>
          <w:tcPr>
            <w:tcW w:w="935" w:type="dxa"/>
            <w:tcBorders/>
          </w:tcPr>
          <w:p>
            <w:pPr>
              <w:pStyle w:val="TableContents"/>
              <w:bidi w:val="0"/>
              <w:spacing w:before="0" w:after="0"/>
              <w:jc w:val="left"/>
              <w:rPr>
                <w:rFonts w:ascii="Times New Roman" w:hAnsi="Times New Roman"/>
                <w:sz w:val="18"/>
              </w:rPr>
            </w:pPr>
            <w:r>
              <w:rPr>
                <w:rFonts w:ascii="Times New Roman" w:hAnsi="Times New Roman"/>
                <w:sz w:val="18"/>
              </w:rPr>
              <w:t>10:1</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0.</w:t>
            </w: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15:1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2825" w:type="dxa"/>
        <w:jc w:val="center"/>
        <w:tblInd w:w="0" w:type="dxa"/>
        <w:tblLayout w:type="fixed"/>
        <w:tblCellMar>
          <w:top w:w="0" w:type="dxa"/>
          <w:left w:w="0" w:type="dxa"/>
          <w:bottom w:w="0" w:type="dxa"/>
          <w:right w:w="0" w:type="dxa"/>
        </w:tblCellMar>
      </w:tblPr>
      <w:tblGrid>
        <w:gridCol w:w="935"/>
        <w:gridCol w:w="120"/>
        <w:gridCol w:w="74"/>
        <w:gridCol w:w="1521"/>
        <w:gridCol w:w="60"/>
        <w:gridCol w:w="120"/>
        <w:gridCol w:w="260"/>
        <w:gridCol w:w="1065"/>
        <w:gridCol w:w="155"/>
        <w:gridCol w:w="60"/>
        <w:gridCol w:w="291"/>
        <w:gridCol w:w="884"/>
        <w:gridCol w:w="155"/>
        <w:gridCol w:w="120"/>
        <w:gridCol w:w="285"/>
        <w:gridCol w:w="500"/>
        <w:gridCol w:w="155"/>
        <w:gridCol w:w="120"/>
        <w:gridCol w:w="77"/>
        <w:gridCol w:w="1518"/>
        <w:gridCol w:w="60"/>
        <w:gridCol w:w="120"/>
        <w:gridCol w:w="260"/>
        <w:gridCol w:w="1065"/>
        <w:gridCol w:w="155"/>
        <w:gridCol w:w="60"/>
        <w:gridCol w:w="514"/>
        <w:gridCol w:w="901"/>
        <w:gridCol w:w="155"/>
        <w:gridCol w:w="120"/>
        <w:gridCol w:w="285"/>
        <w:gridCol w:w="500"/>
        <w:gridCol w:w="15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5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15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 Ratio</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r>
        <w:trPr/>
        <w:tc>
          <w:tcPr>
            <w:tcW w:w="935" w:type="dxa"/>
            <w:tcBorders/>
          </w:tcPr>
          <w:p>
            <w:pPr>
              <w:pStyle w:val="TableContents"/>
              <w:bidi w:val="0"/>
              <w:spacing w:before="0" w:after="0"/>
              <w:jc w:val="left"/>
              <w:rPr>
                <w:rFonts w:ascii="Times New Roman" w:hAnsi="Times New Roman"/>
                <w:sz w:val="18"/>
              </w:rPr>
            </w:pPr>
            <w:r>
              <w:rPr>
                <w:rFonts w:ascii="Times New Roman" w:hAnsi="Times New Roman"/>
                <w:sz w:val="18"/>
              </w:rPr>
              <w:t>25:1</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0.</w:t>
            </w: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30:1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Owners of DXL Common Stock / Shares Held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Upon the implementation of the reverse stock split, DXL intends to treat shares held by stockholders in “street name” through a bank, broker or other nominee in the same manner as registered stockholders whose shares are registered in their names. Banks, brokers and other nominees will be instructed to effect the reverse stock split for their beneficial holders holding DXL common stock in street name. However, these banks, brokers and other nominees may have different procedures than registered stockholders for processing the reverse stock split. If a stockholder holds shares of DXL common stock with a bank, broker or other nominee and has any questions about the reverse stock split, the stockholder is encouraged to contact their bank, broker or nominee.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Certain registered holders of DXL common stock hold some or all of their shares electronically in book-entry form with DXL’s transfer agent, EQ, LLC. These stockholders do not hold physical stock certificates evidencing their ownership of DXL common stock. Instead, they are provided with a statement reflecting the number of shares of DXL common stock registered in their accounts. If a stockholder holds registered shares in book-entry form with DXL’s transfer agent, no action needs to be taken to receive post-reverse stock split shares. If a stockholder is entitled to post-reverse stock split shares, a transaction statement will automatically be sent to the stockholder’s address of record indicating the number of shares of DXL common stock held following the reverse stock split.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Certificated Shares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certain shares of DXL common stock were held in certificated form. Beginning at the effective time of the reverse stock split, each certificate representing shares of DXL common stock issued prior to the effective time of the reverse stock split will be deemed for all corporate purposes to evidence ownership of the number of whole shares into which the shares previously represented by the certificate were combined pursuant to the reverse stock split. Stockholders of record at the time of the reverse stock split who hold shares of DXL common stock in certificated form will also be sent a transmittal letter by DXL’s transfer agent after the effective time. The transmittal letter will be accompanied by instructions on how a stockholder should exchange his, her or its certificates representing the pre-split shares of DXL common stock for a statement of holding. When a stockholder submits their certificates representing the pre-split shares of DXL common stock, the post-split shares of DXL common stock will be held electronically in book-entry form in the Direct Registration System. This means that, instead of receiving a new stock certificate, a stockholder will receive a statement of holding that indicates the number of post-split shares the stockholder owns in book-entry form. DXL will no longer issue physical stock certificates unless a stockholder makes a specific request for a share certificate representing your post-split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NOT DESTROY ANY STOCK CERTIFICATES AND SHOULD NOT SUBMIT THEIR STOCK CERTIFICATES UNLESS AND UNTIL THEY RECEIVE A TRANSMITTAL FORM FROM DXL’S TRANSFER AGENT.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Fractions of shares of DXL common stock resulting from the reverse stock split will be issued in connection with the reverse stock split. In addition, DXL will issue that number of fractions of shares of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necessary for each stockholder that has a fractional interest resulting from the reverse stock split to hold stock, on a certificate-by-certificate basis and after giving effect to the reverse stock split and such additional fractional issuances, in the amount of the next higher whole number of shares of DXL common stock (the “fractional issuance”). As a result, each stockholder (on a certificate-by-certificate basis) will hold the same percentage of the outstanding DXL common stock immediately following the reverse stock split as that stockholder did immediately prior to the reverse stock split, except for minor adjustment due to the fractional issuance. Each certificate representing a fraction of a share outstanding immediately following the effectiveness of the reverse stock split shall represent the next higher whole number of shares of the DXL common stock, and no separate certificates shall be issued for fractions of shares to be issued in the fractional issuance. The DXL Board has determined that the decreased administrative burdens and benefits of efficiency and accuracy in maintaining its capitalization records represent sufficient consideration for the fractional issuance, such that DXL stockholders receiving fractions of shares of DXL common stock in the fractional issue will not be required to make any additional cash payment for such fractions.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Authorized but Unissued Shares of DXL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Currently, DXL is authorized to issue up to a total of 125,000,000 shares of DXL common stock, of which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were issued,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were held as treasury stock and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were outstanding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which is the record date, and 1,000,000 shares of DXL preferred stock, par value $0.01 per share, of which no shares were issued and outstanding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reverse stock split, if approved and effected, will not have any effect on the authorized number of shares of DXL common stock or DXL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not change the existing terms of DXL common stock. After the reverse stock split, the shares of DXL common stock will have the same voting rights and rights to dividends and distributions and will be identical in all other respects to the DXL common stock now authorized. The DXL common stock that remains issued following the reverse stock split will continue to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time of the reverse stock split, the number of shares subject to all outstanding options, restricted stock units, performance stock units, deferred stock units and other rights to acquire DXL common stock will automatically be proportionately reduced in the same ratio as the reduction in the number of shares of issued common stock, and any fractional shares will be rounded down to the nearest whole share of DXL common stock in order to comply with the requirements of Sections 409A and 424 of the Code. Correspondingly, the per share exercise price of any stock options will automatically be increased based on the reverse stock split ratio, so that the aggregate dollar amount payable for the purchase of the shares subject to such options will remain approximately the same. In addition, as of the effective time of the reverse stock split, DXL will proportionately decrease the total number of shares of DXL common stock that remain available for future grants under DXL’s Second Amended and Restated 2016 Incentive Compensation Plan and the Seventh Amended and Restated Non-Employee Director Compensation Plan.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Registration and Stock Trading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currently registered under Section 12(b) of the Exchange Act, and DXL is subject to the periodic reporting and other requirements of the Exchange Act. The proposed reverse stock split will not affect the registration of DXL common stock under the Exchange Act. If the reverse stock split is approved and effected, DXL common stock will receive a new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DXL common stock per share, which will remain par value $0.01 per share. As a result, as of the effective time of the reverse stock split, the stated capital attributable to DXL common stock will be reduced proportionally based on the reverse stock split ratio and the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paid-in capital account on its balance sheet will be credited with the amount by which the stated capital is reduced. Reported per share net income or loss will be higher because there will be fewer shares of DXL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No Going Private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decrease in the number of outstanding shares following the implementation of the reverse stock split, the DXL Board does not intend for this transaction to be the first step in a “going private transaction” within the meaning of Rule 13e-3 of the Exchange Act, and DXL will continue to be subject to the periodic reporting and other requirements of the Exchange Act after giving effect to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stockholders will not be entitled to appraisal rights with respect to the proposed amendment to effect the reverse stock split, and DXL does not intend to provide stockholders with any such rights.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Persons in this Proposal 2 </w:t>
      </w:r>
    </w:p>
    <w:p>
      <w:pPr>
        <w:pStyle w:val="TextBody"/>
        <w:bidi w:val="0"/>
        <w:spacing w:before="120" w:after="0"/>
        <w:jc w:val="left"/>
        <w:rPr>
          <w:rFonts w:ascii="Times New Roman" w:hAnsi="Times New Roman"/>
          <w:sz w:val="20"/>
        </w:rPr>
      </w:pPr>
      <w:r>
        <w:rPr>
          <w:rFonts w:ascii="Times New Roman" w:hAnsi="Times New Roman"/>
          <w:sz w:val="20"/>
        </w:rPr>
        <w:t xml:space="preserve">Certain of DXL’s officers and directors have an interest in this proposal as a result of their ownership of shares of DXL common stock. However, DXL does not believe that such officers or directors have interests in this proposal that are different from or greater than those of any of DXL’s other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For a summary of the material U.S. federal income tax consequences of the proposed reverse stock split to holders of DXL common stock, please see the section entitled “</w:t>
      </w:r>
      <w:r>
        <w:rPr>
          <w:rFonts w:ascii="Times New Roman" w:hAnsi="Times New Roman"/>
          <w:i/>
          <w:sz w:val="20"/>
        </w:rPr>
        <w:t>Material U.S. Federal Income Tax Consequences of the Merger and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2 by DXL stockholders is a separate vote from approval of the share issuance as contemplated by proposal 1, and from the approval of the amendment to the Second Amended and Restated 2016 Incentive Compensation Plan as contemplated by proposal 3. Accordingly, DXL stockholders may vote for proposal 2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reverse stock split proposal. Abstentions, the failure to vote, and broker non-votes, if any, will have no effect on the outcome of the reverse stock split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x76201_71"/>
      <w:bookmarkEnd w:id="74"/>
      <w:r>
        <w:rPr>
          <w:rFonts w:ascii="Times New Roman" w:hAnsi="Times New Roman"/>
          <w:b/>
          <w:sz w:val="20"/>
        </w:rPr>
        <w:t xml:space="preserve">PROPOSAL 3 </w:t>
      </w:r>
    </w:p>
    <w:p>
      <w:pPr>
        <w:pStyle w:val="TextBody"/>
        <w:bidi w:val="0"/>
        <w:spacing w:before="120" w:after="0"/>
        <w:jc w:val="center"/>
        <w:rPr>
          <w:rFonts w:ascii="Times New Roman" w:hAnsi="Times New Roman"/>
          <w:b/>
          <w:sz w:val="20"/>
        </w:rPr>
      </w:pPr>
      <w:r>
        <w:rPr>
          <w:rFonts w:ascii="Times New Roman" w:hAnsi="Times New Roman"/>
          <w:b/>
          <w:sz w:val="20"/>
        </w:rPr>
        <w:t xml:space="preserve">2016 PLAN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DXL stockholders are being asked to approve and adopt an amendment to the Second Amended and Restated 2016 Incentive Compensation Plan (as amended, effective August 8, 2024, the “2016 plan”) to (a) increase the total number of shares of DXL common stock authorized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Based on the closing price of DXL common stock on Nasdaq on May 1, 2026 of $0.62 per share, the maximum aggregate market value of these additional shares would be approximately $8.4 million. The 2016 plan was originally approved by DXL stockholders on August 4, 2016. The DXL stockholders subsequently approved amendments to increase the number of shares of common stock authorized for issuance under the 2016 plan, as follows: on August 8, 2019, to increase the number of shares of common stock by 2,800,000 shares; on August 12, 2020, to increase the number of shares of common stock by 1,740,000 shares; on August 5, 2021, to increase the number of shares of common stock by 4,855,000 shares; and on August 8, 2024, to increase the number of shares of common stock by 6,150,000 shares. If DXL stockholders approve the amendments to the 2016 plan, the maximum number of shares that may be issued for awards granted under the 2016 plan will be 34,245,000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terms, the 2016 plan will terminate at the earliest of (a) such time as no shares remain available for issuance, (b) termination of the 2016 plan by the DXL Board, or (c) the tenth (10th) anniversary from the date the DXL stockholders approve the amended 2016 plan. If the DXL stockholders approve this proposal 3, the tenth (10th) anniversary of the 2016 plan (as most recently amended herein) will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2036. If the DXL stockholders do not approve this proposal 3, the 2016 plan will remain in effect, but no further awards may be granted under the 2016 plan after August 8, 2034.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amendment to the Second Amended and Restated 2016 Incentive Compensation Plan is attached as Annex D 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Historical Awards Under the 2016 Plan </w:t>
      </w:r>
    </w:p>
    <w:p>
      <w:pPr>
        <w:pStyle w:val="TextBody"/>
        <w:bidi w:val="0"/>
        <w:spacing w:before="120" w:after="0"/>
        <w:jc w:val="left"/>
        <w:rPr>
          <w:rFonts w:ascii="Times New Roman" w:hAnsi="Times New Roman"/>
          <w:sz w:val="20"/>
        </w:rPr>
      </w:pPr>
      <w:r>
        <w:rPr>
          <w:rFonts w:ascii="Times New Roman" w:hAnsi="Times New Roman"/>
          <w:sz w:val="20"/>
        </w:rPr>
        <w:t xml:space="preserve">Since fiscal 2010, DXL’s primary use of equity compensation has been tied to awards granted pursuant to DXL’s long-term incentive plan program (“LTIP”), which is a sub-plan under the 2016 plan. More recently, the LTIP has been comprised of multiple components consisting of both performance-based and time-based awards. DXL has used LTIPs as a means to provide a source of equity compensation to attract, retain and reward its management team. The 2016 plan provides DXL the ability to give participants important incentive and reward opportunities designed to enhance its profitable growth. Awards granted under the 2016 plan are also used for new hire incentives. The increase in the shares available under the 2016 plan will enable DXL to continue to attract new talent and retain and reward management. The 2016 plan has been a vital component of our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2016 plan is also needed for the independent directors to satisfy the requirement under the Non-Employee Director Compensation Plan (the “Director Plan”) that its directors receive 60% of their annual retainer in the form of equity (“Required Equity”) if they have not met an ownership of three times their annual retainer. Pursuant to Nasdaq rules, shares under the Director Plan are not available for this purpose; therefore, DXL can only issue Required Equity to DXL directors from a stockholder-approved plan, which is the 2016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Purpose of Share Request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this proposal is important to DXL independent of the merger, for the reasons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the ability to grant equity awards is essential to attracting, retaining, and motivating the talented employees and directors who drive DXL’s long-term success. Equity compensation aligns the interests of DXL’s workforce with those of DXL stockholders and supports a performance-driven culture. </w:t>
      </w:r>
    </w:p>
    <w:p>
      <w:pPr>
        <w:pStyle w:val="TextBody"/>
        <w:bidi w:val="0"/>
        <w:spacing w:before="240" w:after="0"/>
        <w:jc w:val="left"/>
        <w:rPr>
          <w:rFonts w:ascii="Times New Roman" w:hAnsi="Times New Roman"/>
          <w:sz w:val="20"/>
        </w:rPr>
      </w:pPr>
      <w:r>
        <w:rPr>
          <w:rFonts w:ascii="Times New Roman" w:hAnsi="Times New Roman"/>
          <w:sz w:val="20"/>
        </w:rPr>
        <w:t xml:space="preserve">The share reserve under the 2016 plan is no longer sufficient to support DXL’s ongoing equity programs. Due to a lower stock price, fiscal 2025 share utilization was higher than in prior years, accelerating depletion of the remaining shares. At current stock-price levels, DXL will be unable to continue providing competitive equity-based long-term incentive opportunities without an increase in the number of authorized shares. </w:t>
      </w:r>
    </w:p>
    <w:p>
      <w:pPr>
        <w:pStyle w:val="TextBody"/>
        <w:bidi w:val="0"/>
        <w:spacing w:before="240" w:after="0"/>
        <w:jc w:val="left"/>
        <w:rPr>
          <w:rFonts w:ascii="Times New Roman" w:hAnsi="Times New Roman"/>
          <w:sz w:val="20"/>
        </w:rPr>
      </w:pPr>
      <w:r>
        <w:rPr>
          <w:rFonts w:ascii="Times New Roman" w:hAnsi="Times New Roman"/>
          <w:sz w:val="20"/>
        </w:rPr>
        <w:t xml:space="preserve">Additional shares are needed to support DXL’s annual equity awards for employees and executives, which are a central component of DXL’s retention and performance-based compensation strategy. The requested increase is also necessary to support DXL’s director compensation program. As noted above, under the Director Plan, non-employee directors must satisfy a minimum equity ownership requirement, which mandates that 60% of their retainer be paid in equity until the requirement is met. Because shares issued for this mandatory equity component must be drawn from the 2016 plan, director compensation further contributes to the need for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If DXL stockholders do not approve this proposal to increase the total number of shares of DXL common stock authorized for issuance under the 2016 plan, DXL will be unable to settle outstanding performance awards in shares if earned, and would instead be required to settle such awards in cash. Moreover, DXL’s ability to attract, retain, and incentivize key talent would be significantly impaired, limiting DXL’s ability to execute its strategic priorities and drive long-term stockholder value. In addition, DXL would have to eliminate the required equity component of its director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under the 2016 plan for DXL. If the merger were to be consummated, additional equity awards may be required in connection with integration and workforce management; however, the DXL Board believes approval of this proposal is important to support DXL’s ongoing compensation programs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Impact on Dilution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recognizes the impact of dilution on stockholders and weighs the goal of motivating DXL’s leadership and employees with equity grants against stockholder dilution. If proposal 3 is approved, the issuance of the additional shares would dilute the holdings of stockholders by approximately 9.3%, assuming that all shares granted from the 2016 plan were options or stock appreciation rights, as explained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Expected Duration of Share Reserve </w:t>
      </w:r>
    </w:p>
    <w:p>
      <w:pPr>
        <w:pStyle w:val="TextBody"/>
        <w:bidi w:val="0"/>
        <w:spacing w:before="120" w:after="0"/>
        <w:jc w:val="left"/>
        <w:rPr>
          <w:rFonts w:ascii="Times New Roman" w:hAnsi="Times New Roman"/>
          <w:sz w:val="20"/>
        </w:rPr>
      </w:pPr>
      <w:r>
        <w:rPr>
          <w:rFonts w:ascii="Times New Roman" w:hAnsi="Times New Roman"/>
          <w:sz w:val="20"/>
        </w:rPr>
        <w:t xml:space="preserve">DXL expects that the increased number of shares being requested, if DXL stockholders approve this proposal 3, will be sufficient for one year. Expectations and assumptions regarding future share usage could be impacted by award type, executive hires and promotions, forfeiture of existing grants, and the impact of the merger between DXL and FBB. The share pool was increased in 2024 by 6,150,000 shares.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Upon Certain Changes </w:t>
      </w:r>
    </w:p>
    <w:p>
      <w:pPr>
        <w:pStyle w:val="TextBody"/>
        <w:bidi w:val="0"/>
        <w:spacing w:before="120" w:after="0"/>
        <w:jc w:val="left"/>
        <w:rPr>
          <w:rFonts w:ascii="Times New Roman" w:hAnsi="Times New Roman"/>
          <w:sz w:val="20"/>
        </w:rPr>
      </w:pPr>
      <w:r>
        <w:rPr>
          <w:rFonts w:ascii="Times New Roman" w:hAnsi="Times New Roman"/>
          <w:sz w:val="20"/>
        </w:rPr>
        <w:t xml:space="preserve">If proposal 2 is approved and there is a decrease in the number of issued shares of DXL common stock as a result of the reverse stock split, the number of shares of common stock authorized for issuance under the 2016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price per share of common stock covered by an outstanding non-qualified stock option shall be proportionately adjusted. The changes to the number of shares in the pool that would occur if the merger is approved do not affect the number of shares being requested in this proposal 3. DXL has no outstanding incentive stock options. </w:t>
      </w:r>
    </w:p>
    <w:p>
      <w:pPr>
        <w:pStyle w:val="TextBody"/>
        <w:bidi w:val="0"/>
        <w:spacing w:before="360" w:after="0"/>
        <w:jc w:val="left"/>
        <w:rPr>
          <w:rFonts w:ascii="Times New Roman" w:hAnsi="Times New Roman"/>
          <w:b/>
          <w:sz w:val="20"/>
        </w:rPr>
      </w:pPr>
      <w:r>
        <w:rPr>
          <w:rFonts w:ascii="Times New Roman" w:hAnsi="Times New Roman"/>
          <w:b/>
          <w:sz w:val="20"/>
        </w:rPr>
        <w:t>Change in Control</w:t>
      </w:r>
    </w:p>
    <w:p>
      <w:pPr>
        <w:pStyle w:val="TextBody"/>
        <w:bidi w:val="0"/>
        <w:spacing w:before="120" w:after="0"/>
        <w:jc w:val="left"/>
        <w:rPr>
          <w:rFonts w:ascii="Times New Roman" w:hAnsi="Times New Roman"/>
          <w:sz w:val="20"/>
        </w:rPr>
      </w:pPr>
      <w:r>
        <w:rPr>
          <w:rFonts w:ascii="Times New Roman" w:hAnsi="Times New Roman"/>
          <w:sz w:val="20"/>
        </w:rPr>
        <w:t xml:space="preserve">If proposal 1 is approved, the transaction would meet the conditions of a Change in Control pursuant to the terms of the 2016 plan. 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The DXL compensation committee did not take any action with respect to the time-vested portion of the current LTIP, which awards would be treated in accordance with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Reserve </w:t>
      </w:r>
    </w:p>
    <w:p>
      <w:pPr>
        <w:pStyle w:val="TextBody"/>
        <w:bidi w:val="0"/>
        <w:spacing w:before="120" w:after="0"/>
        <w:jc w:val="left"/>
        <w:rPr>
          <w:rFonts w:ascii="Times New Roman" w:hAnsi="Times New Roman"/>
          <w:sz w:val="20"/>
        </w:rPr>
      </w:pPr>
      <w:r>
        <w:rPr>
          <w:rFonts w:ascii="Times New Roman" w:hAnsi="Times New Roman"/>
          <w:sz w:val="20"/>
        </w:rPr>
        <w:t xml:space="preserve">At May 2, 2026, 3,700,396 shares of DXL common stock remained available for issuance under the 2016 plan. </w:t>
      </w:r>
    </w:p>
    <w:p>
      <w:pPr>
        <w:pStyle w:val="TextBody"/>
        <w:bidi w:val="0"/>
        <w:spacing w:before="240" w:after="0"/>
        <w:jc w:val="left"/>
        <w:rPr>
          <w:rFonts w:ascii="Times New Roman" w:hAnsi="Times New Roman"/>
          <w:sz w:val="20"/>
        </w:rPr>
      </w:pPr>
      <w:r>
        <w:rPr>
          <w:rFonts w:ascii="Times New Roman" w:hAnsi="Times New Roman"/>
          <w:sz w:val="20"/>
        </w:rPr>
        <w:t>DXL recommends approval of the amendments to the 2016 plan so that it may continue to provide equity compensation to attract, motivate, retain and reward high-quality executives and other key employees, officers and directors. For a description of DXL’s long-term incentive program, please refer to the section entitled “</w:t>
      </w:r>
      <w:r>
        <w:rPr>
          <w:rFonts w:ascii="Times New Roman" w:hAnsi="Times New Roman"/>
          <w:i/>
          <w:sz w:val="20"/>
        </w:rPr>
        <w:t>Compensation Discussion and Analysis—Long-Term Incentive Plans</w:t>
      </w:r>
      <w:r>
        <w:rPr>
          <w:rFonts w:ascii="Times New Roman" w:hAnsi="Times New Roman"/>
          <w:sz w:val="20"/>
        </w:rPr>
        <w:t xml:space="preserve">” set forth in DXL’s Annual Report on Form 10-K/A for the fiscal year ended January 31, 2026 as filed with the SEC on May 26, 2026. </w:t>
      </w:r>
    </w:p>
    <w:p>
      <w:pPr>
        <w:pStyle w:val="TextBody"/>
        <w:bidi w:val="0"/>
        <w:spacing w:before="360" w:after="0"/>
        <w:jc w:val="left"/>
        <w:rPr>
          <w:rFonts w:ascii="Times New Roman" w:hAnsi="Times New Roman"/>
          <w:b/>
          <w:sz w:val="20"/>
        </w:rPr>
      </w:pPr>
      <w:r>
        <w:rPr>
          <w:rFonts w:ascii="Times New Roman" w:hAnsi="Times New Roman"/>
          <w:b/>
          <w:sz w:val="20"/>
        </w:rPr>
        <w:t xml:space="preserve">Alignment of 2016 Plan with Stockholders’ Interests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designed to reinforce the alignment of DXL’s equity opportunities for management with the interest of DXL stockholders and includes a number of provisions that DXL believes are consistent with good governance and compensation practice,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Minimum vesting period of one year from the date of grant covering 95% of all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repricing of stock options or stock appreciation rights without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discounted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dividends paid on unvested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evergreen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automatic grants or reload;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liberal share recycling;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stated clawback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Double-trigger” vesting for change in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tax gross-ups.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49"/>
        <w:gridCol w:w="285"/>
        <w:gridCol w:w="60"/>
        <w:gridCol w:w="1195"/>
        <w:gridCol w:w="275"/>
        <w:gridCol w:w="188"/>
        <w:gridCol w:w="246"/>
        <w:gridCol w:w="815"/>
        <w:gridCol w:w="60"/>
        <w:gridCol w:w="285"/>
        <w:gridCol w:w="86"/>
        <w:gridCol w:w="1102"/>
        <w:gridCol w:w="60"/>
        <w:gridCol w:w="285"/>
        <w:gridCol w:w="60"/>
        <w:gridCol w:w="274"/>
        <w:gridCol w:w="163"/>
      </w:tblGrid>
      <w:tr>
        <w:trPr/>
        <w:tc>
          <w:tcPr>
            <w:tcW w:w="3949"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Term</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334"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New shares requested under amendment to the 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13,500,000</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Shares as of May 2, 2026:</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Shares remaining available for issuance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3,700,396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Time-based stock options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2,961,292</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4.4 yrs.</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Time-based unvested full-value awards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830,465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1.7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(2 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stock awards payable to directors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642,431</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stock units with market condition</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573,000</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0.2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full value awards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2,045,896</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b/>
                <w:sz w:val="20"/>
              </w:rPr>
            </w:pPr>
            <w:r>
              <w:rPr>
                <w:rFonts w:ascii="Times New Roman" w:hAnsi="Times New Roman"/>
                <w:b/>
                <w:sz w:val="20"/>
              </w:rPr>
              <w:t>Non-Employee Director Compensation Plan(1)</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511,477</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data:(2)</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Value-Adjusted Burn Rate - 3 yr. average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 assuming all shares are granted on a 1:1 basis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9.3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Overhang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10.3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 +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13.5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available for stock issuances in lieu of cash for director fees.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percentages were calculated using DXL’s pro forma common stock outstanding, on a post-merger basis, of approximately 123.7 million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remaining vesting period of time-based awards.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grants of annual time-based awards, performance stock units, and performance-based awards granted and earned for each of the past three fiscal years and the average three-year burn rate: </w:t>
      </w:r>
    </w:p>
    <w:p>
      <w:pPr>
        <w:pStyle w:val="TextBody"/>
        <w:bidi w:val="0"/>
        <w:spacing w:before="0" w:after="0"/>
        <w:jc w:val="left"/>
        <w:rPr/>
      </w:pPr>
      <w:r>
        <w:rPr/>
        <w:t> </w:t>
      </w:r>
    </w:p>
    <w:tbl>
      <w:tblPr>
        <w:tblW w:w="13090" w:type="dxa"/>
        <w:jc w:val="center"/>
        <w:tblInd w:w="0" w:type="dxa"/>
        <w:tblLayout w:type="fixed"/>
        <w:tblCellMar>
          <w:top w:w="0" w:type="dxa"/>
          <w:left w:w="0" w:type="dxa"/>
          <w:bottom w:w="0" w:type="dxa"/>
          <w:right w:w="0" w:type="dxa"/>
        </w:tblCellMar>
      </w:tblPr>
      <w:tblGrid>
        <w:gridCol w:w="815"/>
        <w:gridCol w:w="60"/>
        <w:gridCol w:w="93"/>
        <w:gridCol w:w="1247"/>
        <w:gridCol w:w="60"/>
        <w:gridCol w:w="60"/>
        <w:gridCol w:w="182"/>
        <w:gridCol w:w="1158"/>
        <w:gridCol w:w="60"/>
        <w:gridCol w:w="60"/>
        <w:gridCol w:w="84"/>
        <w:gridCol w:w="791"/>
        <w:gridCol w:w="60"/>
        <w:gridCol w:w="60"/>
        <w:gridCol w:w="98"/>
        <w:gridCol w:w="1317"/>
        <w:gridCol w:w="60"/>
        <w:gridCol w:w="60"/>
        <w:gridCol w:w="61"/>
        <w:gridCol w:w="814"/>
        <w:gridCol w:w="60"/>
        <w:gridCol w:w="60"/>
        <w:gridCol w:w="103"/>
        <w:gridCol w:w="1387"/>
        <w:gridCol w:w="60"/>
        <w:gridCol w:w="60"/>
        <w:gridCol w:w="103"/>
        <w:gridCol w:w="1387"/>
        <w:gridCol w:w="60"/>
        <w:gridCol w:w="60"/>
        <w:gridCol w:w="60"/>
        <w:gridCol w:w="1100"/>
        <w:gridCol w:w="60"/>
        <w:gridCol w:w="60"/>
        <w:gridCol w:w="150"/>
        <w:gridCol w:w="800"/>
        <w:gridCol w:w="320"/>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Granted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Earned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Option</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Value</w:t>
              <w:br/>
              <w:t>Awards</w:t>
              <w:br/>
              <w:t>Granted and</w:t>
              <w:br/>
              <w:t>Earned for</w:t>
              <w:br/>
              <w:t>Achievement</w:t>
              <w:br/>
              <w:t>of</w:t>
              <w:br/>
              <w:t>Performance-</w:t>
              <w:br/>
              <w:t>Based</w:t>
              <w:br/>
              <w:t>Metrics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Full</w:t>
              <w:br/>
              <w:t>Value</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Shares</w:t>
              <w:b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Common</w:t>
              <w:br/>
              <w:t>Shares</w:t>
              <w:br/>
              <w:t>(Basic)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Adjusted</w:t>
              <w:br/>
              <w:t>Burn</w:t>
              <w:br/>
              <w:t>Rate (3)</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799,349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915,124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213,729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109,657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54,104,000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49,304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44,132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56,779,000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0.7</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267,219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339,923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29,650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61,018,000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p>
            <w:pPr>
              <w:pStyle w:val="TableContents"/>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1.6</w:t>
            </w:r>
          </w:p>
        </w:tc>
        <w:tc>
          <w:tcPr>
            <w:tcW w:w="320"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PSUs granted to Mr. Kanter in August 2023 in connection with the amendment and extension of his employment agreement. All PSUs were unvested as of January 31, 2026, and following Mr. Kanter’s retirement on August 11, 2026, all unvested PSUs expired and were forfeited.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2025 and fiscal 2023, amounts represent awards granted and vested for the achievement of the performance targets for the performance-based component of the 2022-2024 LTIP and the 2020-2022 LTIP,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Value-Adjusted Burn Rate is calculated as (i) the sum of (a) number of full-value awards (including PSUs earned) * the 200-day average stock price as of the last day of the applicable Fiscal Year plus (b) number of stock options * Black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Scholes valuation assuming market price is equal to the 200-day average stock price as of the last day of the applicable Fiscal Year (ii) divided by the weighted average common shares * the 200-day average stock price as of the last day of the applicable Fiscal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DXL is Committed to Managing Dilution </w:t>
      </w:r>
    </w:p>
    <w:p>
      <w:pPr>
        <w:pStyle w:val="TextBody"/>
        <w:bidi w:val="0"/>
        <w:spacing w:before="120" w:after="0"/>
        <w:jc w:val="left"/>
        <w:rPr>
          <w:rFonts w:ascii="Times New Roman" w:hAnsi="Times New Roman"/>
          <w:sz w:val="20"/>
        </w:rPr>
      </w:pPr>
      <w:r>
        <w:rPr>
          <w:rFonts w:ascii="Times New Roman" w:hAnsi="Times New Roman"/>
          <w:sz w:val="20"/>
        </w:rPr>
        <w:t>The DXL Board recognizes the impact of dilution on DXL stockholders and, in evaluating the 2016 plan, sought to balance this concern with DXL’s ability to provide its management team with equity compensation as part of DXL’s long-term growth initiatives which, in time, DXL would expect to increase stockholder value. If this proposal 3 is approved, the issuance of the additional shares to be reserved under the 2016 plan would dilute the holdings of stockholders by approximately 9.3%, assuming that all shares granted from the 2016 plan were options or stock appreciation rights.</w:t>
      </w:r>
    </w:p>
    <w:p>
      <w:pPr>
        <w:pStyle w:val="TextBody"/>
        <w:bidi w:val="0"/>
        <w:spacing w:before="240" w:after="0"/>
        <w:jc w:val="left"/>
        <w:rPr>
          <w:rFonts w:ascii="Times New Roman" w:hAnsi="Times New Roman"/>
          <w:sz w:val="20"/>
        </w:rPr>
      </w:pPr>
      <w:r>
        <w:rPr>
          <w:rFonts w:ascii="Times New Roman" w:hAnsi="Times New Roman"/>
          <w:sz w:val="20"/>
        </w:rPr>
        <w:t xml:space="preserve">The DXL Board is committed to managing dilution. Over the past three fiscal years, DXL repurchased an aggregate 10.3 million shares for a total cost of $38.3 million. One impact of the stock repurchase programs has been that it decreased the number of shares of common stock outstanding, making burn rates, as discussed above, appear higher because the burn rate is based on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DXL also manages dilution by permitting its employees the option to satisfy their tax withholding obligations related to equity awards by withholding shares from those shares otherwise issuable. Over the past three fiscal years, DXL has withheld an aggregate 0.3 million shares to satisfy its employee’s tax withholding obligations related to equity awards for a total cost of $1.0 million. The DXL Board believes the potential dilution to DXL stockholders that could result from the approval of the amendments to the 2016 plan is reasonable and sustainable to meet DXL’s strategic growth initiatives.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7"/>
        <w:gridCol w:w="227"/>
        <w:gridCol w:w="60"/>
        <w:gridCol w:w="1260"/>
        <w:gridCol w:w="60"/>
        <w:gridCol w:w="227"/>
        <w:gridCol w:w="132"/>
        <w:gridCol w:w="971"/>
        <w:gridCol w:w="321"/>
        <w:gridCol w:w="173"/>
        <w:gridCol w:w="211"/>
        <w:gridCol w:w="664"/>
        <w:gridCol w:w="60"/>
        <w:gridCol w:w="226"/>
        <w:gridCol w:w="140"/>
        <w:gridCol w:w="1260"/>
        <w:gridCol w:w="60"/>
        <w:gridCol w:w="227"/>
        <w:gridCol w:w="153"/>
        <w:gridCol w:w="1146"/>
        <w:gridCol w:w="290"/>
      </w:tblGrid>
      <w:tr>
        <w:trPr/>
        <w:tc>
          <w:tcPr>
            <w:tcW w:w="2337"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Potential Voting Power</w:t>
              <w:br/>
              <w:t>Dilution</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1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Shareholder Value Transfer (2)</w:t>
            </w:r>
          </w:p>
        </w:tc>
        <w:tc>
          <w:tcPr>
            <w:tcW w:w="290" w:type="dxa"/>
            <w:tcBorders/>
            <w:vAlign w:val="bottom"/>
          </w:tcPr>
          <w:p>
            <w:pPr>
              <w:pStyle w:val="TableContents"/>
              <w:bidi w:val="0"/>
              <w:spacing w:before="0" w:after="283"/>
              <w:jc w:val="left"/>
              <w:rPr/>
            </w:pPr>
            <w:r>
              <w:rPr/>
              <w:t> </w:t>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Dilution (1)</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Award</w:t>
              <w:br/>
              <w:t>Value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Shareholder</w:t>
              <w:br/>
              <w:t>Value</w:t>
              <w:br/>
              <w:t>Transfer</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As of May 2, 2026:</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Aggregate outstanding stock options, RSUs, PSUs and deferred stock</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5,007,188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0.85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4,256,110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Shares available under 2016 plan</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64" w:type="dxa"/>
            <w:tcBorders/>
            <w:shd w:fill="CCEEFF" w:val="clear"/>
            <w:vAlign w:val="bottom"/>
          </w:tcPr>
          <w:p>
            <w:pPr>
              <w:pStyle w:val="TableContents"/>
              <w:bidi w:val="0"/>
              <w:spacing w:before="0" w:after="283"/>
              <w:jc w:val="right"/>
              <w:rPr/>
            </w:pPr>
            <w:r>
              <w:rPr/>
              <w:t>0.79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2,923,313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b/>
                <w:sz w:val="18"/>
              </w:rPr>
            </w:pPr>
            <w:r>
              <w:rPr>
                <w:rFonts w:ascii="Times New Roman" w:hAnsi="Times New Roman"/>
                <w:b/>
                <w:sz w:val="18"/>
              </w:rPr>
              <w:t>New shares requested under 2016 plan (3)</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13,500,000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9.3</w:t>
            </w:r>
          </w:p>
        </w:tc>
        <w:tc>
          <w:tcPr>
            <w:tcW w:w="321"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664" w:type="dxa"/>
            <w:tcBorders/>
            <w:vAlign w:val="bottom"/>
          </w:tcPr>
          <w:p>
            <w:pPr>
              <w:pStyle w:val="TableContents"/>
              <w:bidi w:val="0"/>
              <w:spacing w:before="0" w:after="283"/>
              <w:jc w:val="right"/>
              <w:rPr>
                <w:b/>
              </w:rPr>
            </w:pPr>
            <w:r>
              <w:rPr>
                <w:b/>
              </w:rPr>
              <w:t>0.79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10,665,000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equity dilution including new shares (overhang)</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22,207,584</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15.2</w:t>
            </w:r>
          </w:p>
        </w:tc>
        <w:tc>
          <w:tcPr>
            <w:tcW w:w="3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 (new and available)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13,588,313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10.3</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17,844,423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13.5</w:t>
            </w:r>
          </w:p>
        </w:tc>
        <w:tc>
          <w:tcPr>
            <w:tcW w:w="290" w:type="dxa"/>
            <w:tcBorders/>
            <w:shd w:fill="CCEEFF" w:val="clear"/>
            <w:vAlign w:val="bottom"/>
          </w:tcPr>
          <w:p>
            <w:pPr>
              <w:pStyle w:val="TableContents"/>
              <w:bidi w:val="0"/>
              <w:spacing w:before="0" w:after="283"/>
              <w:jc w:val="left"/>
              <w:rPr/>
            </w:pPr>
            <w:r>
              <w:rPr/>
              <w:t>% </w:t>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Pro forma common shares outstanding assuming May 2, 2026 closing date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123,726,643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132,387,508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Dilution for the additional shares requested under the 2016 plan is calculated as the additional shares requested divided by the sum of shares of DXL’s pro forma common shares outstanding, outstanding stock options, deferred stock, PSUs and RSUs outstanding, shares remaining available for issuance under the 2016 plan and the additional shares requested. Overhang is calculated as the total equity dilution per the table divided by the sum of shares of DXL’s pro forma common shares outstanding, outstanding stock options, deferred stock and RSUs outstanding and shares remaining available for issuance under the 2016 plan and the additional shares requested.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Shareholder Value Transfer is the sum of the fair value of shares available for grant, shares outstanding under existing awards and new shares requested, the sum of which is then divided by the value of total shares of DXL’s pro forma common shares outstanding at January 31, 2026. The average award value for shares available under the 2016 plan and the new shares requested of $0.79 was calculated using the 200-day average stock price of the DXL common stock at March 1, 2026 of $1.07 divided by a fungible break-even ratio of 1.35.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This dilution calculation assumes all shares granted from the 2016 plan are options or stock appreciation rights. However, if approved, each grant of a full-value award will utilize 1.5 shares from the share reserve. Therefore, if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13,500,000 shares requested were full-value awards, only 9.0 million actual shares would affect dilution to DXL stockholders, and the effect of dilution would approximately 6.4% in the table.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Grant History </w:t>
      </w:r>
    </w:p>
    <w:p>
      <w:pPr>
        <w:pStyle w:val="TextBody"/>
        <w:bidi w:val="0"/>
        <w:spacing w:before="120" w:after="0"/>
        <w:jc w:val="left"/>
        <w:rPr>
          <w:rFonts w:ascii="Times New Roman" w:hAnsi="Times New Roman"/>
          <w:sz w:val="20"/>
        </w:rPr>
      </w:pPr>
      <w:r>
        <w:rPr>
          <w:rFonts w:ascii="Times New Roman" w:hAnsi="Times New Roman"/>
          <w:sz w:val="20"/>
        </w:rPr>
        <w:t xml:space="preserve">DXL’s incentive-based compensation program is broad-based and not heavily concentrated to only its CEO and/or named executive officers. Based on the grant activity for the past three fiscal years, equity awards granted to DXL’s former CEO, exclusive of the PSUs that were granted to Mr. Kanter in fiscal 2023, in connection with his amended and extended employment agreement, were approximately 28.1% of all equity awards granted under the 2016 plan. Grants to DXL’s other named executive officers, excluding Mr. Kanter, represented approximately 22.3% of the total equity awards granted under the 2016 plan over the past three fiscal years.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0"/>
        <w:gridCol w:w="195"/>
        <w:gridCol w:w="109"/>
        <w:gridCol w:w="1474"/>
        <w:gridCol w:w="60"/>
        <w:gridCol w:w="195"/>
        <w:gridCol w:w="109"/>
        <w:gridCol w:w="1458"/>
        <w:gridCol w:w="60"/>
        <w:gridCol w:w="195"/>
        <w:gridCol w:w="92"/>
        <w:gridCol w:w="1533"/>
        <w:gridCol w:w="60"/>
        <w:gridCol w:w="194"/>
        <w:gridCol w:w="139"/>
        <w:gridCol w:w="1025"/>
        <w:gridCol w:w="275"/>
        <w:gridCol w:w="137"/>
        <w:gridCol w:w="139"/>
        <w:gridCol w:w="1025"/>
        <w:gridCol w:w="281"/>
      </w:tblGrid>
      <w:tr>
        <w:trPr/>
        <w:tc>
          <w:tcPr>
            <w:tcW w:w="145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4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195" w:type="dxa"/>
            <w:tcBorders/>
            <w:vAlign w:val="bottom"/>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Grants (1)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 NEO</w:t>
              <w:br/>
              <w:t>Grants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Grants to</w:t>
              <w:br/>
              <w:t>All Participants</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Ratio</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NEO Ratio</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488,264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387,973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1,714,473</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28.5</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22.6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101,760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84,259</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26.2</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21.7</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172,745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131,563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608,459</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28.4</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21.6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28.1</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22.3</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2023, the grants to the former CEO exclude 573,000 performance stock units (PSUs) that were granted to Mr. Kanter in August 2023 in connection with his amended and extended employment agreement. These PSUs were forfeited on August 11, 2026 upon the termination of Mr. Kanter’s employment with DXL.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information with respect to DXL’s equity compensation plans as of May 2, 2026: </w:t>
      </w:r>
    </w:p>
    <w:p>
      <w:pPr>
        <w:pStyle w:val="TextBody"/>
        <w:bidi w:val="0"/>
        <w:spacing w:before="0" w:after="0"/>
        <w:jc w:val="left"/>
        <w:rPr/>
      </w:pPr>
      <w:r>
        <w:rPr/>
        <w:t> </w:t>
      </w:r>
    </w:p>
    <w:tbl>
      <w:tblPr>
        <w:tblW w:w="9150" w:type="dxa"/>
        <w:jc w:val="center"/>
        <w:tblInd w:w="0" w:type="dxa"/>
        <w:tblLayout w:type="fixed"/>
        <w:tblCellMar>
          <w:top w:w="0" w:type="dxa"/>
          <w:left w:w="0" w:type="dxa"/>
          <w:bottom w:w="0" w:type="dxa"/>
          <w:right w:w="0" w:type="dxa"/>
        </w:tblCellMar>
      </w:tblPr>
      <w:tblGrid>
        <w:gridCol w:w="995"/>
        <w:gridCol w:w="60"/>
        <w:gridCol w:w="154"/>
        <w:gridCol w:w="2521"/>
        <w:gridCol w:w="60"/>
        <w:gridCol w:w="60"/>
        <w:gridCol w:w="450"/>
        <w:gridCol w:w="1415"/>
        <w:gridCol w:w="60"/>
        <w:gridCol w:w="60"/>
        <w:gridCol w:w="60"/>
        <w:gridCol w:w="275"/>
        <w:gridCol w:w="155"/>
        <w:gridCol w:w="60"/>
        <w:gridCol w:w="156"/>
        <w:gridCol w:w="2549"/>
        <w:gridCol w:w="6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Plan category</w:t>
            </w:r>
          </w:p>
        </w:tc>
        <w:tc>
          <w:tcPr>
            <w:tcW w:w="60" w:type="dxa"/>
            <w:tcBorders/>
            <w:vAlign w:val="bottom"/>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 to be</w:t>
            </w:r>
            <w:r>
              <w:rPr/>
              <w:br/>
            </w:r>
            <w:r>
              <w:rPr>
                <w:b/>
              </w:rPr>
              <w:t>issued upon exercise of</w:t>
            </w:r>
            <w:r>
              <w:rPr/>
              <w:br/>
            </w:r>
            <w:r>
              <w:rPr>
                <w:b/>
              </w:rPr>
              <w:t>outstanding options,</w:t>
            </w:r>
            <w:r>
              <w:rPr/>
              <w:br/>
            </w:r>
            <w:r>
              <w:rPr>
                <w:b/>
              </w:rPr>
              <w:t>warrants and rights</w:t>
            </w:r>
            <w:r>
              <w:rPr/>
              <w:br/>
            </w: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exercise price of</w:t>
            </w:r>
            <w:r>
              <w:rPr/>
              <w:br/>
            </w:r>
            <w:r>
              <w:rPr>
                <w:b/>
              </w:rPr>
              <w:t>outstanding</w:t>
            </w:r>
            <w:r>
              <w:rPr/>
              <w:br/>
            </w:r>
            <w:r>
              <w:rPr>
                <w:b/>
              </w:rPr>
              <w:t>options, warrants</w:t>
            </w:r>
            <w:r>
              <w:rPr/>
              <w:br/>
            </w:r>
            <w:r>
              <w:rPr>
                <w:b/>
              </w:rPr>
              <w:t>and rights</w:t>
            </w:r>
            <w:r>
              <w:rPr/>
              <w:br/>
            </w: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w:t>
            </w:r>
            <w:r>
              <w:rPr/>
              <w:br/>
            </w:r>
            <w:r>
              <w:rPr>
                <w:b/>
              </w:rPr>
              <w:t>remaining available for</w:t>
            </w:r>
            <w:r>
              <w:rPr/>
              <w:br/>
            </w:r>
            <w:r>
              <w:rPr>
                <w:b/>
              </w:rPr>
              <w:t>future issuance under</w:t>
            </w:r>
            <w:r>
              <w:rPr/>
              <w:br/>
            </w:r>
            <w:r>
              <w:rPr>
                <w:b/>
              </w:rPr>
              <w:t>equity compensation plans</w:t>
            </w:r>
            <w:r>
              <w:rPr/>
              <w:br/>
            </w:r>
            <w:r>
              <w:rPr>
                <w:b/>
              </w:rPr>
              <w:t>(excluding securities</w:t>
            </w:r>
            <w:r>
              <w:rPr/>
              <w:br/>
            </w:r>
            <w:r>
              <w:rPr>
                <w:b/>
              </w:rPr>
              <w:t>reflected in column (a))</w:t>
            </w:r>
            <w:r>
              <w:rPr/>
              <w:br/>
            </w:r>
            <w:r>
              <w:rPr>
                <w:b/>
              </w:rPr>
              <w:t>(c)</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Equity compensation plans approved by security holders (1)</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(2 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Equity compensation plans not approved by security holders (3)</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5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549" w:type="dxa"/>
            <w:tcBorders/>
            <w:vAlign w:val="bottom"/>
          </w:tcPr>
          <w:p>
            <w:pPr>
              <w:pStyle w:val="TableContents"/>
              <w:bidi w:val="0"/>
              <w:spacing w:before="0" w:after="283"/>
              <w:jc w:val="right"/>
              <w:rPr/>
            </w:pPr>
            <w:r>
              <w:rPr/>
              <w:t>511,477</w:t>
            </w:r>
          </w:p>
        </w:tc>
        <w:tc>
          <w:tcPr>
            <w:tcW w:w="6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25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2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4,211,873</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25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14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25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Includes 2,961,292 outstanding stock options, 830,465 outstanding RSUs, 573,000 outstanding PSUs and 642,431 outstanding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weighted-average exercise price is calculated solely based upon outstanding stock options and excludes RSUs, PSUs and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Reflects activity under the Director Plan. Pursuant to the Director Plan, DXL has 1,500,000 shares authorized for stock issuances in lieu of cash director fees, of which 511,477 shares were available at May 2,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the Second Amended and Restated 2016 Incentive Compensation Plan, as Amended Effective ([XXX, XX,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2016 plan and is qualified in its entirety by reference to the full text of the 2016 plan as proposed to be amended, which is attached as Annex D to this proxy statement. The summary of the 2016 plan may not contain all the information that is important to you and you should read Annex D carefully before you decide how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2016 plan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DXL in attracting, motivating, retaining and rewarding high-quality executives and other employees, officers, directors, consultants and other persons who provide services to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persons participating in the 2016 plan to acquire or increase a proprietary interest in DXL in order to strengthen the mutuality of interests between them and DXL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persons participating in the plan with performance incentives to expend their maximum efforts in the creation of stockholder value.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Eligible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persons eligible to receive awards under the 2016 plan are DXL’s officers, directors, employees and consultants or other persons who provide services to DXL. An employee on leave of absence may be considered as still employed for purposes of eligibility for participation in the 2016 plan. As of the date of this proxy statement, there are approximately 30 employees (7 executive officers, 5 senior vice presidents and 18 vice presidents), 6 non-employee directors as well as service providers of DXL and its affiliates who would be eligible to participate in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selected the DXL compensation committee to administer the 2016 plan. All DXL compensation committee members must be “non-employee directors” as defined by Rule 16b-3 of the Exchange Act. The DXL Board may in its discretion elect to administer the 2016 plan, provided that it is administered only by those directors who are independent within the meaning of the 2016 plan. Subject to the terms of the 2016 plan, the DXL compensation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Shares Available for Awards </w:t>
      </w:r>
    </w:p>
    <w:p>
      <w:pPr>
        <w:pStyle w:val="TextBody"/>
        <w:bidi w:val="0"/>
        <w:spacing w:before="120" w:after="0"/>
        <w:jc w:val="left"/>
        <w:rPr>
          <w:rFonts w:ascii="Times New Roman" w:hAnsi="Times New Roman"/>
          <w:sz w:val="20"/>
        </w:rPr>
      </w:pPr>
      <w:r>
        <w:rPr>
          <w:rFonts w:ascii="Times New Roman" w:hAnsi="Times New Roman"/>
          <w:sz w:val="20"/>
        </w:rPr>
        <w:t>The shares to be delivered under the 2016 plan may be authorized but unissued shares of DXL common stock or treasury shares. Under the 2016 plan, as proposed to be amended pursuant to this proposal 3, the total number of shares of DXL common stock that may be subject to the granting of awards under the 2016 plan shall be equal to the sum of (i) 34,245,000 shares, plus (ii) 525,538 shares that were available for issuance but not granted under the 2006 plan that rolled into the 2016 plan on August 4, 2016. As of May 2, 2026, 3,700,396 shares of DXL common stock remained available for issuance under the 2016 plan.</w:t>
      </w:r>
    </w:p>
    <w:p>
      <w:pPr>
        <w:pStyle w:val="TextBody"/>
        <w:bidi w:val="0"/>
        <w:spacing w:before="240" w:after="0"/>
        <w:jc w:val="left"/>
        <w:rPr>
          <w:rFonts w:ascii="Times New Roman" w:hAnsi="Times New Roman"/>
          <w:sz w:val="20"/>
        </w:rPr>
      </w:pPr>
      <w:r>
        <w:rPr>
          <w:rFonts w:ascii="Times New Roman" w:hAnsi="Times New Roman"/>
          <w:sz w:val="20"/>
        </w:rPr>
        <w:t xml:space="preserve">Shares issued in respect of any full-value award, such as restricted stock and RSUs, are counted against the share limit as 1.5 shares of stock for every one share issued. Each share issued in respect of stock options or stock appreciation rights (SARs) are counted against the share limit as one share of stock for every one share issued. </w:t>
      </w:r>
    </w:p>
    <w:p>
      <w:pPr>
        <w:pStyle w:val="TextBody"/>
        <w:bidi w:val="0"/>
        <w:spacing w:before="240" w:after="0"/>
        <w:jc w:val="left"/>
        <w:rPr>
          <w:rFonts w:ascii="Times New Roman" w:hAnsi="Times New Roman"/>
          <w:sz w:val="20"/>
        </w:rPr>
      </w:pPr>
      <w:r>
        <w:rPr>
          <w:rFonts w:ascii="Times New Roman" w:hAnsi="Times New Roman"/>
          <w:sz w:val="20"/>
        </w:rPr>
        <w:t>Any shares of stock that again become available for award under the 2016 plan shall be added as one share for every one share of stock options or SARs and 1.5 shares for every one full-value award.</w:t>
      </w:r>
    </w:p>
    <w:p>
      <w:pPr>
        <w:pStyle w:val="TextBody"/>
        <w:bidi w:val="0"/>
        <w:spacing w:before="240" w:after="0"/>
        <w:jc w:val="left"/>
        <w:rPr>
          <w:rFonts w:ascii="Times New Roman" w:hAnsi="Times New Roman"/>
          <w:sz w:val="20"/>
        </w:rPr>
      </w:pPr>
      <w:r>
        <w:rPr>
          <w:rFonts w:ascii="Times New Roman" w:hAnsi="Times New Roman"/>
          <w:sz w:val="20"/>
        </w:rPr>
        <w:t xml:space="preserve">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Awards with respect to shares that are granted to replace outstanding awards or other similar rights that are assumed or replaced by awards under the 2016 plan pursuant to the acquisition of a business are not subject to, and do not count against, the foregoing limit.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increase in the share reserve described above, the maximum aggregate number of shares that may be delivered under the 2016 plan as a result of the exercise of ISOs is 34,245,000 shares. In addition, a director who is not an employee or a consultant may not be granted an award that has a fair value, as of the date of grant, which exceeds $300,000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Equitable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DXL compensation committee is also authorized to adjust the limitations on the amount of certain awards in the event of any merger, consolidation or other reorganization in which DXL does not survive, or in the event of any change in control (as defined in the 2016 plan), by taking any of the following approaches, without the requirement of obtaining consent from any plan participant: (1) continuation of the outstanding awards by DXL, if DXL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Minimum Vesting Requirement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5% of the shares of common stock available for awards under the 2016 plan, no award will become exercisable or otherwise non-forfeitable unless such award has been outstanding for a minimum period of one year from its date of grant. The DXL compensation committee reserves the general discretion to accelerate vesting of awards in connection with the participant’s death, disability, termination of service or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authorizes grants of a variety of awards described below. The DXL compensation committee, or the DXL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DXL compensation committee, consistent with the provisions of the 2016 plan. Each award agreement shall either be (i) in writing in a form approved by the DXL compensation committee and executed by DXL by an officer duly authorized to act on its behalf, or (ii) an electronic notice in a form approved by the DXL compensation committee and recorded by DXL in an electronic recordkeeping system used for tracking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and SARs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stock options, including both incentive stock options (“ISOs”) (which must comply with provisions of Section 422 of the Code and can result in potentially 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DXL compensation committee, but must not be less than the fair market value of a share of common stock on the date of grant. The grant price of an SAR is determined by the DXL compensation committee, but must not be less than (i) the fair market value of a share of common stock on the date of grant or, (ii) in the case of an SAR issued in tandem with an ISO, the exercise price of the option granted in tandem with the SAR.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2016 plan, the term “fair market value” means the fair market value of the common stock, awards or other property as determined by the DXL compensation committee or under procedures established by the DXL compensation committee. Unless otherwise determined by the DXL compensation committee or the DXL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w:t>
      </w:r>
    </w:p>
    <w:p>
      <w:pPr>
        <w:pStyle w:val="TextBody"/>
        <w:bidi w:val="0"/>
        <w:spacing w:before="240" w:after="0"/>
        <w:jc w:val="left"/>
        <w:rPr>
          <w:rFonts w:ascii="Times New Roman" w:hAnsi="Times New Roman"/>
          <w:sz w:val="20"/>
        </w:rPr>
      </w:pPr>
      <w:r>
        <w:rPr>
          <w:rFonts w:ascii="Times New Roman" w:hAnsi="Times New Roman"/>
          <w:sz w:val="20"/>
        </w:rPr>
        <w:t xml:space="preserve">The aggregate fair market value with respect to ISOs granted under the plan that become exercisable for the participant during any calendar year shall not exceed $100,000. </w:t>
      </w:r>
    </w:p>
    <w:p>
      <w:pPr>
        <w:pStyle w:val="TextBody"/>
        <w:bidi w:val="0"/>
        <w:spacing w:before="240" w:after="0"/>
        <w:jc w:val="left"/>
        <w:rPr>
          <w:rFonts w:ascii="Times New Roman" w:hAnsi="Times New Roman"/>
          <w:sz w:val="20"/>
        </w:rPr>
      </w:pPr>
      <w:r>
        <w:rPr>
          <w:rFonts w:ascii="Times New Roman" w:hAnsi="Times New Roman"/>
          <w:sz w:val="20"/>
        </w:rPr>
        <w:t xml:space="preserve">The maximum term of each option or SAR, the times at which each option or SAR will be exercisable, and provisions requiring forfeiture of unexercised options or SARs at or following termination of employment or service generally are fixed by the DXL compensation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DXL compensation committee may determine from time to time. The 2016 plan also permits net share settlement of nonqualified stock options. Methods of exercise and settlement and other terms of the SARs are determined by the DXL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connection with standard adjustments (as set forth in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DXL compensation committee shall not be permitted to take any other action with respect to an option or SAR that may be treated as a repricing, in each case, without approval of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restricted stock, which is a grant of shares of common stock which may not be sold or disposed of, and which may be forfeited in the event of certain terminations of employment or service, prior to the end of a restricted period specified by the DXL compensation committee. A participant granted restricted stock generally has all of the rights of DXL stockholders, unless otherwise determined by the DXL compensation committee, and has the right to receive dividends.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Awards, including RSUs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Bonus Stock and Awards in Lieu of Cash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shares of common stock as a bonus free of restrictions, or to grant shares of common stock or other awards in lieu of DXL’s obligations to pay cash under the 2016 plan or other plans or compensatory arrangements, subject to such terms as the DXL compensation committee may specify.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DXL compensation committee. No dividends shall be paid on any unvested awards, and no dividend equivalents granted in connection with another award shall be paid or distributed prior to the vesting date of the related award (or portion thereof giving rise to the dividend equivalent). Notwithstanding the foregoing, in no event shall dividend equivalents be paid in connection with the grant of a performance award until such time as the DXL compensation committee has certified that the performance goals with respect to such performance award have been achieved for the relevant performance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DXL compensation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DXL compensation committee. The amount of any performance awards to be distributed shall be conclusively determined by the DXL compensation committee. Performance awards may be paid in a lump sum or in installments following the close of an applicable performance period, or, in accordance with procedures established by the DXL compensation committee, on a deferred basis in a manner that does not violate the requirements of Section 409A of the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the 2016 plan, the DXL compensation committee will determine performance award terms, including the required levels of performance with respect to specified criteria, the corresponding amounts payable upon achievement of such levels of performance, termination and forfeiture provisions and the form of settlement. Except as otherwise specified by the DXL compensation committee at the time the goals are set, the DXL compensation committee shall exclude the impact of (i) restructurings, discontinued operations, extraordinary items, and other unusual or non-recurring charges, (ii) an event either not directly related to DXL’s operations or not within DXL’s reasonable control of management, (iii) a change in accounting standards required by generally accepted accounting principles, or (iv) any other item or event deemed advisable by the DXL compensation committee. Achievement of performance goals in respect of performance awards shall be measured over a performance period no shorter than 12 months and no longer than 5 years, as further specified by the DXL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granting performance awards, the DXL compensation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DXL compensation committee will determine who will potentially receive performance awards for that performance period, either out of the pool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After the end of each performance period, the DXL compensation committee will determine (i) the amount of any pools and the maximum amount of potential performance awards payable to each participant in the pools and (ii) the amount of any other potential performance awards payable to participants in the 2016 plan. The DXL compensation committee may, in its discretion, determine that the amount payable as a performance award will be reduced from the amount of any potential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Stock-Based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DXL’s performance or any other factors designated by the DXL compensation committee, and awards valued by reference to the book value of shares of common stock or the value of securities of or the performance of specified subsidiaries or business units. The DXL compensation committee determines the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Terms of Awards </w:t>
      </w:r>
    </w:p>
    <w:p>
      <w:pPr>
        <w:pStyle w:val="TextBody"/>
        <w:bidi w:val="0"/>
        <w:spacing w:before="120" w:after="0"/>
        <w:jc w:val="left"/>
        <w:rPr>
          <w:rFonts w:ascii="Times New Roman" w:hAnsi="Times New Roman"/>
          <w:sz w:val="20"/>
        </w:rPr>
      </w:pPr>
      <w:r>
        <w:rPr>
          <w:rFonts w:ascii="Times New Roman" w:hAnsi="Times New Roman"/>
          <w:sz w:val="20"/>
        </w:rPr>
        <w:t xml:space="preserve">Awards may be settled in the form of cash, shares of common stock, other awards or other property, in the discretion of the DXL compensation committee. The DXL compensation committee may require or permit participants to defer the settlement of all or part of an award in accordance with such terms and conditions as the DXL compensation committee may establish, including payment or crediting of interest or dividend equivalents on deferred amounts, and the crediting of earnings, gains and losses based on deemed investment of deferred amounts in specified investment vehicles. The DXL compensation committee is authorized to place cash, shares of common stock or other property in trusts or make other arrangements to provide for payment of DXL’s obligations under the 2016 plan. The DXL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Awards under the 2016 plan are generally granted without a requirement that the participant pay consideration in the form of cash or property for the grant (as distinguished from the exercise), except to the extent required by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 on Repricing </w:t>
      </w:r>
    </w:p>
    <w:p>
      <w:pPr>
        <w:pStyle w:val="TextBody"/>
        <w:bidi w:val="0"/>
        <w:spacing w:before="120" w:after="0"/>
        <w:jc w:val="left"/>
        <w:rPr>
          <w:rFonts w:ascii="Times New Roman" w:hAnsi="Times New Roman"/>
          <w:sz w:val="20"/>
        </w:rPr>
      </w:pPr>
      <w:r>
        <w:rPr>
          <w:rFonts w:ascii="Times New Roman" w:hAnsi="Times New Roman"/>
          <w:sz w:val="20"/>
        </w:rPr>
        <w:t>As described above under “—</w:t>
      </w:r>
      <w:r>
        <w:rPr>
          <w:rFonts w:ascii="Times New Roman" w:hAnsi="Times New Roman"/>
          <w:i/>
          <w:sz w:val="20"/>
        </w:rPr>
        <w:t>Stock Options and SARs</w:t>
      </w:r>
      <w:r>
        <w:rPr>
          <w:rFonts w:ascii="Times New Roman" w:hAnsi="Times New Roman"/>
          <w:sz w:val="20"/>
        </w:rPr>
        <w:t xml:space="preserve">,” repricing of stock options and SARs is not permitted without stockholder approval. The DXL compensation committee may, however, grant awards in exchange for other awards under the 2016 plan or under other Company plans, or other rights to payment from DXL, and may grant awards in addition to such other awards, rights or other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Under the 2016 plan, no award can be pledged, hypothecated or otherwise encumbered or subject to any lien, obligation or liability of the participant to any party, or assigned or transferred by the participant other than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DXL compensation committee pursuant to the express terms of an award agreement, are by gift or pursuant to a domestic relations order, and are to a “Permitted Assignee” that is a permissible transferee under the applicable rules of the SEC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stockholders, or (iv) a foundation in which any person or entity designated in clauses (i), (ii) or (iii) above control the management of assets.</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made under the 2016 plan shall be subject to the applicable provisions of DXL’s clawback or recoupment policies as may be in effect from time to time. In addition to the terms of DXL’s clawback policy, the 2016 plan provides that, if a participant, while employed by or providing services to DXL, or after termination of employment or service violates a non-competition, non-solicitation or non-disclosure covenant or agreement, or otherwise engages in activity that is in conflict with or adverse to the interest of DXL, as determined by the DXL compensation committee, then the participant’s awards under the 2016 plan may be forfeited and the DXL compensation committee may require the participant to pay to DXL all or any portion of the gain realized upon exercise or vesting of an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In the event of a change in control, the 2016 plan provides that DXL compensation committee in effect immediately preceding the change in control may, in its sole discretion, accelerate the exercisability, the lapsing of restrictions or the expiration of deferral or vesting periods of any award upon a “double trigger” (</w:t>
      </w:r>
      <w:r>
        <w:rPr>
          <w:rFonts w:ascii="Times New Roman" w:hAnsi="Times New Roman"/>
          <w:i/>
          <w:sz w:val="20"/>
        </w:rPr>
        <w:t>i.e</w:t>
      </w:r>
      <w:r>
        <w:rPr>
          <w:rFonts w:ascii="Times New Roman" w:hAnsi="Times New Roman"/>
          <w:sz w:val="20"/>
        </w:rPr>
        <w:t xml:space="preserve">., upon certain terminations of employment without “justifiable cause” or for “good reason” within 6 months before or 18 months after a change in control). In addition, the DXL compensation committee may provide in an award agreement that the performance goals relating to any performance-based award will be deemed to have been met upon the occurrence of any “change in control,” again upon a “double trigger” as described in this paragraph.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The DXL Board may amend, alter, suspend, discontinue or terminate the 2016 plan or the DXL compensation committee’s authority to grant awards without further stockholder approval, except stockholder approval must be obtained, no later than the next annual meeting following DXL Board approval for such amendment, for any amendment or alteration if such approval is required by law or regulation or under the rules of any stock exchange or quotation system on which shares of common stock are then listed or quoted. Thus, DXL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the DXL Board may, in its discretion, seek stockholder approval in any circumstance in which it deems such approval advisable. Unless earlier terminated by the DXL Board, the 2016 plan will terminate at the earliest of (i) such time as no shares of common stock remain available for issuance under the 2016 plan or (ii) the tenth (10th) anniversary of the effective date.</w:t>
      </w:r>
    </w:p>
    <w:p>
      <w:pPr>
        <w:pStyle w:val="TextBody"/>
        <w:bidi w:val="0"/>
        <w:spacing w:before="360" w:after="0"/>
        <w:jc w:val="left"/>
        <w:rPr>
          <w:rFonts w:ascii="Times New Roman" w:hAnsi="Times New Roman"/>
          <w:b/>
          <w:i/>
          <w:sz w:val="20"/>
        </w:rPr>
      </w:pPr>
      <w:r>
        <w:rPr>
          <w:rFonts w:ascii="Times New Roman" w:hAnsi="Times New Roman"/>
          <w:b/>
          <w:i/>
          <w:sz w:val="20"/>
        </w:rPr>
        <w:t xml:space="preserve">Federal Income Tax Consequences of 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not qualified under the provisions of Section 401(a) of the Code and is not subject to any of the provisions of the Employee Retirement Income Security Act of 1974. The following is a brief summary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United States federal income tax consequences of awards under the 2016 plan. This summary is not intended to be exhaustive and does not describe state, local or foreign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DXL’s employee, that income will be subject to the withholding of Federal income tax. The optionee’s tax basis in those shares will be equal to their fair market value on the date of exercise of the option, and his/her holding period for those shares will begin on that date. </w:t>
      </w:r>
    </w:p>
    <w:p>
      <w:pPr>
        <w:pStyle w:val="TextBody"/>
        <w:bidi w:val="0"/>
        <w:spacing w:before="240" w:after="0"/>
        <w:jc w:val="left"/>
        <w:rPr>
          <w:rFonts w:ascii="Times New Roman" w:hAnsi="Times New Roman"/>
          <w:sz w:val="20"/>
        </w:rPr>
      </w:pPr>
      <w:r>
        <w:rPr>
          <w:rFonts w:ascii="Times New Roman" w:hAnsi="Times New Roman"/>
          <w:sz w:val="20"/>
        </w:rPr>
        <w:t xml:space="preserve">If an optionee pays for shares of stock on exercise of an option by delivering shares of DXL’s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his/her tax basis in the shares delivered, and his/her holding period for those shares will include his/her holding period for the shares delivered. The optionee’s tax basis and holding period for the additional shares received on exercise of the option will be the same as if the optionee had exercised the option solely in exchange for cash. </w:t>
      </w:r>
    </w:p>
    <w:p>
      <w:pPr>
        <w:pStyle w:val="TextBody"/>
        <w:bidi w:val="0"/>
        <w:spacing w:before="240" w:after="0"/>
        <w:jc w:val="left"/>
        <w:rPr>
          <w:rFonts w:ascii="Times New Roman" w:hAnsi="Times New Roman"/>
          <w:sz w:val="20"/>
        </w:rPr>
      </w:pPr>
      <w:r>
        <w:rPr>
          <w:rFonts w:ascii="Times New Roman" w:hAnsi="Times New Roman"/>
          <w:sz w:val="20"/>
        </w:rPr>
        <w:t xml:space="preserve">DXL will be entitled to a deduction for Federal income tax purposes equal to the amount of ordinary income taxable to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2016 plan provides for the grant of stock options that qualify as “incentive stock options” as defined in Section 422 of the Code, which DXL refers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DXL refers to as the “Required Holding Period”, the difference, if any, between the amount realized on a sale or other taxable disposition of that share and the holder’s tax basis in that share will be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however, an optionee disposes of a share acquired on exercise of an ISO before the end of the Required Holding Period, which DXL refers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 </w:t>
      </w:r>
    </w:p>
    <w:p>
      <w:pPr>
        <w:pStyle w:val="TextBody"/>
        <w:bidi w:val="0"/>
        <w:spacing w:before="240" w:after="0"/>
        <w:jc w:val="left"/>
        <w:rPr>
          <w:rFonts w:ascii="Times New Roman" w:hAnsi="Times New Roman"/>
          <w:sz w:val="20"/>
        </w:rPr>
      </w:pPr>
      <w:r>
        <w:rPr>
          <w:rFonts w:ascii="Times New Roman" w:hAnsi="Times New Roman"/>
          <w:sz w:val="20"/>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DXL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DXL is allowed a deduction in an amount equal to the ordinary income includible in income by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Awards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 </w:t>
      </w:r>
    </w:p>
    <w:p>
      <w:pPr>
        <w:pStyle w:val="TextBody"/>
        <w:bidi w:val="0"/>
        <w:spacing w:before="240" w:after="0"/>
        <w:jc w:val="left"/>
        <w:rPr>
          <w:rFonts w:ascii="Times New Roman" w:hAnsi="Times New Roman"/>
          <w:sz w:val="20"/>
        </w:rPr>
      </w:pPr>
      <w:r>
        <w:rPr>
          <w:rFonts w:ascii="Times New Roman" w:hAnsi="Times New Roman"/>
          <w:sz w:val="20"/>
        </w:rPr>
        <w:t xml:space="preserve">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than one year from the date as of which he or she would be required to recognize any compensation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 </w:t>
      </w:r>
    </w:p>
    <w:p>
      <w:pPr>
        <w:pStyle w:val="TextBody"/>
        <w:bidi w:val="0"/>
        <w:spacing w:before="240" w:after="0"/>
        <w:jc w:val="left"/>
        <w:rPr>
          <w:rFonts w:ascii="Times New Roman" w:hAnsi="Times New Roman"/>
          <w:sz w:val="20"/>
        </w:rPr>
      </w:pPr>
      <w:r>
        <w:rPr>
          <w:rFonts w:ascii="Times New Roman" w:hAnsi="Times New Roman"/>
          <w:sz w:val="20"/>
        </w:rPr>
        <w:t xml:space="preserve">In general, there will be no federal income tax deduction allowed to DXL upon the grant or termination of SARs. Upon the exercise of a SAR, however, DXL will be entitled to a deduction for federal income tax purposes equal to the amount of ordinary income that the employee is required to recognize as a result of the exercise, provided that the deduction is not otherwise disallowed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Awards </w:t>
      </w:r>
    </w:p>
    <w:p>
      <w:pPr>
        <w:pStyle w:val="TextBody"/>
        <w:bidi w:val="0"/>
        <w:spacing w:before="120" w:after="0"/>
        <w:jc w:val="left"/>
        <w:rPr>
          <w:rFonts w:ascii="Times New Roman" w:hAnsi="Times New Roman"/>
          <w:sz w:val="20"/>
        </w:rPr>
      </w:pPr>
      <w:r>
        <w:rPr>
          <w:rFonts w:ascii="Times New Roman" w:hAnsi="Times New Roman"/>
          <w:sz w:val="20"/>
        </w:rPr>
        <w:t xml:space="preserve">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dividend equivalent award will recognize ordinary compensation income at the time the dividend equivalent award is received equal to the fair market value of the dividend equivalent award received. DXL generally will be entitled to a deduction for federal income tax purposes equal to the amount of ordinary income that the employee is required to recognize as a result of the dividend equivalent award, provided that the deduction is not otherwise disallowed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Importance of Consulting Tax Adviser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No shares authorized for issuance under the 2016 plan pursuant to this proposal have been awarded, and no commitments to grant such awards have been made, other than shares required for director compensation as described below. Under DXL’s LTIPs, performance-based awards earned for the 2024–2026 LTIP and the 2025–2027 LTIP may be paid in cash, equity, or a combination thereof, at the discretion of the Compensation Committee. Assuming performance at target, the total award value for each LTIP would be approximately $2.4 million. The portion, if any, payable in equity cannot be determined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reflects the estimated dollar value and number of equity units that could be issued for non-employee director compensation during the remainder of fiscal 2026, based on annual director elections and minimum equity ownership requirements: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62"/>
        <w:gridCol w:w="330"/>
        <w:gridCol w:w="256"/>
        <w:gridCol w:w="1506"/>
        <w:gridCol w:w="60"/>
        <w:gridCol w:w="330"/>
        <w:gridCol w:w="138"/>
        <w:gridCol w:w="1910"/>
        <w:gridCol w:w="63"/>
      </w:tblGrid>
      <w:tr>
        <w:trPr/>
        <w:tc>
          <w:tcPr>
            <w:tcW w:w="3162"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1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330" w:type="dxa"/>
            <w:tcBorders/>
            <w:vAlign w:val="bottom"/>
          </w:tcPr>
          <w:p>
            <w:pPr>
              <w:pStyle w:val="TableContents"/>
              <w:bidi w:val="0"/>
              <w:spacing w:before="0" w:after="283"/>
              <w:jc w:val="left"/>
              <w:rPr/>
            </w:pPr>
            <w:r>
              <w:rPr/>
              <w:t> </w:t>
            </w:r>
          </w:p>
        </w:tc>
        <w:tc>
          <w:tcPr>
            <w:tcW w:w="1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Value ($)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2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Units (1)</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 Former Chief Executive Officer</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 Interim Chief Executive Officer (2)</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120,968</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H. Stratton, Jr., Chief Financial Officer and Treasurer</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Anthony J. Gaeta, Chief Stores and Real Estate Officer</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S. Molloy, General Counsel and Secretary</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Allison Surette, Chief Merchandising Officer</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Executive Group, including NEOs</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120,968</w:t>
            </w:r>
          </w:p>
        </w:tc>
        <w:tc>
          <w:tcPr>
            <w:tcW w:w="63" w:type="dxa"/>
            <w:tcBorders/>
            <w:shd w:fill="CCEEFF" w:val="clear"/>
            <w:vAlign w:val="bottom"/>
          </w:tcPr>
          <w:p>
            <w:pPr>
              <w:pStyle w:val="TableContents"/>
              <w:bidi w:val="0"/>
              <w:spacing w:before="0" w:after="283"/>
              <w:jc w:val="left"/>
              <w:rPr/>
            </w:pPr>
            <w:r>
              <w:rPr/>
              <w:t> </w:t>
            </w:r>
          </w:p>
        </w:tc>
      </w:tr>
      <w:tr>
        <w:trPr/>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Non-Executive Officer Employee Group</w:t>
            </w:r>
          </w:p>
        </w:tc>
        <w:tc>
          <w:tcPr>
            <w:tcW w:w="33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91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1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Non-Executive Director Group (3)</w:t>
            </w:r>
          </w:p>
        </w:tc>
        <w:tc>
          <w:tcPr>
            <w:tcW w:w="33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122,250</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910" w:type="dxa"/>
            <w:tcBorders/>
            <w:shd w:fill="CCEEFF" w:val="clear"/>
            <w:vAlign w:val="bottom"/>
          </w:tcPr>
          <w:p>
            <w:pPr>
              <w:pStyle w:val="TableContents"/>
              <w:bidi w:val="0"/>
              <w:spacing w:before="0" w:after="283"/>
              <w:jc w:val="right"/>
              <w:rPr/>
            </w:pPr>
            <w:r>
              <w:rPr/>
              <w:t>197,177</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number of shares that could be issued is based on the dollar value in the table above and DXL’s closing stock price of $0.62 on May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fair value of shares that Mr. Conacher is entitled to receive pursuant to his offer letter through the end of fiscal 2026, assuming Mr. Conacher continues to serve as interim chief executive officer.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Director Plan, non-employee directors are required to take 60% of their annual retainer in shares of common stock until the minimum equity ownership requirement is satisfied. In addition, the election of any director to receive shares of deferred stock must also be satisfied from shares available from the 2016 plan. Based on the ownership of DXL’s directors as of August 3, 2026, the above represents the expected dollar value of compensation that will be required to be settled in shares of common stock or in shares of deferred stock through the end of fiscal 2026, assuming proposal 1 is not approved by stockholders. If proposal 1 is approved by stockholders, the non-employee directors of the combined company would be required to take 60% of the annual retainer in stock, under the current terms of the Director Plan. Assuming the board of directors of the combined company are in place for the fourth quarter payment and further assuming that seven of the eight non-employee directors would be subject to this requirement and one director would receive 100% of his compensation in shares of deferred stock, pursuant to his annual election, the estimated required equity for the remainder of fiscal 2026 would instead be $186,000.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3 by DXL stockholders is a separate vote from approval of the share issuance as contemplated by proposal 1 and the amendment to the restated certificate of incorporation to effect the reverse stock split as contemplated by proposal 2. Accordingly, DXL stockholders may vote for proposal 3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of the 2016 plan for DXL and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2016 plan proposal. Abstentions, the failure to vote, and broker non-votes, if any, will have no effect on the outcome of the 2016 plan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2016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5" w:name="tx76201_72"/>
      <w:bookmarkEnd w:id="75"/>
      <w:r>
        <w:rPr>
          <w:rFonts w:ascii="Times New Roman" w:hAnsi="Times New Roman"/>
          <w:b/>
          <w:sz w:val="20"/>
        </w:rPr>
        <w:t xml:space="preserve">PROPOSAL 4 </w:t>
      </w:r>
    </w:p>
    <w:p>
      <w:pPr>
        <w:pStyle w:val="TextBody"/>
        <w:bidi w:val="0"/>
        <w:spacing w:before="120" w:after="0"/>
        <w:jc w:val="center"/>
        <w:rPr>
          <w:rFonts w:ascii="Times New Roman" w:hAnsi="Times New Roman"/>
          <w:b/>
          <w:sz w:val="20"/>
        </w:rPr>
      </w:pPr>
      <w:r>
        <w:rPr>
          <w:rFonts w:ascii="Times New Roman" w:hAnsi="Times New Roman"/>
          <w:b/>
          <w:sz w:val="20"/>
        </w:rPr>
        <w:t xml:space="preserve">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at the special meeting, the number of shares of DXL common stock cast at the special meeting is insufficient to approve proposal 1 (the issuance proposal), proposal 2 (the reverse stock split proposal) or proposal 3 (the 2016 plan proposal), DXL may propose to adjourn or postpone the special meeting to a later date or dates to solicit additional proxies with respect to these proposals. </w:t>
      </w:r>
    </w:p>
    <w:p>
      <w:pPr>
        <w:pStyle w:val="TextBody"/>
        <w:bidi w:val="0"/>
        <w:spacing w:before="240" w:after="0"/>
        <w:jc w:val="left"/>
        <w:rPr>
          <w:rFonts w:ascii="Times New Roman" w:hAnsi="Times New Roman"/>
          <w:sz w:val="20"/>
        </w:rPr>
      </w:pPr>
      <w:r>
        <w:rPr>
          <w:rFonts w:ascii="Times New Roman" w:hAnsi="Times New Roman"/>
          <w:sz w:val="20"/>
        </w:rPr>
        <w:t xml:space="preserve">This proposal is a procedural matter intended to provide flexibility in connection with the conduct of the special meeting and does not constitute a recommendation with respect to any other proposal.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approve this proposal, DXL could adjourn or postpone the special meeting, and any adjourned session of the special meeting, and use the additional time to solicit proxies, including proxies from stockholders who have previously voted. Approval of this proposal could also mean that, even if DXL receives proxies indicating a majority of votes cast at the special meeting will be voted against one or more of proposals 1, 2 or 3, DXL could adjourn or postpone the special meeting without a vote on those proposals and use the additional time to solicit proxies with respect to such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special meeting is adjourned or postponed, stockholders who have already submitted their proxies will be able to revoke them at any time before such proxies are voted at the reconvened special meeting. If the adjournment is for more than thirty (30) days, or if a new record date is fixed for the adjourned meeting, notice of the adjourned meeting will be given to each stockholder of record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the adjournment proposal is not approved by DXL stockholders, DXL may not be able to adjourn or postpone the special meeting to a later date in the event there are insufficient votes at the time of the special meeting to approve one or more of proposals 1, 2 or 3, which could result in one or more proposals not being approved and, in the case of proposal 1, the merger not being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approval of the adjournment proposal. Abstentions, the failure to vote, and broker non-votes, if any, will have no effect on the outcome of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tx76201_73"/>
      <w:bookmarkEnd w:id="76"/>
      <w:r>
        <w:rPr>
          <w:rFonts w:ascii="Times New Roman" w:hAnsi="Times New Roman"/>
          <w:b/>
          <w:sz w:val="20"/>
        </w:rPr>
        <w:t xml:space="preserve">DXL’S BUSINESS </w:t>
      </w:r>
    </w:p>
    <w:p>
      <w:pPr>
        <w:pStyle w:val="TextBody"/>
        <w:bidi w:val="0"/>
        <w:spacing w:before="240" w:after="0"/>
        <w:jc w:val="left"/>
        <w:rPr>
          <w:rFonts w:ascii="Times New Roman" w:hAnsi="Times New Roman"/>
          <w:sz w:val="20"/>
        </w:rPr>
      </w:pPr>
      <w:r>
        <w:rPr>
          <w:rFonts w:ascii="Times New Roman" w:hAnsi="Times New Roman"/>
          <w:sz w:val="20"/>
        </w:rPr>
        <w:t>For a description of DXL’s business, please refer to the section entitled “</w:t>
      </w:r>
      <w:r>
        <w:rPr>
          <w:rFonts w:ascii="Times New Roman" w:hAnsi="Times New Roman"/>
          <w:i/>
          <w:sz w:val="20"/>
        </w:rPr>
        <w:t>Item 1. Business</w:t>
      </w:r>
      <w:r>
        <w:rPr>
          <w:rFonts w:ascii="Times New Roman" w:hAnsi="Times New Roman"/>
          <w:sz w:val="20"/>
        </w:rPr>
        <w:t xml:space="preserve">” set forth in DXL’s Annual Report on Form 10-K for the fiscal year ended January 31, 2026 as filed with the SEC on March 19,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7" w:name="tx76201_74"/>
      <w:bookmarkEnd w:id="77"/>
      <w:r>
        <w:rPr>
          <w:rFonts w:ascii="Times New Roman" w:hAnsi="Times New Roman"/>
          <w:b/>
          <w:sz w:val="20"/>
        </w:rPr>
        <w:t xml:space="preserve">DXL’S EXECUTIVE COMPENSATION </w:t>
      </w:r>
    </w:p>
    <w:p>
      <w:pPr>
        <w:pStyle w:val="TextBody"/>
        <w:bidi w:val="0"/>
        <w:spacing w:before="240" w:after="0"/>
        <w:jc w:val="left"/>
        <w:rPr>
          <w:rFonts w:ascii="Times New Roman" w:hAnsi="Times New Roman"/>
          <w:sz w:val="20"/>
        </w:rPr>
      </w:pPr>
      <w:r>
        <w:rPr>
          <w:rFonts w:ascii="Times New Roman" w:hAnsi="Times New Roman"/>
          <w:sz w:val="20"/>
        </w:rPr>
        <w:t>For a description of DXL’s executive compensation, please refer to the section entitled “</w:t>
      </w:r>
      <w:r>
        <w:rPr>
          <w:rFonts w:ascii="Times New Roman" w:hAnsi="Times New Roman"/>
          <w:i/>
          <w:sz w:val="20"/>
        </w:rPr>
        <w:t>Item 11. Executive Compensation</w:t>
      </w:r>
      <w:r>
        <w:rPr>
          <w:rFonts w:ascii="Times New Roman" w:hAnsi="Times New Roman"/>
          <w:sz w:val="20"/>
        </w:rPr>
        <w:t xml:space="preserve">” set forth in DXL’s Annual Report on Form 10-K/A for the fiscal year ended January 31, 2026 as filed with the SEC on May 26,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8" w:name="tx76201_75"/>
      <w:bookmarkEnd w:id="78"/>
      <w:r>
        <w:rPr>
          <w:rFonts w:ascii="Times New Roman" w:hAnsi="Times New Roman"/>
          <w:b/>
          <w:sz w:val="20"/>
        </w:rPr>
        <w:t xml:space="preserve">FBB’S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Business section to “FullBeauty Brands,” the “Company,” “we,” “us,” “our” and other similar terms collectively refer to FBB Holdings I,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FullBeauty Brands is one of the largest U.S. pure-play direct-to-consumer operators focused exclusively on the plus-size and extended plus-size women’s and big and tall men’s apparel markets. We are mission led, serving underserved customer segments that we believe remain underpenetrated by traditional retailers. We operate a scaled, multi-brand portfolio supported by a centralized, shared-services platform that integrates merchandising, sourcing, marketing, technology and fulfillment. With a heritage spanning over a century (see “—</w:t>
      </w:r>
      <w:r>
        <w:rPr>
          <w:rFonts w:ascii="Times New Roman" w:hAnsi="Times New Roman"/>
          <w:i/>
          <w:sz w:val="20"/>
        </w:rPr>
        <w:t>Our History</w:t>
      </w:r>
      <w:r>
        <w:rPr>
          <w:rFonts w:ascii="Times New Roman" w:hAnsi="Times New Roman"/>
          <w:sz w:val="20"/>
        </w:rPr>
        <w:t xml:space="preserve">” below), we have developed deep expertise in fit engineering, grading, and size-inclusive product design. We believe our long-standing dedication to, and deep understanding of, our customer provides a true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FullBeauty Brands is a portfolio of differentiated yet complementary brands, comprising more than 15 owned and licensed primary brands. Our products are offered under the brands Woman Within®, Roaman’s®, Catherines®, Jessica London®, Ellos®, Joe Browns®, Avenue®, SwimsuitsForAll®, KingSize®, Eloquii®, CUUP®, Dia &amp; Co®, BrylaneHome® and June &amp; Vie®. FullBeauty Brands operates internet sites for each of the brands as well as a dedicated plus-size online marketplace, </w:t>
      </w:r>
      <w:r>
        <w:rPr>
          <w:rFonts w:ascii="Times New Roman" w:hAnsi="Times New Roman"/>
          <w:i/>
          <w:sz w:val="20"/>
        </w:rPr>
        <w:t>onestopplus.com</w:t>
      </w:r>
      <w:r>
        <w:rPr>
          <w:rFonts w:ascii="Times New Roman" w:hAnsi="Times New Roman"/>
          <w:sz w:val="20"/>
        </w:rPr>
        <w:t xml:space="preserve">, which offers a distinct blend of our original products and third-party brands. Other category-specific marketplaces that we operate on our online platform include Dia Shop, ShoesforAll®, IntimatesforAll®, ActiveforAll® and FullBeauty Outlet®. Additionally, we sell our products through third-party online marketplaces, such as Amazon, Walmart, Target, Kohl’s, Nordstrom, Macy’s, Lowes and eBay, expanding our customer reach. Each of our brands provides a solution targeted to specific needs of our customers.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3723640" cy="2169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23640" cy="216916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focus on the intersection of extended-size apparel and the direct-to-consumer sales channel, which based on industry data, we believe positions us within an estimated $143.6 billion total addressable market (“TAM”) as of 2025. </w:t>
      </w:r>
    </w:p>
    <w:p>
      <w:pPr>
        <w:pStyle w:val="TextBody"/>
        <w:bidi w:val="0"/>
        <w:spacing w:before="240" w:after="0"/>
        <w:jc w:val="left"/>
        <w:rPr>
          <w:rFonts w:ascii="Times New Roman" w:hAnsi="Times New Roman"/>
          <w:sz w:val="20"/>
        </w:rPr>
      </w:pPr>
      <w:r>
        <w:rPr>
          <w:rFonts w:ascii="Times New Roman" w:hAnsi="Times New Roman"/>
          <w:sz w:val="20"/>
        </w:rPr>
        <w:t>Within this TAM, we focus on two primary customer groups: the Older Generation X and Baby Boomer demographic, and the Millennial and Younger Generation X demographic. We organize our brand portfolio and digital environments to address the distinct preferences and purchasing behaviors of each group. See “—</w:t>
      </w:r>
      <w:r>
        <w:rPr>
          <w:rFonts w:ascii="Times New Roman" w:hAnsi="Times New Roman"/>
          <w:i/>
          <w:sz w:val="20"/>
        </w:rPr>
        <w:t>Our Strategy</w:t>
      </w:r>
      <w:r>
        <w:rPr>
          <w:rFonts w:ascii="Times New Roman" w:hAnsi="Times New Roman"/>
          <w:sz w:val="20"/>
        </w:rPr>
        <w:t xml:space="preserve">” for additional detail on our multi-demographic segmentation approach.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focus on the underserved plus-size market in the United States gives us niche expertise and significant insight into serving this demographic. We employ an integrated team, comprised of highly experienced merchants and technical product and creative designers, who work together to create and deliver an unmatched, well-fitting assortment. Our comfortable, trend-right merchandise is designed to address a variety of lifestyle needs ranging from casual and social wear to career, activewear and swimwear, all at affordable prices. Our well-honed e-commerce platform and distribution capabilities afford us the flexibility to offer one of the largest selections of styles and sizes of any plus-size company, with an assortment of over 225,000 SKUs. We believe the expertise and experience that comes from our plus-size centric approach has enabled us to achieve strong customer repurchase rates and a low merchandise return rate of 14%. </w:t>
      </w:r>
    </w:p>
    <w:p>
      <w:pPr>
        <w:pStyle w:val="TextBody"/>
        <w:bidi w:val="0"/>
        <w:spacing w:before="240" w:after="0"/>
        <w:jc w:val="left"/>
        <w:rPr>
          <w:rFonts w:ascii="Times New Roman" w:hAnsi="Times New Roman"/>
          <w:sz w:val="20"/>
        </w:rPr>
      </w:pPr>
      <w:r>
        <w:rPr>
          <w:rFonts w:ascii="Times New Roman" w:hAnsi="Times New Roman"/>
          <w:sz w:val="20"/>
        </w:rPr>
        <w:t>We operate a highly efficient, online-focused business model. Our data-driven marketing capabilities, multi-brand platform and proprietary fit expertise work together to drive customer acquisition, retention and lifetime value see “—</w:t>
      </w:r>
      <w:r>
        <w:rPr>
          <w:rFonts w:ascii="Times New Roman" w:hAnsi="Times New Roman"/>
          <w:i/>
          <w:sz w:val="20"/>
        </w:rPr>
        <w:t>Our Strategy</w:t>
      </w:r>
      <w:r>
        <w:rPr>
          <w:rFonts w:ascii="Times New Roman" w:hAnsi="Times New Roman"/>
          <w:sz w:val="20"/>
        </w:rPr>
        <w:t>” below. Our online direct-to-consumer platform currently generates approximately 80% of our net sales, or $575.9 million in fiscal year 2025. As an online platform business, we have a capital-efficient business model that requires low capital expenditure and delivers strong cash flow generation. See “—</w:t>
      </w:r>
      <w:r>
        <w:rPr>
          <w:rFonts w:ascii="Times New Roman" w:hAnsi="Times New Roman"/>
          <w:i/>
          <w:sz w:val="20"/>
        </w:rPr>
        <w:t>Our Strategy”</w:t>
      </w:r>
      <w:r>
        <w:rPr>
          <w:rFonts w:ascii="Times New Roman" w:hAnsi="Times New Roman"/>
          <w:sz w:val="20"/>
        </w:rPr>
        <w:t xml:space="preserve"> for additional detail on our platform model, marketing capabilities and acquisition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Our History </w:t>
      </w:r>
    </w:p>
    <w:p>
      <w:pPr>
        <w:pStyle w:val="TextBody"/>
        <w:bidi w:val="0"/>
        <w:spacing w:before="120" w:after="0"/>
        <w:jc w:val="left"/>
        <w:rPr>
          <w:rFonts w:ascii="Times New Roman" w:hAnsi="Times New Roman"/>
          <w:sz w:val="20"/>
        </w:rPr>
      </w:pPr>
      <w:r>
        <w:rPr>
          <w:rFonts w:ascii="Times New Roman" w:hAnsi="Times New Roman"/>
          <w:sz w:val="20"/>
        </w:rPr>
        <w:t xml:space="preserve">We like to say we were size inclusive before anyone was looking. We have been engaged in the sale of plus-size women’s apparel for decades, first serving our customers as the Lane Bryant catalog (later evolving into our Woman Within brand) and today through our proprietary and affiliated brands that all service our size inclusivity mission. In February 2013, we were acquired by a group of investors led by Charlesbank Capital Partners and Webster Capital and organized as a Delaware corporation. In early 2015, we rebranded our company as FullBeauty Brands. </w:t>
      </w:r>
    </w:p>
    <w:p>
      <w:pPr>
        <w:pStyle w:val="TextBody"/>
        <w:bidi w:val="0"/>
        <w:spacing w:before="240" w:after="0"/>
        <w:jc w:val="left"/>
        <w:rPr>
          <w:rFonts w:ascii="Times New Roman" w:hAnsi="Times New Roman"/>
          <w:sz w:val="20"/>
        </w:rPr>
      </w:pPr>
      <w:r>
        <w:rPr>
          <w:rFonts w:ascii="Times New Roman" w:hAnsi="Times New Roman"/>
          <w:sz w:val="20"/>
        </w:rPr>
        <w:t xml:space="preserve">We pride ourselves on sharing a heritage built by the founding mothers of inclusive sizing. In 1901, Lena Bryant founded the direct-to-consumer business that would become Lane Bryant in 1904 with the recognition that a lot of women did not conform to the sizes carried by retail stores, so she created great-fitting stylish clothes that served their needs and became the world’s first and foremost plus-size women’s apparel business. Focused on essentially the same mission, Roaman’s was founded in 1942 by Evelyn Roaman, and Catherines was founded in 1960 by Catherine Weaver, who both sought to bring style, beauty and confidence to women whose fashion choices were limited. In delivering on its mission, FullBeauty continues this legacy by satisfying not simply its customers’ needs but also their wants – every woman wants (and deserves) to feel beautiful and well-dressed, no matter her size. For more than a century, we have remained true to this mission and continue to provide quality plus-size products at affordable prices, while delivering our unparalleled expertise in this underserved segment. </w:t>
      </w:r>
    </w:p>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Female consumers in the plus-size (14W-22W) (46%) and extended plus-size (24W+) (23%) markets comprise 69% of the adult U.S. female population. Extended plus-size outpaced total female population growth by 9.2 times with a 5.4% CAGR from 2015 to 2025. Further, the plus and extended plus-size female population is expected to remain relatively stable in the next 10 years. Direct-to-consumer market share of the plus-size apparel market grew from 25% in 2015 to 37% in 2025. </w:t>
      </w:r>
    </w:p>
    <w:p>
      <w:pPr>
        <w:pStyle w:val="TextBody"/>
        <w:bidi w:val="0"/>
        <w:spacing w:before="240" w:after="0"/>
        <w:jc w:val="left"/>
        <w:rPr>
          <w:rFonts w:ascii="Times New Roman" w:hAnsi="Times New Roman"/>
          <w:sz w:val="20"/>
        </w:rPr>
      </w:pPr>
      <w:r>
        <w:rPr>
          <w:rFonts w:ascii="Times New Roman" w:hAnsi="Times New Roman"/>
          <w:sz w:val="20"/>
        </w:rPr>
        <w:t xml:space="preserve">Male consumers in the big and tall XL-2XL (42%) and 3XL+ (16%) markets comprise 57% of the adult U.S. male population. 3XL+ outpaced total male population growth by 6 times with a 4.0% CAGR from 2015 to 2025. Further, the big and tall male population is projected to grow from 57% to 61% of the total male population in the next 10 years. Direct-to-consumer market share of the big and tall market grew from 30% in 2015 to 35% in 2025, while brick and mortar companies’ market share shrank from 70% to 65%. FullBeauty operates in a growing plus-size apparel, direct-to-consumer segment. Our apparel assortments offer extended sizes through size 44W for women and size 10XL for men, whereas our competition generally does not extend past size 24W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women. We recognize that evolving health trends, including increased adoption of GLP-1 and other weight management medications, may influence apparel purchasing behavior and size demand patterns over time. We believe our broad-size architecture and proprietary fit expertise position us to serve customers across a range of sizing needs, including those with changing size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of 2025, we had a 0.9% market share of the $73.7 billion total women’s plus-size market, and a 2.4% market share of the $27.5 billion total direct-to-consumer women’s plus-size market. As of 2025, we had a 0.1% market share of the $69.9 billion total men’s big and tall market and a 0.4% market share of the $24.2 billion direct-to-consumer, men’s big and tall market.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strategy is to grow market share within a large and structurally underpenetrated market by leveraging our scaled, multi-brand, direct-to-consumer platform and proprietary fit expertise to acquire, retain and develop plus-size and extended plus-size customers across demographic segments, product categories and distribution channels. We pursue this objective through five interconnected strategic pillars. </w:t>
      </w:r>
    </w:p>
    <w:p>
      <w:pPr>
        <w:pStyle w:val="TextBody"/>
        <w:bidi w:val="0"/>
        <w:spacing w:before="240" w:after="0"/>
        <w:jc w:val="left"/>
        <w:rPr>
          <w:rFonts w:ascii="Times New Roman" w:hAnsi="Times New Roman"/>
          <w:sz w:val="20"/>
        </w:rPr>
      </w:pPr>
      <w:r>
        <w:rPr>
          <w:rFonts w:ascii="Times New Roman" w:hAnsi="Times New Roman"/>
          <w:i/>
          <w:sz w:val="20"/>
        </w:rPr>
        <w:t>Multi-Brand Platform and Customer Value Development.</w:t>
      </w:r>
      <w:r>
        <w:rPr>
          <w:rFonts w:ascii="Times New Roman" w:hAnsi="Times New Roman"/>
          <w:sz w:val="20"/>
        </w:rPr>
        <w:t xml:space="preserve"> The central element of our growth strategy is driving customers to purchase across multiple brands and product categories on our integrated platform. Our Universal Cart technology enables customers entering any one of our brand websites to cross-shop all of our brands within a single session and check out in a single transaction, generally receiving one consolidated shipment. We design and develop the majority of our apparel in-house, and substantially all of our product assortment is proprietary to or exclusive to our brands. We believe this product exclusivity, combined with our specialized fit expertise, reinforces customer loyalty and supports strong margins. This dynamic is most pronounced among our extended plus-size customers — those purchasing sizes 2X and above — who represent approximately 45% of our active customers but generate approximately 63% of our active customer sales. Because fit precision matters most at extended sizes, where generalist retailers offer the fewest alternatives, our proprietary fit blocks and grading expertise create a beneficial cycle: initial fit satisfaction drives repeat purchasing, which in turn drives multi-brand and multi-category adoption. Our customers who have purchased four or more times over their lifetime account for approximately 91% of active customer sales and exhibit meaningfully higher rebuy rates, order frequency and average order values. Multi-brand customers generate approximately 3.0 times the demand of single-brand customers, and customers who purchase across multiple categories — for example, apparel together with intimates, swimwear and footwear — generate meaningfully higher lifetime value than single-category purchasers. Today, approximately 21% of our customers shop across multiple brands, accounting for approximately 45% of our revenue. We believe increasing multi-brand and multi-category penetration across our active customer base represents our most significant organic growth opportunity. </w:t>
      </w:r>
    </w:p>
    <w:p>
      <w:pPr>
        <w:pStyle w:val="TextBody"/>
        <w:bidi w:val="0"/>
        <w:spacing w:before="240" w:after="0"/>
        <w:jc w:val="left"/>
        <w:rPr>
          <w:rFonts w:ascii="Times New Roman" w:hAnsi="Times New Roman"/>
          <w:sz w:val="20"/>
        </w:rPr>
      </w:pPr>
      <w:r>
        <w:rPr>
          <w:rFonts w:ascii="Times New Roman" w:hAnsi="Times New Roman"/>
          <w:i/>
          <w:sz w:val="20"/>
        </w:rPr>
        <w:t>Multi-Demographic Segmentation.</w:t>
      </w:r>
      <w:r>
        <w:rPr>
          <w:rFonts w:ascii="Times New Roman" w:hAnsi="Times New Roman"/>
          <w:sz w:val="20"/>
        </w:rPr>
        <w:t xml:space="preserve"> We organize our brand portfolio and digital environments around two primary demographic segments to address a combined estimated $143.6 billion TAM. Our “Classic Mall” digital platform — anchored by Woman Within, Roaman’s, Catherines, Jessica London, Ellos, KingSize, BrylaneHome and related marketplace sites — serves the Older Generation X and Baby Boomer demographic, which represents our largest and most established revenue base, with the highest customer retention and repeat purchase rates across our portfolio. Our “New Mall” digital marketplace — featuring Eloquii, CUUP, Avenue, Dia &amp; Co, June &amp; Vie, and SwimsuitsForAll — targets the Millennial and Younger Generation X demographic, where our current market share is lower but where we see significant opportunity to replicate the loyalty dynamics we have built in our Classic Mall customer base. Each environment is curated with distinct brand positioning, editorial content and marketing strategies tailored to the preferences and purchasing behaviors of its target customer. </w:t>
      </w:r>
    </w:p>
    <w:p>
      <w:pPr>
        <w:pStyle w:val="TextBody"/>
        <w:bidi w:val="0"/>
        <w:spacing w:before="240" w:after="0"/>
        <w:jc w:val="left"/>
        <w:rPr>
          <w:rFonts w:ascii="Times New Roman" w:hAnsi="Times New Roman"/>
          <w:sz w:val="20"/>
        </w:rPr>
      </w:pPr>
      <w:r>
        <w:rPr>
          <w:rFonts w:ascii="Times New Roman" w:hAnsi="Times New Roman"/>
          <w:i/>
          <w:sz w:val="20"/>
        </w:rPr>
        <w:t>Data-Driven Customer Acquisition, Retention and Lifetime Value Optimization.</w:t>
      </w:r>
      <w:r>
        <w:rPr>
          <w:rFonts w:ascii="Times New Roman" w:hAnsi="Times New Roman"/>
          <w:sz w:val="20"/>
        </w:rPr>
        <w:t xml:space="preserve"> As permitted by applicable law and our policies, we collect first-party data on our customers. Our analytics teams leverage this data to personalize marketing across digital and print channels, optimize acquisition spend in real time and build predictive models for customer lifetime value investment. A distinctive element of our marketing platform is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integration of data-driven print catalog marketing with our digital marketing channels. We design and produce branded catalogs in-house, and our analytics capabilities enable us to target catalog distribution to specific customer segments based on predicted response rates and lifetime value. This integrated print and digital model drives incremental customer engagement and website traffic at attractive returns, and is a capability that few direct-to-consumer operators maintain at similar scale. In fiscal year 2025, approximately 69% of newly acquired customers were profitable on their first order, our 12-month sales retention rate was approximately 60%, and approximately 76% of our active customers are multi-purchase buyers. We further support customer engagement through our private label and co-branded credit card programs and our membership rewards program, which collectively drive repeat purchase frequency and higher average order values. </w:t>
      </w:r>
    </w:p>
    <w:p>
      <w:pPr>
        <w:pStyle w:val="TextBody"/>
        <w:bidi w:val="0"/>
        <w:spacing w:before="240" w:after="0"/>
        <w:jc w:val="left"/>
        <w:rPr>
          <w:rFonts w:ascii="Times New Roman" w:hAnsi="Times New Roman"/>
          <w:sz w:val="20"/>
        </w:rPr>
      </w:pPr>
      <w:r>
        <w:rPr>
          <w:rFonts w:ascii="Times New Roman" w:hAnsi="Times New Roman"/>
          <w:i/>
          <w:sz w:val="20"/>
        </w:rPr>
        <w:t>Expanding Distribution Through Third-Party Marketplaces.</w:t>
      </w:r>
      <w:r>
        <w:rPr>
          <w:rFonts w:ascii="Times New Roman" w:hAnsi="Times New Roman"/>
          <w:sz w:val="20"/>
        </w:rPr>
        <w:t xml:space="preserve"> While our owned e-commerce websites remain our primary sales channel, we are actively expanding our presence on third-party digital marketplaces to extend customer reach and support new customer acquisition. We currently sell products through Amazon, Walmart, Target, Kohl’s, Nordstrom, Macy’s, eBay, and other marketplace partners, and during 2025 we added a number of new marketplace relationships. These channels allow us to introduce our brands to customers who may not be aware of our owned platforms. Once acquired, we seek to migrate marketplace customers into our direct ecosystem, where we can develop multi-brand, multi-category relationships and higher lifetime value over time. </w:t>
      </w:r>
    </w:p>
    <w:p>
      <w:pPr>
        <w:pStyle w:val="TextBody"/>
        <w:bidi w:val="0"/>
        <w:spacing w:before="240" w:after="0"/>
        <w:jc w:val="left"/>
        <w:rPr>
          <w:rFonts w:ascii="Times New Roman" w:hAnsi="Times New Roman"/>
          <w:sz w:val="20"/>
        </w:rPr>
      </w:pPr>
      <w:r>
        <w:rPr>
          <w:rFonts w:ascii="Times New Roman" w:hAnsi="Times New Roman"/>
          <w:i/>
          <w:sz w:val="20"/>
        </w:rPr>
        <w:t>Scalable Platform, Capital Efficiency and Disciplined Acquisition Strategy.</w:t>
      </w:r>
      <w:r>
        <w:rPr>
          <w:rFonts w:ascii="Times New Roman" w:hAnsi="Times New Roman"/>
          <w:sz w:val="20"/>
        </w:rPr>
        <w:t xml:space="preserve"> Our centralized, shared-services infrastructure — spanning sourcing, merchandising, technology, marketing, fulfillment and customer care — is designed to generate operating leverage as revenue scales and to serve as an integration accelerator for brand acquisitions. Since 2020, we have acquired five brands — Catherines, CUUP, Eloquii, Dia &amp; Co and Avenue — and integrated each onto our common platform with limited incremental fixed cost. As an online-focused platform business, we require relatively low capital expenditure. Our merchandise strategy reinforces this financial profile: approximately 80% of our product sales are generated from core, wardrobe replenishment-oriented styles that carry over across seasons, which reduces fashion risk, improves inventory visibility and supports margin stability. We intend to continue selectively pursuing tuck-in acquisitions of complementary inclusive-size brands that can benefit from our platform capabilities, provided such acquisitions meet our return requirements and can be funded from operating cash flow. We believe the combination of our fit expertise, our position in the extended plus-size segment — where we offer the widest size range among our peers — and our multi-brand platform creates meaningful barriers to entry that support durable customer relationships even as health and wellness trends, including the growing adoption of GLP-1 medications, continue to evolve consumer behavior and apparel purchasing patterns. </w:t>
      </w:r>
    </w:p>
    <w:p>
      <w:pPr>
        <w:pStyle w:val="TextBody"/>
        <w:bidi w:val="0"/>
        <w:spacing w:before="360" w:after="0"/>
        <w:jc w:val="left"/>
        <w:rPr>
          <w:rFonts w:ascii="Times New Roman" w:hAnsi="Times New Roman"/>
          <w:b/>
          <w:sz w:val="20"/>
        </w:rPr>
      </w:pPr>
      <w:r>
        <w:rPr>
          <w:rFonts w:ascii="Times New Roman" w:hAnsi="Times New Roman"/>
          <w:b/>
          <w:sz w:val="20"/>
        </w:rPr>
        <w:t xml:space="preserve">Merchandising and Inventory </w:t>
      </w:r>
    </w:p>
    <w:p>
      <w:pPr>
        <w:pStyle w:val="TextBody"/>
        <w:bidi w:val="0"/>
        <w:spacing w:before="120" w:after="0"/>
        <w:jc w:val="left"/>
        <w:rPr>
          <w:rFonts w:ascii="Times New Roman" w:hAnsi="Times New Roman"/>
          <w:sz w:val="20"/>
        </w:rPr>
      </w:pPr>
      <w:r>
        <w:rPr>
          <w:rFonts w:ascii="Times New Roman" w:hAnsi="Times New Roman"/>
          <w:sz w:val="20"/>
        </w:rPr>
        <w:t xml:space="preserve">Approximately 56% of our net sales are women’s apparel with intimates 15%, men’s 14%, shoes 6%, swim 5% and home décor 5%, making up the balance. We focus primarily on providing original products, particularly in apparel where the majority of our assortment is exclusive to our brands. We augment our selection with certain third-party branded intimates, footwear and menswear that resonate with our core customer. </w:t>
      </w:r>
    </w:p>
    <w:p>
      <w:pPr>
        <w:pStyle w:val="TextBody"/>
        <w:bidi w:val="0"/>
        <w:spacing w:before="240" w:after="0"/>
        <w:jc w:val="left"/>
        <w:rPr>
          <w:rFonts w:ascii="Times New Roman" w:hAnsi="Times New Roman"/>
          <w:sz w:val="20"/>
        </w:rPr>
      </w:pPr>
      <w:r>
        <w:rPr>
          <w:rFonts w:ascii="Times New Roman" w:hAnsi="Times New Roman"/>
          <w:sz w:val="20"/>
        </w:rPr>
        <w:t xml:space="preserve">Our competitive differentiation begins with fit. Designing for extended sizes requires specialized patternmaking, grading, and fabric selection expertise that differs meaningfully from straight-size apparel design. Our technical design teams develop proprietary fit blocks across multiple body shapes and size ranges, enabling us to deliver consistency and comfort at scale. We believe this technical expertise — developed over decades — represents a meaningful competitive advantage versus retailers that simply extend straight-size patterns. Our product development capabilities extend beyond fit to include category-specific innovation across our assortment. In intimates, we engineer proprietary comfort and support features designed specifically for extended sizes. In footwear, we develop products with extended widths and comfort technologies not widely available from other retailers. Across our apparel brands, we incorporate performance fabrics and functional design elements — such as stretch, moisture-wicking and comfort waistband technologies — that address the specific needs of our customer. We believe this depth of product innovation reinforces the loyalty of our core customer base and supports category expansion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merchandising strategy focuses on customer satisfaction through fit, style and quality, yielding FullBeauty a strong 48% repurchase rate in 2025 (i.e., the percentage of customers who transacted on our platform in the prior fiscal year and in the current fiscal year). Our merchandise assortments are offered across a broad size range of plus and extended plus-sizes, and many of our brands complement our apparel offerings with accessories such as jewelry, handbags and footwear for a coordinated look. Products range across casual, social, and vacation wear, as well as technical categories including lingerie, swimwear, and footwear. </w:t>
      </w:r>
    </w:p>
    <w:p>
      <w:pPr>
        <w:pStyle w:val="TextBody"/>
        <w:bidi w:val="0"/>
        <w:spacing w:before="240" w:after="0"/>
        <w:jc w:val="left"/>
        <w:rPr>
          <w:rFonts w:ascii="Times New Roman" w:hAnsi="Times New Roman"/>
          <w:sz w:val="20"/>
        </w:rPr>
      </w:pPr>
      <w:r>
        <w:rPr>
          <w:rFonts w:ascii="Times New Roman" w:hAnsi="Times New Roman"/>
          <w:sz w:val="20"/>
        </w:rPr>
        <w:t xml:space="preserve">We design and develop the majority of our apparel in-house. Our merchandising teams build an overall vision that guides the design and development of our seasonal merchandise assortment, drawing on their experience and consistent study of prevailing market trends. Once our merchandise assortment is selected, our inventory planning teams determine the quantities of each item to purchase in order to meet anticipated demand. To do so, the inventory planning teams analyze information such as historical sales, planned merchandise presentation, and sales projections. We monitor inventory levels on an ongoing basis and use markdowns to clear merchandise as needed. While most inventories are cleared through our own sales channels, certain residual inventory may be liquidated through third-party marketplaces and unaffiliated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various brands within FullBeauty generally incorporate on-site photography and real-life settings, coupled with related editorial content describing the merchandise and depicting situations in which it may be used. Our websites serve as integrated storefronts that combine product listings with editorial content to support and enhance the customer shopping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Sourcing </w:t>
      </w:r>
    </w:p>
    <w:p>
      <w:pPr>
        <w:pStyle w:val="TextBody"/>
        <w:bidi w:val="0"/>
        <w:spacing w:before="120" w:after="0"/>
        <w:jc w:val="left"/>
        <w:rPr>
          <w:rFonts w:ascii="Times New Roman" w:hAnsi="Times New Roman"/>
          <w:sz w:val="20"/>
        </w:rPr>
      </w:pPr>
      <w:r>
        <w:rPr>
          <w:rFonts w:ascii="Times New Roman" w:hAnsi="Times New Roman"/>
          <w:sz w:val="20"/>
        </w:rPr>
        <w:t>We procure our merchandise globally from a balanced and diversified manufacturing network. We seek to manufacture our merchandise with vendors whom we believe can deliver the best quality, price and delivery terms. We maintain policies applicable to our vendors that promote ethical business practices and we engage third-party compliance auditors who periodically visit and monitor the operations of our vendors. We have a sourcing team that manages merchandise procurement and production management, both directly and through the utilization of agents in select countries. In 2025, our apparel sourcing was geographically balanced with 49% from Pakistan, Bangladesh and India, 36% from China, 9% from Africa, and 6% from other countries in Asia. We maintain policies applicable to our vendors that promote ethical business practices and we engage third-party compliance auditors who periodically visit and monitor the operations of our vendors. See “</w:t>
      </w:r>
      <w:r>
        <w:rPr>
          <w:rFonts w:ascii="Times New Roman" w:hAnsi="Times New Roman"/>
          <w:i/>
          <w:sz w:val="20"/>
        </w:rPr>
        <w:t>Risks Related to FBB—Our business is subject to risks associated with global sourcing and manufacturing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Sustainability and Social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As a driver of long-term business resiliency and growth, we are committed to conducting our business in an environmentally and socially responsible manner. We maintain vendor compliance policies that promote ethical business practices, fair labor standards and safe working conditions across our supply chain, and we engage third-party compliance auditors to periodically monitor vendor operations. We continue to evaluate opportunities to reduce waste and improve sustainability across our packaging, logistics and fulfillment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Fulfillment and Customer Care </w:t>
      </w:r>
    </w:p>
    <w:p>
      <w:pPr>
        <w:pStyle w:val="TextBody"/>
        <w:bidi w:val="0"/>
        <w:spacing w:before="120" w:after="0"/>
        <w:jc w:val="left"/>
        <w:rPr>
          <w:rFonts w:ascii="Times New Roman" w:hAnsi="Times New Roman"/>
          <w:sz w:val="20"/>
        </w:rPr>
      </w:pPr>
      <w:r>
        <w:rPr>
          <w:rFonts w:ascii="Times New Roman" w:hAnsi="Times New Roman"/>
          <w:sz w:val="20"/>
        </w:rPr>
        <w:t xml:space="preserve">Inventory and merchandise fulfillment are managed through our distribution facilities in Indianapolis and Plainfield, Indiana. We contract with third party carriers to ensure the reliable and timely delivery of products to our customers and processing of returns to us. We maintain customer service operations available 24 hours a day, seven days a week (closed on Christmas Day), through our FullBeauty service center located in El Paso, Texas, in combination with customer service operations outsourced to third- party agents, through which we handle inquiries on delivery, order status and product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Technology and E-Commerce Platform </w:t>
      </w:r>
    </w:p>
    <w:p>
      <w:pPr>
        <w:pStyle w:val="TextBody"/>
        <w:bidi w:val="0"/>
        <w:spacing w:before="120" w:after="0"/>
        <w:jc w:val="left"/>
        <w:rPr>
          <w:rFonts w:ascii="Times New Roman" w:hAnsi="Times New Roman"/>
          <w:sz w:val="20"/>
        </w:rPr>
      </w:pPr>
      <w:r>
        <w:rPr>
          <w:rFonts w:ascii="Times New Roman" w:hAnsi="Times New Roman"/>
          <w:sz w:val="20"/>
        </w:rPr>
        <w:t xml:space="preserve">Our technology platform is foundational to our business, serving as the primary storefront, merchandising environment and customer engagement channel across all of our brands. We operate proprietary e-commerce websites for each of our brands, optimized for desktop, mobile and tablet. Our platform integrates merchandising, inventory visibility, order management and customer data across brands, enabling real-time cross-brand shopping, centralized fulfillment and unified customer analytics. Our proprietary Universal Cart technology, described further in ‘— Our Strategy,’ provides the cross-brand shopping and unified checkout capabilities that underpin our multi-brand platform model. </w:t>
      </w:r>
    </w:p>
    <w:p>
      <w:pPr>
        <w:pStyle w:val="TextBody"/>
        <w:bidi w:val="0"/>
        <w:spacing w:before="240" w:after="0"/>
        <w:jc w:val="left"/>
        <w:rPr>
          <w:rFonts w:ascii="Times New Roman" w:hAnsi="Times New Roman"/>
          <w:sz w:val="20"/>
        </w:rPr>
      </w:pPr>
      <w:r>
        <w:rPr>
          <w:rFonts w:ascii="Times New Roman" w:hAnsi="Times New Roman"/>
          <w:sz w:val="20"/>
        </w:rPr>
        <w:t>We invest in our technology capabilities on an ongoing basis to improve the customer experience, increase conversion rates and enhance operational efficiency. Our current technology initiatives include the application of machine learning and generative artificial intelligence across marketing, website personalization, CRM investment modeling and product development. We maintain information security programs designed to protect the confidentiality and integrity of our systems and data, including customer personal information. For additional information on cybersecurity and data privacy risks, see “</w:t>
      </w:r>
      <w:r>
        <w:rPr>
          <w:rFonts w:ascii="Times New Roman" w:hAnsi="Times New Roman"/>
          <w:i/>
          <w:sz w:val="20"/>
        </w:rPr>
        <w:t>Risks Related to FBB—System interruptions that impair customer access to our sites or other performance failures in our technology infrastructure could damage our business, reputation and brand and substantially harm our business and results of operations</w:t>
      </w:r>
      <w:r>
        <w:rPr>
          <w:rFonts w:ascii="Times New Roman" w:hAnsi="Times New Roman"/>
          <w:sz w:val="20"/>
        </w:rPr>
        <w:t>,” “</w:t>
      </w:r>
      <w:r>
        <w:rPr>
          <w:rFonts w:ascii="Times New Roman" w:hAnsi="Times New Roman"/>
          <w:i/>
          <w:sz w:val="20"/>
        </w:rPr>
        <w:t>Risks Related to FBB—Unauthorized disclosure of sensitive or confidential information, whether through a breach of our computer system or otherwise, could severely hurt our business</w:t>
      </w:r>
      <w:r>
        <w:rPr>
          <w:rFonts w:ascii="Times New Roman" w:hAnsi="Times New Roman"/>
          <w:sz w:val="20"/>
        </w:rPr>
        <w:t>” and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and Advertising </w:t>
      </w:r>
    </w:p>
    <w:p>
      <w:pPr>
        <w:pStyle w:val="TextBody"/>
        <w:bidi w:val="0"/>
        <w:spacing w:before="120" w:after="0"/>
        <w:jc w:val="left"/>
        <w:rPr>
          <w:rFonts w:ascii="Times New Roman" w:hAnsi="Times New Roman"/>
          <w:sz w:val="20"/>
        </w:rPr>
      </w:pPr>
      <w:r>
        <w:rPr>
          <w:rFonts w:ascii="Times New Roman" w:hAnsi="Times New Roman"/>
          <w:sz w:val="20"/>
        </w:rPr>
        <w:t>Our marketing activities focus on customer retention, reactivation and acquisition through an integrated set of digital and print marketing channels. Our digital marketing channels include triggered and promotional emails, social media, paid and natural search, consumer shopping engines, and third-party online marketplaces. Our print marketing channels include catalogs, direct mail, package inserts and space media. We also invest in brand awareness and community-building initiatives, including social media content across platforms such as Instagram and TikTok, influencer and content creator partnerships, public relations campaigns, and brand collaborations. These efforts are particularly important for our newer, fashion-forward brands, where cultural relevance and community engagement drive customer acquisition and brand affinity. Our branded catalogs are designed and produced in-house, enabling each brand to control its production process and reducing lead time. New editions are mailed to targeted customer segments multiple times each year and vary by season. We maintain an extensive proprietary database of customer demographics and purchasing history, which we use to optimize the frequency, timing and content of marketing communications across channels. See “—</w:t>
      </w:r>
      <w:r>
        <w:rPr>
          <w:rFonts w:ascii="Times New Roman" w:hAnsi="Times New Roman"/>
          <w:i/>
          <w:sz w:val="20"/>
        </w:rPr>
        <w:t>Our Strategy</w:t>
      </w:r>
      <w:r>
        <w:rPr>
          <w:rFonts w:ascii="Times New Roman" w:hAnsi="Times New Roman"/>
          <w:sz w:val="20"/>
        </w:rPr>
        <w:t xml:space="preserve">” for additional detail on our data-driven marketing approach. In 2025, we continued our focus on customers who have purchased from us within the last 12 months (‘Active Customers’). Active Customers totaled 5.1 million in 2025, and during 2025 through our print and digital marketing, we acquired 1.0 million customers, 91% of whom were via our online order channel and 82% of whom were via our digital marketing programs. Our multi-channel marketing is designed to drive our customers to engage and do business with us at their convenience through multiple order channels including our websites (optimized for desktop, mobile and tablet), phone and mail. In 2025, approximately 83% of our demand was online orders and 17% was phone/mail orders.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maintain two primary loyalty programs – our long-standing private label credit card program in which 18.8% of our customers participate, generating 27.8% of our net sales, our co-branded credit card program, added to our portfolio in 2025, in which &lt;1% of our customers participate, as well as our membership rewards program, launched in 2020, in which 11.8% of our customers participate, generating 8.6% of our net sales. Our private label credit card and co-brand credit card programs are each managed through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operate primarily in the plus-size and extended plus-size apparel market and compete against a range of retailers across multiple channels. Our principal competitors include plus-size specialty retailers such as Torrid and Lane Bryant, department stores and mass merchants such as Macy’s, Kohl’s, JCPenney and Target, online marketplaces such as Amazon, Walmart and Shein, and digitally native direct-to-consumer brands. We believe that we compete — and differentiate ourselves — primarily on the basis of size range breadth, proprietary fit expertise, product exclusivity, overall shopping experience and brand recognition. We believe the plus-size specialty segment remains fragmented, and that our scaled multi-brand platform, combined with the widest size range among our peers, positions us as a category leader within this segment.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We own and lease office and warehouse space throughout the United States. We believe that our facilities are sufficient to meet our projected growth over the next several years. The following table sets forth our principal facilities as of March 31, 2026 and the approximate square footage of each facility.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1"/>
        <w:gridCol w:w="413"/>
        <w:gridCol w:w="2467"/>
        <w:gridCol w:w="413"/>
        <w:gridCol w:w="974"/>
        <w:gridCol w:w="413"/>
        <w:gridCol w:w="185"/>
        <w:gridCol w:w="2475"/>
        <w:gridCol w:w="64"/>
      </w:tblGrid>
      <w:tr>
        <w:trPr/>
        <w:tc>
          <w:tcPr>
            <w:tcW w:w="2801"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c>
          <w:tcPr>
            <w:tcW w:w="413" w:type="dxa"/>
            <w:tcBorders/>
            <w:vAlign w:val="bottom"/>
          </w:tcPr>
          <w:p>
            <w:pPr>
              <w:pStyle w:val="TableContents"/>
              <w:bidi w:val="0"/>
              <w:spacing w:before="0" w:after="283"/>
              <w:jc w:val="left"/>
              <w:rPr/>
            </w:pPr>
            <w:r>
              <w:rPr/>
              <w:t>  </w:t>
            </w:r>
          </w:p>
        </w:tc>
        <w:tc>
          <w:tcPr>
            <w:tcW w:w="2467" w:type="dxa"/>
            <w:tcBorders>
              <w:bottom w:val="single" w:sz="8" w:space="0" w:color="000000"/>
            </w:tcBorders>
            <w:tcMar>
              <w:bottom w:w="28" w:type="dxa"/>
            </w:tcMar>
            <w:vAlign w:val="bottom"/>
          </w:tcPr>
          <w:p>
            <w:pPr>
              <w:pStyle w:val="TableContents"/>
              <w:bidi w:val="0"/>
              <w:spacing w:before="0" w:after="283"/>
              <w:jc w:val="center"/>
              <w:rPr>
                <w:b/>
              </w:rPr>
            </w:pPr>
            <w:r>
              <w:rPr>
                <w:b/>
              </w:rPr>
              <w:t>Primary Use</w:t>
            </w:r>
          </w:p>
        </w:tc>
        <w:tc>
          <w:tcPr>
            <w:tcW w:w="413" w:type="dxa"/>
            <w:tcBorders/>
            <w:vAlign w:val="bottom"/>
          </w:tcPr>
          <w:p>
            <w:pPr>
              <w:pStyle w:val="TableContents"/>
              <w:bidi w:val="0"/>
              <w:spacing w:before="0" w:after="283"/>
              <w:jc w:val="left"/>
              <w:rPr/>
            </w:pPr>
            <w:r>
              <w:rPr/>
              <w:t>  </w:t>
            </w:r>
          </w:p>
        </w:tc>
        <w:tc>
          <w:tcPr>
            <w:tcW w:w="974" w:type="dxa"/>
            <w:tcBorders>
              <w:bottom w:val="single" w:sz="8" w:space="0" w:color="000000"/>
            </w:tcBorders>
            <w:tcMar>
              <w:bottom w:w="28" w:type="dxa"/>
            </w:tcMar>
            <w:vAlign w:val="bottom"/>
          </w:tcPr>
          <w:p>
            <w:pPr>
              <w:pStyle w:val="TableContents"/>
              <w:bidi w:val="0"/>
              <w:spacing w:before="0" w:after="283"/>
              <w:jc w:val="center"/>
              <w:rPr>
                <w:b/>
              </w:rPr>
            </w:pPr>
            <w:r>
              <w:rPr>
                <w:b/>
              </w:rPr>
              <w:t>Leased/Owned</w:t>
            </w:r>
          </w:p>
        </w:tc>
        <w:tc>
          <w:tcPr>
            <w:tcW w:w="413" w:type="dxa"/>
            <w:tcBorders/>
            <w:vAlign w:val="bottom"/>
          </w:tcPr>
          <w:p>
            <w:pPr>
              <w:pStyle w:val="TableContents"/>
              <w:bidi w:val="0"/>
              <w:spacing w:before="0" w:after="283"/>
              <w:jc w:val="left"/>
              <w:rPr/>
            </w:pPr>
            <w:r>
              <w:rPr/>
              <w:t>  </w:t>
            </w:r>
          </w:p>
        </w:tc>
        <w:tc>
          <w:tcPr>
            <w:tcW w:w="2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 Square Feet</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York, New York</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Corporate Headquarters</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157,000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Indianapolis, Indiana</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Logistics and Distribution</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Owned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750,000</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Plainfield, Indiana</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Warehouse</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740,000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El Paso, Texas</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Customer Care Center</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Leased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50,000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own several service marks and trademarks relating to our businesses, including, among many others, FullBeauty®, Woman Within®, Roaman’s®, Catherines®, Jessica London®, Ellos®, Joe Browns®, Avenue®, SwimsuitsForAll®, KingSize®, Eloquii®, CUUP®, Dia Shop, Dia &amp; Co®, BrylaneHome®, June &amp; Vie®, OneStopPlus®, ShoesforAll®, IntimatesforAll®, ActiveforAll® and FullBeauty Outlet®. Our intellectual property, including any trademarks, copyrights, domain names, patents, trade dress, trade secrets and proprietary technologies, is an important part of our business. To protect our intellectual property, we rely on a combination of laws and regulations, as well as contractual restrictions and meaningful enforcement practices. We devote resources to the establishment and protection of our trademarks and service marks in the United States and certain foreign jurisdictions, and actively monitor for potential infringement. Our policy is to pursue registration of our trademarks and to take steps to protect against infringement by third parties. We also rely on trade secret laws to protect our proprietary technology and other intellectual property. To further protect our intellectual property, we enter into confidentiality and assignment of invention agreements with employees and certain contractors and confidentiality agreements with other third parties, such as suppliers. </w:t>
      </w:r>
    </w:p>
    <w:p>
      <w:pPr>
        <w:pStyle w:val="TextBody"/>
        <w:bidi w:val="0"/>
        <w:spacing w:before="360" w:after="0"/>
        <w:jc w:val="left"/>
        <w:rPr>
          <w:rFonts w:ascii="Times New Roman" w:hAnsi="Times New Roman"/>
          <w:b/>
          <w:sz w:val="20"/>
        </w:rPr>
      </w:pPr>
      <w:r>
        <w:rPr>
          <w:rFonts w:ascii="Times New Roman" w:hAnsi="Times New Roman"/>
          <w:b/>
          <w:sz w:val="20"/>
        </w:rPr>
        <w:t xml:space="preserve">People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employed 987 team members. Our New York headquarters are home to approximately 393 associates, while our Indianapolis and El Paso sites have approximately 594 associates combined. Some full-time employees at our Indiana facilities are covered by collective bargaining agreements, and we consider our relationship with our employees, including our unionized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Our associates are central to our ability to execute our multi-brand, direct-to-consumer strategy. We invest in our workforce through competitive compensation and benefits programs, professional development opportunities, and a culture that emphasizes collaboration, accountability and customer focus. Our integrated platform model enables associates across brands to develop expertise in multiple aspects of our business, including merchandising, marketing, technology and fulfillment. As a company dedicated to serving customers of all sizes, ages, ethnicities and styles, we seek to foster a workforce culture that reflects the diversity of the communities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 We believe our mission-driven focus on serving underserved customers fosters strong associate engagement, and we seek to maintain an inclusive workplace environment that attracts and retains the talent necessary to support our growth.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and Legislation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comply with numerous laws and regulations at the state, federal and international levels. For instance, we are subject to labor and employment, tax, environmental, data privacy and anti-bribery laws. We are also subject to regulations, trade laws and customs, truth-in-advertising, consumer protection and zoning and occupancy laws and ordinances that regulate retailers generally and/or govern the importation, promotion and sale of merchandise and the operation of warehouse facilities. We monitor changes in these laws and believe that we are in material compliance with applicable laws. </w:t>
      </w:r>
    </w:p>
    <w:p>
      <w:pPr>
        <w:pStyle w:val="TextBody"/>
        <w:bidi w:val="0"/>
        <w:spacing w:before="240" w:after="0"/>
        <w:jc w:val="left"/>
        <w:rPr>
          <w:rFonts w:ascii="Times New Roman" w:hAnsi="Times New Roman"/>
          <w:sz w:val="20"/>
        </w:rPr>
      </w:pPr>
      <w:r>
        <w:rPr>
          <w:rFonts w:ascii="Times New Roman" w:hAnsi="Times New Roman"/>
          <w:sz w:val="20"/>
        </w:rPr>
        <w:t>A substantial portion of our products are manufactured outside the United States. These products are imported and are subject to U.S. customs laws, which impose tariffs as well as import quota restrictions for textiles and apparel. The tariff environment for imported apparel has evolved significantly in recent periods, including the imposition of additional tariffs on products sourced from certain countries and retaliatory trade measures. We maintain a geographically diversified sourcing network and actively monitor tariff developments to mitigate the impact of trade policy changes on our cost structure. For additional information, see “</w:t>
      </w:r>
      <w:r>
        <w:rPr>
          <w:rFonts w:ascii="Times New Roman" w:hAnsi="Times New Roman"/>
          <w:i/>
          <w:sz w:val="20"/>
        </w:rPr>
        <w:t>Risks Related to FBB—Additional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Given our online-focused operating model, data privacy and information security are core operational priorities. We collect, process, store and use personal information about our customers, employees and other third parties, and our business is subject to an evolving landscape of federal, state and international laws, regulations and industry standards governing the collection, use, transmission and protection of such data. These include, among others, the California Consumer Privacy Act, as amended by the California Privacy Rights Act, as well as comprehensive data privacy statutes enacted in a growing number of other states and data breach notification statues enacted in all 50 states. We are also subject to Federal Trade Commission and state attorney general oversight of our consumer data practices. We maintain privacy and information security programs designed to comply with applicable legal requirements and industry standards, and we monitor regulatory developments to adapt our practices as the legal landscape continues to evolve. For additional information, see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From time to time, we may be subject to litigation claims through the ordinary course of business, including matters relating to employment, consumer protection, privacy and data security, advertising and promotional practices, vendor relationships and intellectual property. We do not believe that any such matters, individually or in the aggregate, are expected to have a material adverse effect on our business, financial condition or results of operations; however, the outcome of legal proceedings is inherently uncertain. For additional information, see “</w:t>
      </w:r>
      <w:r>
        <w:rPr>
          <w:rFonts w:ascii="Times New Roman" w:hAnsi="Times New Roman"/>
          <w:i/>
          <w:sz w:val="20"/>
        </w:rPr>
        <w:t>Notes to Consolidated Financial Statements – Commitments and Contingencies.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9" w:name="tx76201_76"/>
      <w:bookmarkEnd w:id="79"/>
      <w:r>
        <w:rPr>
          <w:rFonts w:ascii="Times New Roman" w:hAnsi="Times New Roman"/>
          <w:b/>
          <w:sz w:val="20"/>
        </w:rPr>
        <w:t xml:space="preserve">DXL’S 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For DXL’s management’s discussion and analysis of financial condition and results of operations, please refer to the sections entitled “</w:t>
      </w:r>
      <w:r>
        <w:rPr>
          <w:rFonts w:ascii="Times New Roman" w:hAnsi="Times New Roman"/>
          <w:i/>
          <w:sz w:val="20"/>
        </w:rPr>
        <w:t>Item 7. Management’s Discussion and Analysis of Financial Condition and Results of Operations</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2. Management’s Discussion and Analysis of Financial Condition and Results of Operations</w:t>
      </w:r>
      <w:r>
        <w:rPr>
          <w:rFonts w:ascii="Times New Roman" w:hAnsi="Times New Roman"/>
          <w:sz w:val="20"/>
        </w:rPr>
        <w:t xml:space="preserve">” set forth in DXL’s Quarterly Report on Form 10-Q for the quarter ended May 2, 2026 as filed with the SEC on June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0" w:name="tx76201_77"/>
      <w:bookmarkEnd w:id="80"/>
      <w:r>
        <w:rPr>
          <w:rFonts w:ascii="Times New Roman" w:hAnsi="Times New Roman"/>
          <w:b/>
          <w:sz w:val="20"/>
        </w:rPr>
        <w:t xml:space="preserve">QUANTITATIVE AND QUALITATIVE DISCLOSURES ABOUT DXL’S MARKET RISK </w:t>
      </w:r>
    </w:p>
    <w:p>
      <w:pPr>
        <w:pStyle w:val="TextBody"/>
        <w:bidi w:val="0"/>
        <w:spacing w:before="240" w:after="0"/>
        <w:jc w:val="left"/>
        <w:rPr>
          <w:rFonts w:ascii="Times New Roman" w:hAnsi="Times New Roman"/>
          <w:sz w:val="20"/>
        </w:rPr>
      </w:pPr>
      <w:r>
        <w:rPr>
          <w:rFonts w:ascii="Times New Roman" w:hAnsi="Times New Roman"/>
          <w:sz w:val="20"/>
        </w:rPr>
        <w:t>For quantitative and qualitative disclosures about DXL’s market risk, please refer to the sections entitled “</w:t>
      </w:r>
      <w:r>
        <w:rPr>
          <w:rFonts w:ascii="Times New Roman" w:hAnsi="Times New Roman"/>
          <w:i/>
          <w:sz w:val="20"/>
        </w:rPr>
        <w:t>Item</w:t>
      </w:r>
      <w:r>
        <w:rPr>
          <w:rFonts w:ascii="Times New Roman" w:hAnsi="Times New Roman"/>
          <w:sz w:val="20"/>
        </w:rPr>
        <w:t> </w:t>
      </w:r>
      <w:r>
        <w:rPr>
          <w:rFonts w:ascii="Times New Roman" w:hAnsi="Times New Roman"/>
          <w:i/>
          <w:sz w:val="20"/>
        </w:rPr>
        <w:t>7A. Quantitative and Qualitative Disclosures About Market Risk</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3. Quantitative and Qualitative Disclosures About Market Risk</w:t>
      </w:r>
      <w:r>
        <w:rPr>
          <w:rFonts w:ascii="Times New Roman" w:hAnsi="Times New Roman"/>
          <w:sz w:val="20"/>
        </w:rPr>
        <w:t xml:space="preserve">” set forth in DXL’s Quarterly Report on Form 10-Q for the quarter ended May 2, 2026 as filed with the SEC on June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1" w:name="tx76201_78"/>
      <w:bookmarkEnd w:id="81"/>
      <w:r>
        <w:rPr>
          <w:rFonts w:ascii="Times New Roman" w:hAnsi="Times New Roman"/>
          <w:b/>
          <w:sz w:val="20"/>
        </w:rPr>
        <w:t xml:space="preserve">FBB’S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(i) the increasingly challenging consumer environment since the execution of the merger agreement in December 2025, (ii) FBB’s continuing decline in operating performance and financial results, including lower-than-expected net sales, net income (loss), adjusted EBITDA and cash flow from operations as compared to both prior-year performance and prior projections (and the corresponding heightened risk that FBB will not achieve its projections for the current fiscal year), (iii) FBB’s increased level of indebtedness, (iv) uncertainty regarding the availability of the Combined ABL Facility and the resulting risk that the combined company may not have access to the liquidity contemplated by such facility, together with concerns that alternative financing may not be available on comparable terms, if at all, (v) concerns regarding FBB’s potential negative equity value, and (vi) the substantial economic dilution that DXL stockholders would experience if the merger were consummated on its current terms. Based on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will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discussion and analysis of FBB’s financial condition and results of operations as of, and for, the periods presented. You should read the following discussion and analysis of FBB’s financial condition and results of operations together with FBB’s financial statements and related notes appearing at the end of this proxy statement. Certain figures discussed below may not foot due to rounding. Some of the information contained in this discussion and analysis or set forth at the end of this proxy statement includes forward-looking statements that involve risks and uncertainties. As a result of many factors, including those factors set forth in the section entitled “Risk Factors—Risks Related to FBB,” FBB’s actual results could differ materially from the results described in or implied by the forward-looking statements contained in the following discussion and analysis. You should carefully read the section entitled “Risk Factors—Risks Related to FBB” to gain an understanding of the important factors that could cause actual results to differ materially from FBB’s forward-looking statements. Please also see the section entitled “Cautionary Statement Regarding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Management’s Discussion and Analysis of Financial Condition and Results of Operations” section to “FullBeauty Brands,” the “Company,” “we,” “us,” “our” and other similar terms refer to FBB Holdings I,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financial measures other than those that are in accordance with U.S. generally accepted accounting principles (“GAAP”) on a regular basis in order to track the progress of our business. These non-GAAP financial measures include EBITDA, adjusted EBITDA and adjusted EBITDA margin. We believe that these measures provide helpful information with respect to the Company’s operating performance and that the inclusion of these measures is important to assist investors in comparing our performance over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periods. However, these measures may not be comparable to similar measures used by other companies and should not be considered superior to or as a substitute for net income, net income per diluted share or cash flow from operating activities in accordance with GAAP. See “Non-GAAP Reconciliations” below for additional information regarding these non-GAAP financial measures and reconciliations to comparable GAAP financial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continues to advance its pending merger (the “Merger”) with Destination XL Group, Inc. (“DXL”), originally announced on December 11, 2025, as further described in this proxy statement. Under the terms of the transaction, FBB stockholders are expected to own approximately 55% and DXL stockholders approximately 45%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DXL stockholders, the Merger is expected to bring together two highly complementary businesses across the plus-size women’s and big &amp; tall men’s apparel markets, creating a scaled, category-defining retailer in inclusive apparel. The combined company would be supported by a direct-to-consumer database of approximately 25 million households and DXL’s nationwide footprint of 293 stores, while also enhancing long-term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the complementarity between the two businesses is structural. FBB operates as a direct-to-consumer business without an owned store footprint, reaching its customers through digital channels and a proprietary in-house print catalog program; DXL operates a nationwide specialty store base alongside a direct channel. Approximately 83% of the Company’s net sales in the first six months of fiscal 2026 were in the Women’s category, a category in which DXL does not principally operate, while the Company’s Men’s business is conducted entirely through direct channels and without a store presence. The Company believes the combination therefore extends each business into channels and customer segments the other does not serve today, with limited overlap outside the men’s category.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believes it brings to the combination a demonstrated capability in platform integration. Since 2020, the Company has acquired five brands — Catherines, Eloquii, CUUP, Dia &amp; Co. and Avenue — and integrated each onto its common shared-services infrastructure spanning sourcing, merchandising, technology, marketing, fulfillment and customer care. In addition, the Company’s men’s business, anchored by KingSize, is operated entirely through direct channels, and the Company believes the combination of KingSize with DXL’s big &amp; tall assortment and store base would create a more complete offering for the men’s customer than either business operates independently.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transaction, the First Lien Term Loan (as defined below) is expected to be reduced by approximately $107 million through equity contributions and debt-for-equity exchanges, with its maturity extended to August 2029. The Company expects this to reduce leverage, address the Company’s near-term refinancing maturity and lower ongoing cash interest requirements, providing additional financial flexibility to support investment in the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Merger is subject to stockholder approval and other closing conditions, and there can be no assurance that the Merger will be completed on the terms described, on the anticipated timeline, or at all.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 direct-to-consumer, multi-brand platform purpose-built for the plus-size, extended plus-size and big &amp; tall customer. Its economics are driven by three characteristics that distinguish it within direct-to-consumer apparel: substantially all product is designed in-house and sold exclusively through the Company’s own brands, which supports a gross margin structure in the range of 60% of net sales and limits direct price comparison against competitors; a first-party customer database of approximately 20 million households built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over decades of direct engagement; and a centralized shared-services infrastructure that carries all brands in the portfolio and has absorbed five brand acquisitions since 2020 without corresponding duplication of overhead. Fiscal 2026 results to date reflect the operation of that model through a period of significant demand pressure across the apparel sector. </w:t>
      </w:r>
    </w:p>
    <w:p>
      <w:pPr>
        <w:pStyle w:val="TextBody"/>
        <w:bidi w:val="0"/>
        <w:spacing w:before="240" w:after="0"/>
        <w:jc w:val="left"/>
        <w:rPr>
          <w:rFonts w:ascii="Times New Roman" w:hAnsi="Times New Roman"/>
          <w:sz w:val="20"/>
        </w:rPr>
      </w:pPr>
      <w:r>
        <w:rPr>
          <w:rFonts w:ascii="Times New Roman" w:hAnsi="Times New Roman"/>
          <w:sz w:val="20"/>
        </w:rPr>
        <w:t xml:space="preserve">The Company’s performance in the six months ended July 4, 2026 reflects the execution of five interconnected strategic priorities against a challenging macroeconomic backdrop, consistent with fiscal 2025. First, the Company advanced its multi-brand platform strategy, with Universal Cart technology enabling customers to cross-shop all brands and check out in a single transaction. Second, the Company continued advancing its dual demographic strategy—investing in both its established Classic Mall platform and its higher-growth New Mall housing its more contemporary brands and targeting Millennial and younger Generation X customers. Third, the Company maintained its data-driven marketing model, deploying digital and print channels based on each customer’s stage in the customer lifecycle. Fourth, the Company expanded its third-party marketplace presence across Amazon, Walmart, Target, Kohl’s, Nordstrom and Macy’s, extending brand reach to plus-size customers across the channels where they already shop. Fifth, the Company continued leveraging its capital-efficient shared-services platform, which has successfully integrated five brand acquisitions since 2020. </w:t>
      </w:r>
    </w:p>
    <w:p>
      <w:pPr>
        <w:pStyle w:val="TextBody"/>
        <w:bidi w:val="0"/>
        <w:spacing w:before="240" w:after="0"/>
        <w:jc w:val="left"/>
        <w:rPr>
          <w:rFonts w:ascii="Times New Roman" w:hAnsi="Times New Roman"/>
          <w:sz w:val="20"/>
        </w:rPr>
      </w:pPr>
      <w:r>
        <w:rPr>
          <w:rFonts w:ascii="Times New Roman" w:hAnsi="Times New Roman"/>
          <w:sz w:val="20"/>
        </w:rPr>
        <w:t xml:space="preserve">Despite the challenging environment, the Company took decisive action across its commercial, organizational, and marketing operations. The Company strengthened its leadership team with the addition of a new Chief Marketing Officer in 2025 and brand leaders for Roaman’s and KingSize hired in 2024. This newer leadership is beginning to have an impact across two of the portfolio’s largest brands. On the revenue and customer front, the Company launched a multi-tender loyalty platform across all brands, redesigned its web checkout experience to improve conversion, enabled Affirm as a new payment option to support customer purchasing flexibility, and activated new marketplace distribution channels to broaden reach. The Company also continued to optimize its marketing performance, reducing investment in underperforming print channels while rebalancing marketing spend toward higher-returning digital channels where the Company continues to gain traction. Looking ahead, the Company intends to continue its deployment of behavioral AI-driven customer decisioning to enhance online discovery and conversion and pursue generative engine optimization initiatives to strengthen the portfolio’s off-site search and discovery presence. </w:t>
      </w:r>
    </w:p>
    <w:p>
      <w:pPr>
        <w:pStyle w:val="TextBody"/>
        <w:bidi w:val="0"/>
        <w:spacing w:before="240" w:after="0"/>
        <w:jc w:val="left"/>
        <w:rPr>
          <w:rFonts w:ascii="Times New Roman" w:hAnsi="Times New Roman"/>
          <w:sz w:val="20"/>
        </w:rPr>
      </w:pPr>
      <w:r>
        <w:rPr>
          <w:rFonts w:ascii="Times New Roman" w:hAnsi="Times New Roman"/>
          <w:sz w:val="20"/>
        </w:rPr>
        <w:t xml:space="preserve">Results in the first half of fiscal 2026 reflect both lower consumer demand and management actions taken in response to it. Rather than seek to defend net sales through increased promotional intensity or continued investment in marketing channels that had generated declining returns, the Company reduced marketing spend and operating expense and maintained pricing discipline. Those actions contributed to the net sales decline of 13.5% for the six-month period and also to the profitability of the second quarter, in which Adjusted EBITDA of $12.3 million was achieved on net sales $30.5 million below the prior-year quarter and second quarter results improved from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Effectiveness and Customer Economics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deploys an analytical marketing model that leverages first-party customer data to direct the right channel to the right customer at the right moment in their lifecycle. This model is supported by a first-party customer database of approximately 20 million households accumulated over decades of direct-to-consumer engagement, providing the foundation for cohort analysis, lifecycle marketing and customer lifetime value measurement. Digital channels play a growing role in reaching and converting new customers, while the Company’s proprietary print catalog program — designed and produced in-house — drives engagement, repeat purchasing and reactivation among existing customers. Based on the Company’s annual customer cohort analysis for fiscal 2025, approximately 69% of newly acquired customers were profitable on their first order and approximately 76% of active customers were multi-purchase buyers, reflecting the effectiveness of this data-driven lifecycle approach. The ability to operate at scale across both digital and print — optimizing each for its distinct role — is a capability the Company believes few direct-to-consumer apparel operators maintain at comparable scale, and it supports the Company’s ability to build customer lifetime value efficiently across its multi-brand portfolio.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Multi-brand customers — those engaged across more than one brand in the portfolio — represented approximately 21% of customers but generated approximately 45% of net sales in fiscal 2025, reflecting materially higher engagement per customer relative to single-brand shoppers. The Company views increasing multi-brand penetration across its active customer base as a significant organic growth opportunity, and the Universal Cart capability described above is the technical foundation for capturing it. If consummated, the pending combination with Destination XL Group is expected to extend this multi-brand customer engagement opportunity to the men’s big &amp; tall demographic by bringing KingSize and the DXL brands within a single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The Company organizes its brand portfolio around two primary demographic groups. The ‘Classic Mall’ platform — anchored by Woman Within and complemented by Roaman’s, Catherines, Jessica London, Ellos, KingSize and BrylaneHome — serves the older Generation X and Baby Boomer demographic, which represents the Company’s largest and most established revenue base with the highest customer retention and repeat purchase rates across the portfolio. The ‘New Mall’ platform — anchored by Eloquii and complemented by CUUP, Avenue, Dia &amp; Co., June &amp; Vie and SwimsuitsForAll — targets the Millennial and Younger Generation X demographic, where current market share is lower but where the Company sees significant opportunity to replicate the loyalty dynamics built within its Classic Mall customer base. This dual-environment architecture enables distinct brand positioning, editorial content and marketing strategies tailored to the preferences of each target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infrastructure — spanning sourcing, merchandising, technology, marketing, fulfillment and customer care — is designed to generate operating leverage as revenue scales and to serve as an integration platform for brand acquisitions. Since 2020, the Company has acquired five brands — Catherines, Eloquii, CUUP, Dia &amp; Co. and Avenue — and integrated each onto its common platform. This capital-efficient model is further supported by a merchandise strategy weighted toward core, wardrobe replenishment-oriented styles that carry over across seasons, reducing fashion risk, improving inventory visibility and supporting margin stability.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Portfolio Composition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Company’s annual customer analysis for fiscal 2025, extended plus-size customers (sizes 2X and above) comprised approximately 45% of active customers but generated approximately 63% of active customer sales, reflecting higher order frequency and larger average order values. The Company’s proprietary fit blocks and specialized size grading expertise are the foundational capability driving these economics: initial fit satisfaction — particularly at the most extended sizes where alternatives are fewest — drives repeat purchasing, multi-brand adoption and multi-category engagement over time. Customers who have purchased four or more times over their lifetime accounted for approximately 91% of active customer sales in fiscal 2025. The Company’s continued investment in its extensive size offering reinforces customer loyalty, particularly among its highest-value extended plus-size customers for whom the Company’s depth of sizing is difficult to find elsewhere. </w:t>
      </w:r>
    </w:p>
    <w:p>
      <w:pPr>
        <w:pStyle w:val="TextBody"/>
        <w:bidi w:val="0"/>
        <w:spacing w:before="240" w:after="0"/>
        <w:jc w:val="left"/>
        <w:rPr>
          <w:rFonts w:ascii="Times New Roman" w:hAnsi="Times New Roman"/>
          <w:sz w:val="20"/>
        </w:rPr>
      </w:pPr>
      <w:r>
        <w:rPr>
          <w:rFonts w:ascii="Times New Roman" w:hAnsi="Times New Roman"/>
          <w:sz w:val="20"/>
        </w:rPr>
        <w:t xml:space="preserve">The Company further supports retention and purchase frequency through its private label and co-branded credit card programs and its membership rewards program, which drive higher average order values and reinforce habitual brand engagement. Customers who purchase across product categories — combining apparel with intimates, swimwear, footwear and home décor — generate meaningfully higher lifetime value than single-category purchasers, and the Company’s broad assortment across its brand portfolio is structured to capture this multi-category dynamic.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Industry and Sector Context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remains highly promotional, with persistent traffic volatility and elevated customer acquisition costs in the print and digital channels. Consumers across income cohorts demonstrated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sensitivity, with discretionary categories such as apparel facing uneven demand. While difficult to quantify, we believe that the increased availability and acceptance of GLP-1 medications has also negatively impacted demand. At the same time, the Company’s broad size offering — spanning an exceptionally wide range of sizes across its brand portfolio — and its proprietary fit expertise position it to serve customers across a range of sizing needs, including those whose size requirements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In the plus-size segment, structural demand drivers remain intact, including limited specialty competition and strong customer loyalty. At the same time, competitive intensity from mass retailers, third-party marketplaces and digitally native brands continues to characterize the plus-size apparel environment. The Company’s response is grounded in capabilities that we believe are difficult for generalist competitors to replicate at comparable scale — proprietary fit expertise, a substantially exclusive product assortment, a multi-brand platform serving distinct demographics, and a data-driven marketing model built specifically for the plus-size customer — and notably, at a moment when some competitors have moderated their commitment to this demographic in response to health and wellness trends including GLP-1 adoption, the Company has deepened its focus and investment here. That strategic conviction is further evidenced by the pending combination with Destination XL Group, which would create the largest direct-to-consumer platform dedicated to the plus-size, extended plus-size and big &amp; tall market. The Company believes this combination of capabilities and strategic commitment positions it favorably within this environment — operating more than 15 owned and licensed primary brands, purpose-built to serve the plus-size, extended plus-size and big &amp; tall customer across a comprehensive range of sizes, styles and lifestyle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Outlook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Looking ahead, the Company continues to monitor developments in U.S. trade policy and the broader macroeconomic environment. Recent legal challenges to the use of the International Emergency Economic Powers Act (“IEEPA”) as authority for broad tariff actions have introduced significant uncertainty into U.S. trade policy. The U.S. Supreme Court’s February 20, 2026 ruling that certain tariffs imposed under IEEPA were unlawful removed IEEPA as authority for those actions and prompted the administration to pursue alternative statutory authorities, contributing to a period of significant change in U.S. trade policy. The process for obtaining refunds of previously paid IEEPA tariffs has commenced, and the Company recognized its $5.3 million claim during the second quarter of fiscal 2026 and had received $3.7 million in cash as of August 20, 2026. In addition, on May 7, 2026, the U.S. Court of International Trade ruled that the 10% global tariff imposed under Section 122 of the Trade Act of 1974 was unlawful. Although the refund process associated with that ruling remains uncertain and further judicial review may continue, the Section 122 tariffs expired on July 24, 2026, and were replaced by a new tariff regime implemented under Section 301 of the Trade Act of 1974. The new Section 301 tariffs, which generally became effective on July 24, 2026, impose additional duties on imports from numerous trading partners and provide a more durable legal framework than the previously challenged IEEPA and Section 122 measures. </w:t>
      </w:r>
    </w:p>
    <w:p>
      <w:pPr>
        <w:pStyle w:val="TextBody"/>
        <w:bidi w:val="0"/>
        <w:spacing w:before="240" w:after="0"/>
        <w:jc w:val="left"/>
        <w:rPr>
          <w:rFonts w:ascii="Times New Roman" w:hAnsi="Times New Roman"/>
          <w:sz w:val="20"/>
        </w:rPr>
      </w:pPr>
      <w:r>
        <w:rPr>
          <w:rFonts w:ascii="Times New Roman" w:hAnsi="Times New Roman"/>
          <w:sz w:val="20"/>
        </w:rPr>
        <w:t xml:space="preserve">As a result, while some uncertainty surrounding the legal basis for prior tariffs has been reduced, uncertainty regarding the magnitude, duration and ultimate impact of U.S. trade policy on sourcing costs, supply chains and consumer prices remains. The Company is currently evaluating the potential impact of the newly implemented Section 301 tariffs on its merchandise costs, sourcing strategies and financial results, while continuing to assess opportunities to mitigate those impacts through vendor negotiations, sourcing initiatives and pricing actions where appropriate. At the same time, the Company remains attentive to broader geopolitical uncertainties, which have the potential to disrupt global shipping, energy markets and consumer confidence. These and other macroeconomic pressures, including inflation, tariffs, interest rates and discretionary spending patterns, could continue to influence demand, merchandise costs and profitability across the apparel sector. </w:t>
      </w:r>
    </w:p>
    <w:p>
      <w:pPr>
        <w:pStyle w:val="TextBody"/>
        <w:bidi w:val="0"/>
        <w:spacing w:before="240" w:after="0"/>
        <w:jc w:val="left"/>
        <w:rPr>
          <w:rFonts w:ascii="Times New Roman" w:hAnsi="Times New Roman"/>
          <w:sz w:val="20"/>
        </w:rPr>
      </w:pPr>
      <w:r>
        <w:rPr>
          <w:rFonts w:ascii="Times New Roman" w:hAnsi="Times New Roman"/>
          <w:sz w:val="20"/>
        </w:rPr>
        <w:t xml:space="preserve">Beyond near-term macroeconomic considerations, the Company’s forward outlook is grounded in the structural characteristics of the plus-size and extended plus-size market — a large, historically underserved demographic that we believe continues to represent a meaningful and durable growth opportunity for operators with the scale,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fit expertise and brand portfolio to serve it comprehensively. The Company believes that the structural demand dynamics of this market, combined with its platform capabilities and deepened commitment to the plus-size customer, position it to generate long-term growth as near-term headwinds moderate.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model — spanning sourcing, merchandising, technology, fulfillment and customer care across its brand portfolio — is designed to support operating leverage as revenue trends improve. Because a significant portion of the Company’s platform infrastructure costs are fixed, changes in revenue can have a disproportionate impact on Adjusted EBITDA and operating cash flow, both positively and negatively. The same fixed-cost characteristic that has compressed Adjusted EBITDA margin during the current period of revenue decline is the characteristic that would support margin recovery if net sales stabilize and return to growth. The Company believes its existing platform capabilities provide a foundation to support improved operating leverage if revenue stabilizes and returns to growth. Conversely, continued pressure on net sales may result in further fixed cost deleverage and adversely affect operating margins. Against this backdrop, the Company’s strategic positioning provides the Company with flexibility to pursue its long-term strategy. Its multi-brand platform, proprietary fit expertise, data-driven marketing capabilities, and expanding marketplace distribution collectively represent the Company’s foundation for potentially capturing the structural growth opportunity within the plus-size and extended plus-size market. The Company’s capital-efficient operating model, weighted toward core replenishment styles and a centralized shared-services infrastructure, provides operational flexibility to manage through near-term uncertainty while sustaining investment in the capabilities that drive long-term customer acquisition, retention and lifetime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fiscal year is a 52-week or 53-week period ending on the Saturday closest to December 31. Fiscal 2025 was a 53-week period, fiscal 2024 was a 52-week period and fiscal 2023 was a 52-week period. </w:t>
      </w:r>
    </w:p>
    <w:p>
      <w:pPr>
        <w:pStyle w:val="TextBody"/>
        <w:bidi w:val="0"/>
        <w:spacing w:before="360" w:after="0"/>
        <w:jc w:val="left"/>
        <w:rPr>
          <w:rFonts w:ascii="Times New Roman" w:hAnsi="Times New Roman"/>
          <w:b/>
          <w:sz w:val="20"/>
        </w:rPr>
      </w:pPr>
      <w:r>
        <w:rPr>
          <w:rFonts w:ascii="Times New Roman" w:hAnsi="Times New Roman"/>
          <w:b/>
          <w:sz w:val="20"/>
        </w:rPr>
        <w:t xml:space="preserve">Quarter ended July 4, 2026 Compared to Quarter ended June 28, 2025 </w:t>
      </w:r>
    </w:p>
    <w:p>
      <w:pPr>
        <w:pStyle w:val="TextBody"/>
        <w:bidi w:val="0"/>
        <w:spacing w:before="120" w:after="0"/>
        <w:jc w:val="left"/>
        <w:rPr>
          <w:rFonts w:ascii="Times New Roman" w:hAnsi="Times New Roman"/>
          <w:sz w:val="20"/>
        </w:rPr>
      </w:pPr>
      <w:r>
        <w:rPr>
          <w:rFonts w:ascii="Times New Roman" w:hAnsi="Times New Roman"/>
          <w:b/>
          <w:i/>
          <w:sz w:val="20"/>
        </w:rPr>
        <w:t>Executive 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Results for the second quarter (thirteen weeks) of fiscal 2026 reflect continued pressure on discretionary apparel demand amid an uncertain macroeconomic environment, including elevated tariff volatility and higher customer acquisition costs. Within this context, the Company remained focused on controlling the operating levers available to it – inventory management, marketing efficiency, pricing discipline, and conversion optimization – prioritizing profitability over the defense of sales volume. </w:t>
      </w:r>
    </w:p>
    <w:p>
      <w:pPr>
        <w:pStyle w:val="TextBody"/>
        <w:bidi w:val="0"/>
        <w:spacing w:before="240" w:after="0"/>
        <w:jc w:val="left"/>
        <w:rPr>
          <w:rFonts w:ascii="Times New Roman" w:hAnsi="Times New Roman"/>
          <w:sz w:val="20"/>
        </w:rPr>
      </w:pPr>
      <w:r>
        <w:rPr>
          <w:rFonts w:ascii="Times New Roman" w:hAnsi="Times New Roman"/>
          <w:sz w:val="20"/>
        </w:rPr>
        <w:t xml:space="preserve">Net sales declined in the second quarter of 2026, compared to the second quarter of 2025, reflecting lower demand and reduced marketing investment, particularly in print channels, as the Company adjusted spend in response to prior period inefficiencies and changing customer behavior. </w:t>
      </w:r>
    </w:p>
    <w:p>
      <w:pPr>
        <w:pStyle w:val="TextBody"/>
        <w:bidi w:val="0"/>
        <w:spacing w:before="240" w:after="0"/>
        <w:jc w:val="left"/>
        <w:rPr>
          <w:rFonts w:ascii="Times New Roman" w:hAnsi="Times New Roman"/>
          <w:sz w:val="20"/>
        </w:rPr>
      </w:pPr>
      <w:r>
        <w:rPr>
          <w:rFonts w:ascii="Times New Roman" w:hAnsi="Times New Roman"/>
          <w:sz w:val="20"/>
        </w:rPr>
        <w:t xml:space="preserve">Profitability in the second quarter was negatively impacted by lower sales volume, underlying gross margin pressure, excluding the benefit of IEEPA tariff refunds, and fixed cost deleverage, partially offset by reductions in marketing expense and ongoing cost management initiatives. The headwinds affecting the second quarter of fiscal 2026 reflect the same factors described in Outlook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cost management absorbed a substantial portion of the resulting gross profit decline. Gross profit decreased $17.4 million and selling, general and administrative expenses decreased $14.2 million, or approximately 13.7%, in the second quarter of fiscal 2026 relative to the prior-year quarter. Adjusted EBITDA of $12.3 million compared to $15.6 million in the prior-year quarter — a decline of $3.3 million on a $30.5 million decline in net sales — and improved from the first quarter of fiscal 2026.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92"/>
        <w:gridCol w:w="316"/>
        <w:gridCol w:w="191"/>
        <w:gridCol w:w="773"/>
        <w:gridCol w:w="380"/>
        <w:gridCol w:w="252"/>
        <w:gridCol w:w="191"/>
        <w:gridCol w:w="776"/>
        <w:gridCol w:w="275"/>
        <w:gridCol w:w="231"/>
        <w:gridCol w:w="214"/>
        <w:gridCol w:w="859"/>
        <w:gridCol w:w="422"/>
        <w:gridCol w:w="260"/>
        <w:gridCol w:w="214"/>
        <w:gridCol w:w="862"/>
        <w:gridCol w:w="280"/>
      </w:tblGrid>
      <w:tr>
        <w:trPr/>
        <w:tc>
          <w:tcPr>
            <w:tcW w:w="2892"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2563" w:type="dxa"/>
            <w:gridSpan w:val="6"/>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831" w:type="dxa"/>
            <w:gridSpan w:val="6"/>
            <w:tcBorders/>
            <w:vAlign w:val="bottom"/>
          </w:tcPr>
          <w:p>
            <w:pPr>
              <w:pStyle w:val="TableContents"/>
              <w:bidi w:val="0"/>
              <w:spacing w:before="0" w:after="283"/>
              <w:jc w:val="center"/>
              <w:rPr>
                <w:b/>
              </w:rPr>
            </w:pPr>
            <w:r>
              <w:rPr>
                <w:b/>
              </w:rPr>
              <w:t>Twenty-Six Weeks Ended</w:t>
            </w:r>
          </w:p>
        </w:tc>
        <w:tc>
          <w:tcPr>
            <w:tcW w:w="280" w:type="dxa"/>
            <w:tcBorders/>
            <w:vAlign w:val="bottom"/>
          </w:tcPr>
          <w:p>
            <w:pPr>
              <w:pStyle w:val="TableContents"/>
              <w:bidi w:val="0"/>
              <w:spacing w:before="0" w:after="283"/>
              <w:jc w:val="left"/>
              <w:rPr/>
            </w:pPr>
            <w:r>
              <w:rPr/>
              <w:t> </w:t>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July 4, </w:t>
            </w:r>
            <w:r>
              <w:rPr/>
              <w:br/>
            </w:r>
            <w:r>
              <w:rPr>
                <w:b/>
              </w:rPr>
              <w:t>2026</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July 4, </w:t>
            </w:r>
            <w:r>
              <w:rPr/>
              <w:br/>
            </w:r>
            <w:r>
              <w:rPr>
                <w:b/>
              </w:rPr>
              <w:t>2026</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280" w:type="dxa"/>
            <w:tcBorders/>
            <w:vAlign w:val="bottom"/>
          </w:tcPr>
          <w:p>
            <w:pPr>
              <w:pStyle w:val="TableContents"/>
              <w:bidi w:val="0"/>
              <w:spacing w:before="0" w:after="283"/>
              <w:jc w:val="left"/>
              <w:rPr/>
            </w:pPr>
            <w:r>
              <w:rPr/>
              <w:t> </w:t>
            </w:r>
          </w:p>
        </w:tc>
      </w:tr>
      <w:tr>
        <w:trPr/>
        <w:tc>
          <w:tcPr>
            <w:tcW w:w="2892"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4142" w:type="dxa"/>
            <w:gridSpan w:val="10"/>
            <w:tcBorders/>
            <w:vAlign w:val="bottom"/>
          </w:tcPr>
          <w:p>
            <w:pPr>
              <w:pStyle w:val="TableContents"/>
              <w:bidi w:val="0"/>
              <w:spacing w:before="0" w:after="20"/>
              <w:jc w:val="center"/>
              <w:rPr>
                <w:rFonts w:ascii="Times New Roman" w:hAnsi="Times New Roman"/>
                <w:i/>
                <w:sz w:val="16"/>
              </w:rPr>
            </w:pPr>
            <w:r>
              <w:rPr>
                <w:rFonts w:ascii="Times New Roman" w:hAnsi="Times New Roman"/>
                <w:i/>
                <w:sz w:val="16"/>
              </w:rPr>
              <w:t>(in millions, except percentage</w:t>
              <w:br/>
              <w:t>of net sales data)</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160.6</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776" w:type="dxa"/>
            <w:tcBorders/>
            <w:shd w:fill="CCEEFF" w:val="clear"/>
            <w:vAlign w:val="bottom"/>
          </w:tcPr>
          <w:p>
            <w:pPr>
              <w:pStyle w:val="TableContents"/>
              <w:bidi w:val="0"/>
              <w:spacing w:before="0" w:after="283"/>
              <w:jc w:val="right"/>
              <w:rPr/>
            </w:pPr>
            <w:r>
              <w:rPr/>
              <w:t>191.1</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311.7</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360.6</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(3.1</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(29.6</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(14.3</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12.3</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7.3</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17.7</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63.0</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62.0</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61.0</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61.7</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55.6</w:t>
            </w:r>
          </w:p>
        </w:tc>
        <w:tc>
          <w:tcPr>
            <w:tcW w:w="38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54.1</w:t>
            </w:r>
          </w:p>
        </w:tc>
        <w:tc>
          <w:tcPr>
            <w:tcW w:w="27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59.3</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57.4</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7.6</w:t>
            </w:r>
          </w:p>
        </w:tc>
        <w:tc>
          <w:tcPr>
            <w:tcW w:w="38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8.2</w:t>
            </w:r>
          </w:p>
        </w:tc>
        <w:tc>
          <w:tcPr>
            <w:tcW w:w="27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2.3</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4.9</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2892" w:type="dxa"/>
            <w:tcBorders/>
            <w:vAlign w:val="center"/>
          </w:tcPr>
          <w:p>
            <w:pPr>
              <w:pStyle w:val="TableContents"/>
              <w:bidi w:val="0"/>
              <w:spacing w:before="0" w:after="283"/>
              <w:jc w:val="left"/>
              <w:rPr>
                <w:sz w:val="4"/>
                <w:szCs w:val="4"/>
              </w:rPr>
            </w:pPr>
            <w:r>
              <w:rPr>
                <w:sz w:val="4"/>
                <w:szCs w:val="4"/>
              </w:rPr>
            </w:r>
          </w:p>
        </w:tc>
        <w:tc>
          <w:tcPr>
            <w:tcW w:w="1660" w:type="dxa"/>
            <w:gridSpan w:val="4"/>
            <w:tcBorders/>
            <w:vAlign w:val="center"/>
          </w:tcPr>
          <w:p>
            <w:pPr>
              <w:pStyle w:val="TableContents"/>
              <w:bidi w:val="0"/>
              <w:spacing w:before="0" w:after="283"/>
              <w:jc w:val="left"/>
              <w:rPr>
                <w:sz w:val="4"/>
                <w:szCs w:val="4"/>
              </w:rPr>
            </w:pPr>
            <w:r>
              <w:rPr>
                <w:sz w:val="4"/>
                <w:szCs w:val="4"/>
              </w:rPr>
            </w:r>
          </w:p>
        </w:tc>
        <w:tc>
          <w:tcPr>
            <w:tcW w:w="1494"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1616" w:type="dxa"/>
            <w:gridSpan w:val="4"/>
            <w:tcBorders/>
            <w:vAlign w:val="center"/>
          </w:tcPr>
          <w:p>
            <w:pPr>
              <w:pStyle w:val="TableContents"/>
              <w:bidi w:val="0"/>
              <w:spacing w:before="0" w:after="283"/>
              <w:jc w:val="left"/>
              <w:rPr>
                <w:sz w:val="4"/>
                <w:szCs w:val="4"/>
              </w:rPr>
            </w:pPr>
            <w:r>
              <w:rPr>
                <w:sz w:val="4"/>
                <w:szCs w:val="4"/>
              </w:rPr>
            </w:r>
          </w:p>
        </w:tc>
      </w:tr>
      <w:tr>
        <w:trPr/>
        <w:tc>
          <w:tcPr>
            <w:tcW w:w="2892"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(27.6</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(8.9</w:t>
            </w:r>
          </w:p>
        </w:tc>
        <w:tc>
          <w:tcPr>
            <w:tcW w:w="280" w:type="dxa"/>
            <w:tcBorders/>
            <w:shd w:fill="CCEEFF" w:val="clear"/>
            <w:vAlign w:val="bottom"/>
          </w:tcPr>
          <w:p>
            <w:pPr>
              <w:pStyle w:val="TableContents"/>
              <w:bidi w:val="0"/>
              <w:spacing w:before="0" w:after="283"/>
              <w:jc w:val="left"/>
              <w:rPr/>
            </w:pPr>
            <w:r>
              <w:rPr/>
              <w:t>) </w:t>
            </w:r>
          </w:p>
        </w:tc>
      </w:tr>
      <w:tr>
        <w:trPr/>
        <w:tc>
          <w:tcPr>
            <w:tcW w:w="2892"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31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77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(4.1</w:t>
            </w:r>
          </w:p>
        </w:tc>
        <w:tc>
          <w:tcPr>
            <w:tcW w:w="42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2" w:type="dxa"/>
            <w:tcBorders/>
            <w:vAlign w:val="bottom"/>
          </w:tcPr>
          <w:p>
            <w:pPr>
              <w:pStyle w:val="TableContents"/>
              <w:bidi w:val="0"/>
              <w:spacing w:before="0" w:after="283"/>
              <w:jc w:val="right"/>
              <w:rPr/>
            </w:pPr>
            <w:r>
              <w:rPr/>
              <w:t>(4.4</w:t>
            </w:r>
          </w:p>
        </w:tc>
        <w:tc>
          <w:tcPr>
            <w:tcW w:w="280" w:type="dxa"/>
            <w:tcBorders/>
            <w:vAlign w:val="bottom"/>
          </w:tcPr>
          <w:p>
            <w:pPr>
              <w:pStyle w:val="TableContents"/>
              <w:bidi w:val="0"/>
              <w:spacing w:before="0" w:after="283"/>
              <w:jc w:val="left"/>
              <w:rPr/>
            </w:pPr>
            <w:r>
              <w:rPr/>
              <w:t>) </w:t>
            </w:r>
          </w:p>
        </w:tc>
      </w:tr>
      <w:tr>
        <w:trPr/>
        <w:tc>
          <w:tcPr>
            <w:tcW w:w="2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provided by (used in) financing activities</w:t>
            </w:r>
          </w:p>
        </w:tc>
        <w:tc>
          <w:tcPr>
            <w:tcW w:w="31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77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23.5</w:t>
            </w:r>
          </w:p>
        </w:tc>
        <w:tc>
          <w:tcPr>
            <w:tcW w:w="42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2" w:type="dxa"/>
            <w:tcBorders/>
            <w:shd w:fill="CCEEFF" w:val="clear"/>
            <w:vAlign w:val="bottom"/>
          </w:tcPr>
          <w:p>
            <w:pPr>
              <w:pStyle w:val="TableContents"/>
              <w:bidi w:val="0"/>
              <w:spacing w:before="0" w:after="283"/>
              <w:jc w:val="right"/>
              <w:rPr/>
            </w:pPr>
            <w:r>
              <w:rPr/>
              <w:t>(4.0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i/>
          <w:sz w:val="20"/>
        </w:rPr>
        <w:t>Net Sales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1"/>
        <w:gridCol w:w="95"/>
        <w:gridCol w:w="140"/>
        <w:gridCol w:w="823"/>
        <w:gridCol w:w="60"/>
        <w:gridCol w:w="95"/>
        <w:gridCol w:w="60"/>
        <w:gridCol w:w="580"/>
        <w:gridCol w:w="275"/>
        <w:gridCol w:w="95"/>
        <w:gridCol w:w="140"/>
        <w:gridCol w:w="823"/>
        <w:gridCol w:w="60"/>
        <w:gridCol w:w="95"/>
        <w:gridCol w:w="60"/>
        <w:gridCol w:w="580"/>
        <w:gridCol w:w="275"/>
        <w:gridCol w:w="95"/>
        <w:gridCol w:w="140"/>
        <w:gridCol w:w="823"/>
        <w:gridCol w:w="60"/>
        <w:gridCol w:w="95"/>
        <w:gridCol w:w="60"/>
        <w:gridCol w:w="580"/>
        <w:gridCol w:w="275"/>
        <w:gridCol w:w="95"/>
        <w:gridCol w:w="140"/>
        <w:gridCol w:w="823"/>
        <w:gridCol w:w="59"/>
        <w:gridCol w:w="60"/>
        <w:gridCol w:w="60"/>
        <w:gridCol w:w="580"/>
        <w:gridCol w:w="303"/>
      </w:tblGrid>
      <w:tr>
        <w:trPr/>
        <w:tc>
          <w:tcPr>
            <w:tcW w:w="1701"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r>
      <w:tr>
        <w:trPr/>
        <w:tc>
          <w:tcPr>
            <w:tcW w:w="1701"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886" w:type="dxa"/>
            <w:gridSpan w:val="14"/>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850" w:type="dxa"/>
            <w:gridSpan w:val="14"/>
            <w:tcBorders/>
            <w:vAlign w:val="bottom"/>
          </w:tcPr>
          <w:p>
            <w:pPr>
              <w:pStyle w:val="TableContents"/>
              <w:bidi w:val="0"/>
              <w:spacing w:before="0" w:after="283"/>
              <w:jc w:val="center"/>
              <w:rPr>
                <w:b/>
              </w:rPr>
            </w:pPr>
            <w:r>
              <w:rPr>
                <w:b/>
              </w:rPr>
              <w:t>Twenty-Six Weeks Ended</w:t>
            </w:r>
          </w:p>
        </w:tc>
        <w:tc>
          <w:tcPr>
            <w:tcW w:w="303" w:type="dxa"/>
            <w:tcBorders/>
            <w:vAlign w:val="bottom"/>
          </w:tcPr>
          <w:p>
            <w:pPr>
              <w:pStyle w:val="TableContents"/>
              <w:bidi w:val="0"/>
              <w:spacing w:before="0" w:after="283"/>
              <w:jc w:val="left"/>
              <w:rPr/>
            </w:pPr>
            <w:r>
              <w:rPr/>
              <w:t> </w:t>
            </w:r>
          </w:p>
        </w:tc>
      </w:tr>
      <w:tr>
        <w:trPr/>
        <w:tc>
          <w:tcPr>
            <w:tcW w:w="1701" w:type="dxa"/>
            <w:tcBorders/>
            <w:vAlign w:val="bottom"/>
          </w:tcPr>
          <w:p>
            <w:pPr>
              <w:pStyle w:val="TableContents"/>
              <w:bidi w:val="0"/>
              <w:spacing w:before="0" w:after="283"/>
              <w:jc w:val="left"/>
              <w:rPr>
                <w:i/>
              </w:rPr>
            </w:pPr>
            <w:r>
              <w:rPr>
                <w:i/>
              </w:rPr>
              <w:t>(in thousands)</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303" w:type="dxa"/>
            <w:tcBorders/>
            <w:vAlign w:val="bottom"/>
          </w:tcPr>
          <w:p>
            <w:pPr>
              <w:pStyle w:val="TableContents"/>
              <w:bidi w:val="0"/>
              <w:spacing w:before="0" w:after="283"/>
              <w:jc w:val="left"/>
              <w:rPr/>
            </w:pPr>
            <w:r>
              <w:rPr/>
              <w:t> </w:t>
            </w:r>
          </w:p>
        </w:tc>
      </w:tr>
      <w:tr>
        <w:trPr/>
        <w:tc>
          <w:tcPr>
            <w:tcW w:w="1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133,706</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83.3</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160,894</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84.2</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259,263</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83.2</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300,799</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83.5</w:t>
            </w:r>
          </w:p>
        </w:tc>
        <w:tc>
          <w:tcPr>
            <w:tcW w:w="303" w:type="dxa"/>
            <w:tcBorders/>
            <w:shd w:fill="CCEEFF" w:val="clear"/>
            <w:vAlign w:val="bottom"/>
          </w:tcPr>
          <w:p>
            <w:pPr>
              <w:pStyle w:val="TableContents"/>
              <w:bidi w:val="0"/>
              <w:spacing w:before="0" w:after="283"/>
              <w:jc w:val="left"/>
              <w:rPr/>
            </w:pPr>
            <w:r>
              <w:rPr>
                <w:i/>
              </w:rPr>
              <w:t>%</w:t>
            </w: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19,612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12.2</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21,872</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11.4</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38,341</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12.3</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44,141</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12.2</w:t>
            </w:r>
          </w:p>
        </w:tc>
        <w:tc>
          <w:tcPr>
            <w:tcW w:w="303" w:type="dxa"/>
            <w:tcBorders/>
            <w:vAlign w:val="bottom"/>
          </w:tcPr>
          <w:p>
            <w:pPr>
              <w:pStyle w:val="TableContents"/>
              <w:bidi w:val="0"/>
              <w:spacing w:before="0" w:after="283"/>
              <w:jc w:val="left"/>
              <w:rPr/>
            </w:pPr>
            <w:r>
              <w:rPr>
                <w:i/>
              </w:rPr>
              <w:t>%</w:t>
            </w:r>
            <w:r>
              <w:rPr/>
              <w:t> </w:t>
            </w:r>
          </w:p>
        </w:tc>
      </w:tr>
      <w:tr>
        <w:trPr/>
        <w:tc>
          <w:tcPr>
            <w:tcW w:w="1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7,257</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4.5</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8,331</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4.4</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14,145</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4.5</w:t>
            </w:r>
          </w:p>
        </w:tc>
        <w:tc>
          <w:tcPr>
            <w:tcW w:w="275" w:type="dxa"/>
            <w:tcBorders/>
            <w:shd w:fill="CCEEFF" w:val="clear"/>
            <w:vAlign w:val="bottom"/>
          </w:tcPr>
          <w:p>
            <w:pPr>
              <w:pStyle w:val="TableContents"/>
              <w:bidi w:val="0"/>
              <w:spacing w:before="0" w:after="283"/>
              <w:jc w:val="left"/>
              <w:rPr/>
            </w:pPr>
            <w:r>
              <w:rPr>
                <w:i/>
              </w:rPr>
              <w:t>%</w:t>
            </w: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15,640</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i/>
              </w:rPr>
            </w:pPr>
            <w:r>
              <w:rPr>
                <w:i/>
              </w:rPr>
              <w:t>4.3</w:t>
            </w:r>
          </w:p>
        </w:tc>
        <w:tc>
          <w:tcPr>
            <w:tcW w:w="303" w:type="dxa"/>
            <w:tcBorders/>
            <w:shd w:fill="CCEEFF" w:val="clear"/>
            <w:vAlign w:val="bottom"/>
          </w:tcPr>
          <w:p>
            <w:pPr>
              <w:pStyle w:val="TableContents"/>
              <w:bidi w:val="0"/>
              <w:spacing w:before="0" w:after="283"/>
              <w:jc w:val="left"/>
              <w:rPr/>
            </w:pPr>
            <w:r>
              <w:rPr>
                <w:i/>
              </w:rPr>
              <w:t>%</w:t>
            </w:r>
            <w:r>
              <w:rPr/>
              <w:t> </w:t>
            </w:r>
          </w:p>
        </w:tc>
      </w:tr>
      <w:tr>
        <w:trPr/>
        <w:tc>
          <w:tcPr>
            <w:tcW w:w="1701"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303" w:type="dxa"/>
            <w:tcBorders/>
            <w:vAlign w:val="center"/>
          </w:tcPr>
          <w:p>
            <w:pPr>
              <w:pStyle w:val="TableContents"/>
              <w:bidi w:val="0"/>
              <w:spacing w:before="0" w:after="283"/>
              <w:jc w:val="left"/>
              <w:rPr/>
            </w:pPr>
            <w:r>
              <w:rPr/>
              <w:t> </w:t>
            </w:r>
          </w:p>
        </w:tc>
      </w:tr>
      <w:tr>
        <w:trPr/>
        <w:tc>
          <w:tcPr>
            <w:tcW w:w="1701"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160,575</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191,097</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311,749</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275" w:type="dxa"/>
            <w:tcBorders/>
            <w:vAlign w:val="bottom"/>
          </w:tcPr>
          <w:p>
            <w:pPr>
              <w:pStyle w:val="TableContents"/>
              <w:bidi w:val="0"/>
              <w:spacing w:before="0" w:after="283"/>
              <w:jc w:val="left"/>
              <w:rPr/>
            </w:pPr>
            <w:r>
              <w:rPr>
                <w:i/>
              </w:rPr>
              <w:t>%</w:t>
            </w: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360,580</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i/>
              </w:rPr>
            </w:pPr>
            <w:r>
              <w:rPr>
                <w:i/>
              </w:rPr>
              <w:t>100.0</w:t>
            </w:r>
          </w:p>
        </w:tc>
        <w:tc>
          <w:tcPr>
            <w:tcW w:w="303" w:type="dxa"/>
            <w:tcBorders/>
            <w:vAlign w:val="bottom"/>
          </w:tcPr>
          <w:p>
            <w:pPr>
              <w:pStyle w:val="TableContents"/>
              <w:bidi w:val="0"/>
              <w:spacing w:before="0" w:after="283"/>
              <w:jc w:val="left"/>
              <w:rPr/>
            </w:pPr>
            <w:r>
              <w:rPr>
                <w:i/>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for the second quarter of 2026 were $160.6 million, compared to $191.1 million in the second quarter of 2025, representing a decrease of approximately 16.0%. For the first six months of 2026, net sales were $311.7 million, compared to $360.6 million for the first six months of 2025, representing a decrease of approximately 13.5%. Second quarter net sales increased sequentially from the first quarter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$133.7 million (83.3% of net sales) in the second quarter of 2026, compared to $160.9 million (84.2%) in the second quarter of 2025. For the first six months of 2026, Women’s net sales were $259.3 million (83.2% of net sales), compared to $300.8 million (83.5%)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Men’s net sales were $19.6 million (12.2% of net sales) in the second quarter of 2026, compared to $21.9 million (11.4% of net sales) in the second quarter of 2025. For the first six months of 2026, Men’s net sales were $38.3 million (12.3% of net sales), compared to $44.1 million (12.2% of net sales) for the first six months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2025. The Men’s business, anchored by KingSize, applies the Company’s proprietary fit expertise and exclusive assortment model to the big &amp; tall men’s demographic, operating within the Classic Mall platform infrastructure and entirely through direct channels. Home Décor net sales declined to $7.3 million (4.5% of net sales) in the second quarter of 2026 from $8.3 million (4.4%) in the second quarter of 2025. For the first six months of 2026, Home Décor net sales were $14.1 million (4.5% of net sales), compared to $15.6 million (4.3%) for the first six months of 2025.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w:t>
      </w:r>
    </w:p>
    <w:p>
      <w:pPr>
        <w:pStyle w:val="TextBody"/>
        <w:bidi w:val="0"/>
        <w:spacing w:before="240" w:after="0"/>
        <w:jc w:val="left"/>
        <w:rPr>
          <w:rFonts w:ascii="Times New Roman" w:hAnsi="Times New Roman"/>
          <w:sz w:val="20"/>
        </w:rPr>
      </w:pPr>
      <w:r>
        <w:rPr>
          <w:rFonts w:ascii="Times New Roman" w:hAnsi="Times New Roman"/>
          <w:sz w:val="20"/>
        </w:rPr>
        <w:t xml:space="preserve">The category mix remained relatively stable during both the second quarter and first six months of 2026, with Women’s continuing to represent the substantial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In the quarter, the Company moderated marketing investments in response to changing customer behavior and elevated acquisition costs. Marketing spend in the first six months was reduced by approximately 16% year over year, reflecting actions taken to improve marketing efficiency following lower returns in prior periods, particularly with print channels. As the Company laps the marketing investment reductions implemented during the second half of 2025, it expects year-over-year reductions in marketing investment to moderate in the second half of 2026.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prior periods, the Company believes that net sales performance during both the second quarter and first six months of 2026 was driven primarily by traffic and conversion dynamics rather than changes in pricing, as the Company maintained pricing discipline and did not materially increase promotional intensity. The Company’s ability to maintain that discipline reflects, in part, the proprietary and exclusive nature of its product assortment: because substantially all products are designed in-house and exclusive to its brands, customers cannot directly price-compare the Company’s offerings against competitors. The Company’s most engaged customers — those purchasing four or more times over their lifetime — continued to account for the substantial majority of active customer sales during the period, and the Company believes current net sales trends reflect top-of-funnel traffic and acquisition conditions rather than erosion of its established customer relationships.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for the second quarter of fiscal 2026 was $101.1 million, compared to $118.5 million in the prior year period. Gross margin was 63.0%, compared to 62.0% in the prior year period, representing an increase of approximately 100 basis points. For the first six months of fiscal 2026, gross profit was $190.1 million, compared to $222.3 million in the prior year period. Gross margin was 61.0%, compared to 61.7% in the prior year period, representing a decrease of approximately 70 basis points. </w:t>
      </w:r>
    </w:p>
    <w:p>
      <w:pPr>
        <w:pStyle w:val="TextBody"/>
        <w:bidi w:val="0"/>
        <w:spacing w:before="240" w:after="0"/>
        <w:jc w:val="left"/>
        <w:rPr>
          <w:rFonts w:ascii="Times New Roman" w:hAnsi="Times New Roman"/>
          <w:sz w:val="20"/>
        </w:rPr>
      </w:pPr>
      <w:r>
        <w:rPr>
          <w:rFonts w:ascii="Times New Roman" w:hAnsi="Times New Roman"/>
          <w:sz w:val="20"/>
        </w:rPr>
        <w:t xml:space="preserve">Gross margin during the second quarter was impacted by higher tariffs, changes in channel and product mix, lower private label credit income and higher shipping-related costs. These pressures were more than offset on a reported basis by the recognition of $5.3 million of refunds associated with tariffs previously paid under the International Emergency Economic Powers Act (“IEEPA”). IEEPA tariff refunds contributed approximately 330 basis points to gross margin in the second quarter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For the first six months of fiscal 2026, gross margin was negatively impacted by higher tariffs, changes in channel and product mix, lower private label credit income and higher shipping-related costs, partially offset by the impact of the IEEPA-related refunds recognized during the period. IEEPA tariff refunds contributed approximately 170 basis points to gross margin in the first six months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$89.3 million, or 55.6% of net sales, in the second quarter of 2026, compared to $103.5 million, or 54.1% of net sales, in the second quarter of 2025. For the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six months of 2026, SG&amp;A expenses were $184.8 million, or 59.3% of net sales, compared to $207.0 million, or 57.4% of net sales,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decreased by $14.2 million, or approximately 13.7%, in the second quarter of 2026, compared to the second quarter of 2025. The reductions reflect actions taken to align operating expenses with lower net sales levels. For the first six months of 2026, SG&amp;A expenses decreased by $22.2 million compared to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during both the second quarter and the first six months of 2026, reflecting fixed cost deleverage resulting from lower net sales, as expense reductions did not fully offset the impact of declining revenue. </w:t>
      </w:r>
    </w:p>
    <w:p>
      <w:pPr>
        <w:pStyle w:val="TextBody"/>
        <w:bidi w:val="0"/>
        <w:spacing w:before="240" w:after="0"/>
        <w:jc w:val="left"/>
        <w:rPr>
          <w:rFonts w:ascii="Times New Roman" w:hAnsi="Times New Roman"/>
          <w:sz w:val="20"/>
        </w:rPr>
      </w:pPr>
      <w:r>
        <w:rPr>
          <w:rFonts w:ascii="Times New Roman" w:hAnsi="Times New Roman"/>
          <w:sz w:val="20"/>
        </w:rPr>
        <w:t xml:space="preserve">Expense reductions in the period reflect both variable marketing actions and structural cost changes, including the offshore outsourcing of certain technology and other corporate functions executed during fiscal 2025, which the Company expects to continue to benefit SG&amp;A in fiscal 2026 and beyond. 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second quarter of 2026 was $3.0 million, as compared to $3.4 million in the second quarter of 2025. For the first six months of 2026, depreciation and amortization expense was $6.1 million, compared to $6.8 million for the first six months of 2025. The decrease in 2026 compared to 2025 primarily reflects lower amortization expense associated with the Avenue and Dia customer list intangible assets as a result of the higher amortization recognized in the earlier years of the assets’ useful lives.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the second quarter of 2026 were $0.6 million and $2.3 million in the first six months, primarily related to fees paid for professional services in connection with the Company’s pending Merger, compared to $0.0 million incurred during the same periods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did not record any impairments in the second quarter of 2026 nor the second quarter of 2025. For the first six months of fiscal 2026, the Company did not record any impairment charges, compared to $5.9 million of impairment charges related to certain tradenames during the first six months of fiscal 2025. The prior-year impairment charges were recognized during the first quarter of fiscal 2025. 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$11.0 million in the second quarter of 2026, compared to $9.4 million in the second quarter of 2025. For the first six months of 2026, interest expense, net, was $22.3 million, compared to $19.1 million for the first six months of 2025. The increase in 2026 compared to 2025 reflects higher average outstanding debt balances and changes in interest rates year-over-year. As described under Recent Developments — The Merger, the First Lien Term Loan is expected to be reduced by approximately $107 million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the second quarter of 2026 and 2025, the Company’s effective tax rate was (16.3%) and 12.8%, respectively. For the first six months of 2026 and 2025, the Company’s effective tax rate was also (16.3%) and 12.8%, respectively. The shift to a negative effective tax rate in both the second quarter and first six months of 2026 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the recoverability of its deferred tax assets on an ongoing basis. Any valuation allowance recorded is based on estimates and assumptions regarding future taxable income and a determination of the magnitude of deferred tax assets that are more likely than not to be realized. During fiscal 2025, the Company recorded a valuation allowance of $19.0 million against its deferred tax asset related to disallowed interest carryforwards. Over the past two years, the plus-size apparel sector has been adversely affected by general economic weakness, including higher interest rates and rising costs, which have reduced discretionary consumer spending. Consistent with these trends, the Company experienced declining revenue over the past two years, generated an operating loss in fiscal 2025, and continued to incur operating losses during the first six months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believes profitability will return over the longer term, management currently expects near-term operating performance to remain under pressure. Based on the weight of available evidence, including recent operating losses and current forecasts, management concluded that the negative evidence outweighed the available positive evidence regarding the realizability of the deferred tax asset related to disallowed interest carryforwards and, accordingly, recorded a valuation allowance. The Company will continue to monitor its tax position and reassess recognition of the deferred tax asset for disallowed interest carryforwards in subsequent reporting periods. If estimates and related assumptions change in future periods, the Company may be required to record additional valuation allowances against its deferred tax assets, which could increase the effective tax rate and materially adversely affect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$3.1 million in the second quarter of 2026, compared to net income of $1.9 million in the second quarter of 2025. For the first six months of 2026, the Company reported a net loss of $29.6 million, compared to a net loss of $14.3 million for the first six months of 2025. The year-over-year decrease in results for both the second quarter and first six months of 2026 reflects lower net sales and underlying gross margin compression in the current-year period, partially offset by $5.3 million of IEEPA-related tariff refunds recognized in cost of goods sold, combined with higher interest expense. The second quarter net loss narrowed substantially relative to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$12.3 million in the second quarter of 2026 from $15.6 million in the second quarter of 2025. For the first six months of 2026, Adjusted EBITDA was $7.3 million, compared to $17.7 million for the first six months of 2025.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declined to 7.6% in the second quarter of 2026, compared to 8.2% in the second quarter of 2025. For the first six months of 2026, Adjusted EBITDA margin was 2.3%, compared to 4.9% for the first six months of 2025. The margin compression reflects the declining net sales and operating expense deleverage partially offset by the impact of the IEEPA tariff refunds on reported gross margin.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non-cash charges and non-recurring items. Adjusted EBITDA of $12.3 million compared to $15.6 million in the prior-year quarter — a decline of $3.3 million on a $30.5 million decline in net sales — and improved from the first quarter of fiscal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January 3, 2026 Compared to Year Ended December 28, 2024 and Year Ended December 28, 2024 Compared to Year Ended December 30, 2023 </w:t>
      </w:r>
    </w:p>
    <w:p>
      <w:pPr>
        <w:pStyle w:val="TextBody"/>
        <w:bidi w:val="0"/>
        <w:spacing w:before="120" w:after="0"/>
        <w:jc w:val="left"/>
        <w:rPr>
          <w:rFonts w:ascii="Times New Roman" w:hAnsi="Times New Roman"/>
          <w:b/>
          <w:i/>
          <w:sz w:val="20"/>
        </w:rPr>
      </w:pPr>
      <w:r>
        <w:rPr>
          <w:rFonts w:ascii="Times New Roman" w:hAnsi="Times New Roman"/>
          <w:b/>
          <w:i/>
          <w:sz w:val="20"/>
        </w:rPr>
        <w:t xml:space="preserve">Executive Overview – Fiscal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19"/>
        <w:gridCol w:w="391"/>
        <w:gridCol w:w="176"/>
        <w:gridCol w:w="710"/>
        <w:gridCol w:w="349"/>
        <w:gridCol w:w="310"/>
        <w:gridCol w:w="176"/>
        <w:gridCol w:w="710"/>
        <w:gridCol w:w="349"/>
        <w:gridCol w:w="310"/>
        <w:gridCol w:w="176"/>
        <w:gridCol w:w="716"/>
        <w:gridCol w:w="280"/>
      </w:tblGrid>
      <w:tr>
        <w:trPr/>
        <w:tc>
          <w:tcPr>
            <w:tcW w:w="3919"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2023</w:t>
            </w:r>
          </w:p>
        </w:tc>
        <w:tc>
          <w:tcPr>
            <w:tcW w:w="280" w:type="dxa"/>
            <w:tcBorders/>
            <w:vAlign w:val="bottom"/>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3982" w:type="dxa"/>
            <w:gridSpan w:val="10"/>
            <w:tcBorders/>
            <w:vAlign w:val="bottom"/>
          </w:tcPr>
          <w:p>
            <w:pPr>
              <w:pStyle w:val="TableContents"/>
              <w:bidi w:val="0"/>
              <w:spacing w:before="0" w:after="283"/>
              <w:jc w:val="center"/>
              <w:rPr>
                <w:i/>
              </w:rPr>
            </w:pPr>
            <w:r>
              <w:rPr>
                <w:i/>
              </w:rPr>
              <w:t>(in millions, except percentage of net</w:t>
              <w:br/>
              <w:t>sales and per share data)</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720.3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805.1</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918.6</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(56.7</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0.5</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36.3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62.6</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82.7</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59.8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61.8</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55.4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53.4</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5.0</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9.0</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(11.2</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36.4</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77.3</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(8.1</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(23.4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(17.1</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financing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(53.5</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(31.3</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Fiscal 2025 results reflected a challenging year for the apparel sector, characterized by cautious consumer spending, digital traffic volatility, and heightened competitive intensity across online channels. As a digitally native plus-size retailer, the Company continued to serve a loyal and underserved customer base; however, macroeconomic pressures and softer discretionary demand weighed on overall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120" w:after="0"/>
        <w:jc w:val="left"/>
        <w:rPr>
          <w:rFonts w:ascii="Times New Roman" w:hAnsi="Times New Roman"/>
          <w:sz w:val="20"/>
        </w:rPr>
      </w:pPr>
      <w:r>
        <w:rPr>
          <w:rFonts w:ascii="Times New Roman" w:hAnsi="Times New Roman"/>
          <w:sz w:val="20"/>
        </w:rPr>
        <w:t xml:space="preserve">Net sales for fiscal 2025 were $720.3 million, compared to $805.1 million in fiscal 2024, representing a decline of approximately 10.5%. The decrease primarily reflects lower demand and reduced traffic across digital and print channels, as consumers moderated discretionary apparel spending amid ongoing inflationary pressures and economic uncertainty. While difficult to quantify, we believe that the increased availability and acceptance of GLP-1 medications also negatively impacted demand. At the same time, the Company’s broad size offering — spanning an exceptionally wide range of sizes across its brand portfolio — and its proprietary fit expertise position it to serve customers across a range of sizing needs, including those whose size requirements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As the broader apparel industry remained promotional, the Company maintained pricing discipline and while it did strategically lean into key item price points, the Company did not materially increase promotional intensity. The Company’s ability to maintain this discipline reflects, in part, the proprietary and exclusive nature of its product assortment. Because substantially all products are designed in-house and exclusive to its brands, customers cannot directly price-compare the Company’s offerings against competitors. This product exclusivity, combined with fit expertise and brand loyalty, supports the Company’s approach to margin management even during periods of elevated competitive intensity. As a result, we believe net sales trends were influenced more by traffic and conversion dynamics than by pricing actions. Within the plus-size segment, customers remained engaged with the brand’s differentiated fit, quality, and assortment; however, basket sizes and purchase frequency reflected more cautious spending behavior.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Profitability and Margins </w:t>
      </w:r>
    </w:p>
    <w:p>
      <w:pPr>
        <w:pStyle w:val="TextBody"/>
        <w:bidi w:val="0"/>
        <w:spacing w:before="120" w:after="0"/>
        <w:jc w:val="left"/>
        <w:rPr>
          <w:rFonts w:ascii="Times New Roman" w:hAnsi="Times New Roman"/>
          <w:sz w:val="20"/>
        </w:rPr>
      </w:pPr>
      <w:r>
        <w:rPr>
          <w:rFonts w:ascii="Times New Roman" w:hAnsi="Times New Roman"/>
          <w:sz w:val="20"/>
        </w:rPr>
        <w:t xml:space="preserve">Gross margin declined to 59.8% in fiscal 2025 from 62.7% in fiscal 2024. The decrease was primarily attributable to the impact of higher tariffs, changes in channel and product mix, lower private label credit income and higher shipping expenses. The Company did not materially increase promotional activity year-over-year, and margin performance reflects continued pricing discipline in a highly competitive online apparel environment. </w:t>
      </w:r>
    </w:p>
    <w:p>
      <w:pPr>
        <w:pStyle w:val="TextBody"/>
        <w:bidi w:val="0"/>
        <w:spacing w:before="240" w:after="0"/>
        <w:jc w:val="left"/>
        <w:rPr>
          <w:rFonts w:ascii="Times New Roman" w:hAnsi="Times New Roman"/>
          <w:sz w:val="20"/>
        </w:rPr>
      </w:pPr>
      <w:r>
        <w:rPr>
          <w:rFonts w:ascii="Times New Roman" w:hAnsi="Times New Roman"/>
          <w:sz w:val="20"/>
        </w:rPr>
        <w:t xml:space="preserve">Multi-brand customers — those engaged across more than one brand in the portfolio — represented approximately 21% of customers but generated approximately 45% of net sales in fiscal 2025, reflecting materially higher engagement per customer relative to single-brand shoppers. This dynamic represents a significant organic growth opportunity as the Company works to increase multi-brand penetration across its active customer base. If consummated, the pending combination with Destination XL Group is expected to extend this multi-brand customer engagement opportunity to the men’s big &amp; tall demographic by bringing KingSize and the DXL brands within a single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increased to 56.4% of net sales, compared to 55.4% in fiscal 2024. The increase as a percentage of net sales was primarily driven by fixed cost deleverage on lower revenue, including technology infrastructure, performance marketing, and corporate overhead. The Company continued to invest in digital platform optimization, customer analytics, and other initiatives intended to support long-term growth and customer retention. During fiscal 2025, the Company also executed a meaningful reduction in its technology cost structure through offshore outsourcing of certain technology and other corporate functions, capturing labor cost arbitrage that is expected to yield further SG&amp;A savings in fiscal 2026 and beyond.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reported a net loss of $56.7 million, compared to net income of $1.5 million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(Non-GAAP) decreased to $36.3 million, compared to $62.6 million in fiscal 2024, with margin compressing to 5.0% from 7.8%. The decline reflects the combined impact of lower net sales, gross profit pressure, and fixed cost deleverage.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Cash Flow </w:t>
      </w:r>
    </w:p>
    <w:p>
      <w:pPr>
        <w:pStyle w:val="TextBody"/>
        <w:bidi w:val="0"/>
        <w:spacing w:before="120" w:after="0"/>
        <w:jc w:val="left"/>
        <w:rPr>
          <w:rFonts w:ascii="Times New Roman" w:hAnsi="Times New Roman"/>
          <w:sz w:val="20"/>
        </w:rPr>
      </w:pPr>
      <w:r>
        <w:rPr>
          <w:rFonts w:ascii="Times New Roman" w:hAnsi="Times New Roman"/>
          <w:sz w:val="20"/>
        </w:rPr>
        <w:t xml:space="preserve">Liquidity metrics reflected the impact of reduced profitability and working capital dynamics. Net cash used in operating activities was $11.2 million in fiscal 2025, compared to generating $36.4 million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totaled $8.1 million, entirely used for capital expenditures while fiscal 2024 reflected investment activities of $23.4 million with $9.6 million used for capital expenditures and $13.8 million used as payment for the acquisitions of Dia and Avenue.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totaled $7.7 million, compared to $53.5 million in the prior year, primarily due to reduced voluntary paydown of the term loan in 2025 as compared to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prioritize balance sheet flexibility, disciplined inventory management, and controlled capital expenditures in light of ongoing macroeconomic uncertainty. The pending Merger, if consummated, is expected to materially strengthen FBB’s capital position. The approximately $107 million reduction in First Lien Term Loan principal through equity contributions and debt-for-equity exchanges, together with the extension of the remaining maturity to August 2029, is expected to reduce leverage, address the near-term refinancing maturity, and provide additional financial flexibility to support investment in the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or termination of the Merger Agreement. See Note 1 to our annual audited consolidated financial statements included elsewhere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2"/>
        <w:gridCol w:w="184"/>
        <w:gridCol w:w="160"/>
        <w:gridCol w:w="929"/>
        <w:gridCol w:w="60"/>
        <w:gridCol w:w="143"/>
        <w:gridCol w:w="60"/>
        <w:gridCol w:w="642"/>
        <w:gridCol w:w="276"/>
        <w:gridCol w:w="224"/>
        <w:gridCol w:w="160"/>
        <w:gridCol w:w="928"/>
        <w:gridCol w:w="60"/>
        <w:gridCol w:w="143"/>
        <w:gridCol w:w="60"/>
        <w:gridCol w:w="642"/>
        <w:gridCol w:w="276"/>
        <w:gridCol w:w="224"/>
        <w:gridCol w:w="160"/>
        <w:gridCol w:w="929"/>
        <w:gridCol w:w="60"/>
        <w:gridCol w:w="143"/>
        <w:gridCol w:w="60"/>
        <w:gridCol w:w="642"/>
        <w:gridCol w:w="288"/>
      </w:tblGrid>
      <w:tr>
        <w:trPr/>
        <w:tc>
          <w:tcPr>
            <w:tcW w:w="275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2752" w:type="dxa"/>
            <w:tcBorders/>
            <w:vAlign w:val="bottom"/>
          </w:tcPr>
          <w:p>
            <w:pPr>
              <w:pStyle w:val="TableContents"/>
              <w:bidi w:val="0"/>
              <w:spacing w:before="0" w:after="283"/>
              <w:jc w:val="left"/>
              <w:rPr>
                <w:i/>
              </w:rPr>
            </w:pPr>
            <w:r>
              <w:rPr>
                <w:i/>
              </w:rPr>
              <w:t>(in thousands)</w:t>
            </w:r>
          </w:p>
        </w:tc>
        <w:tc>
          <w:tcPr>
            <w:tcW w:w="18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r>
      <w:tr>
        <w:trPr/>
        <w:tc>
          <w:tcPr>
            <w:tcW w:w="27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8" w:type="dxa"/>
            <w:tcBorders/>
            <w:vAlign w:val="bottom"/>
          </w:tcPr>
          <w:p>
            <w:pPr>
              <w:pStyle w:val="TableContents"/>
              <w:bidi w:val="0"/>
              <w:spacing w:before="0" w:after="283"/>
              <w:jc w:val="left"/>
              <w:rPr/>
            </w:pPr>
            <w:r>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81.7</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81.8</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80.8</w:t>
            </w:r>
          </w:p>
        </w:tc>
        <w:tc>
          <w:tcPr>
            <w:tcW w:w="288" w:type="dxa"/>
            <w:tcBorders/>
            <w:shd w:fill="CCEEFF" w:val="clear"/>
            <w:vAlign w:val="bottom"/>
          </w:tcPr>
          <w:p>
            <w:pPr>
              <w:pStyle w:val="TableContents"/>
              <w:bidi w:val="0"/>
              <w:spacing w:before="0" w:after="283"/>
              <w:jc w:val="left"/>
              <w:rPr>
                <w:i/>
              </w:rPr>
            </w:pPr>
            <w:r>
              <w:rPr>
                <w:i/>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13.7</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13.1</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13.5</w:t>
            </w:r>
          </w:p>
        </w:tc>
        <w:tc>
          <w:tcPr>
            <w:tcW w:w="288" w:type="dxa"/>
            <w:tcBorders/>
            <w:vAlign w:val="bottom"/>
          </w:tcPr>
          <w:p>
            <w:pPr>
              <w:pStyle w:val="TableContents"/>
              <w:bidi w:val="0"/>
              <w:spacing w:before="0" w:after="283"/>
              <w:jc w:val="left"/>
              <w:rPr>
                <w:i/>
              </w:rPr>
            </w:pPr>
            <w:r>
              <w:rPr>
                <w:i/>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4.6</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5.1</w:t>
            </w:r>
          </w:p>
        </w:tc>
        <w:tc>
          <w:tcPr>
            <w:tcW w:w="276" w:type="dxa"/>
            <w:tcBorders/>
            <w:shd w:fill="CCEEFF" w:val="clear"/>
            <w:vAlign w:val="bottom"/>
          </w:tcPr>
          <w:p>
            <w:pPr>
              <w:pStyle w:val="TableContents"/>
              <w:bidi w:val="0"/>
              <w:spacing w:before="0" w:after="283"/>
              <w:jc w:val="left"/>
              <w:rPr>
                <w:i/>
              </w:rPr>
            </w:pPr>
            <w:r>
              <w:rPr>
                <w:i/>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i/>
              </w:rPr>
            </w:pPr>
            <w:r>
              <w:rPr>
                <w:i/>
              </w:rPr>
              <w:t>5.7</w:t>
            </w:r>
          </w:p>
        </w:tc>
        <w:tc>
          <w:tcPr>
            <w:tcW w:w="288" w:type="dxa"/>
            <w:tcBorders/>
            <w:shd w:fill="CCEEFF" w:val="clear"/>
            <w:vAlign w:val="bottom"/>
          </w:tcPr>
          <w:p>
            <w:pPr>
              <w:pStyle w:val="TableContents"/>
              <w:bidi w:val="0"/>
              <w:spacing w:before="0" w:after="283"/>
              <w:jc w:val="left"/>
              <w:rPr>
                <w:i/>
              </w:rPr>
            </w:pPr>
            <w:r>
              <w:rPr>
                <w:i/>
              </w:rPr>
              <w:t>% </w:t>
            </w:r>
          </w:p>
        </w:tc>
      </w:tr>
      <w:tr>
        <w:trPr/>
        <w:tc>
          <w:tcPr>
            <w:tcW w:w="275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76" w:type="dxa"/>
            <w:tcBorders/>
            <w:vAlign w:val="bottom"/>
          </w:tcPr>
          <w:p>
            <w:pPr>
              <w:pStyle w:val="TableContents"/>
              <w:bidi w:val="0"/>
              <w:spacing w:before="0" w:after="283"/>
              <w:jc w:val="left"/>
              <w:rPr>
                <w:i/>
              </w:rPr>
            </w:pPr>
            <w:r>
              <w:rPr>
                <w:i/>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i/>
              </w:rPr>
            </w:pPr>
            <w:r>
              <w:rPr>
                <w:i/>
              </w:rPr>
              <w:t>100.0</w:t>
            </w:r>
          </w:p>
        </w:tc>
        <w:tc>
          <w:tcPr>
            <w:tcW w:w="288" w:type="dxa"/>
            <w:tcBorders/>
            <w:vAlign w:val="bottom"/>
          </w:tcPr>
          <w:p>
            <w:pPr>
              <w:pStyle w:val="TableContents"/>
              <w:bidi w:val="0"/>
              <w:spacing w:before="0" w:after="283"/>
              <w:jc w:val="left"/>
              <w:rPr>
                <w:i/>
              </w:rPr>
            </w:pPr>
            <w:r>
              <w:rPr>
                <w:i/>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decreased to $720.3 million in fiscal 2025 from $805.1 million in fiscal 2024 and $918.6 million in fiscal 2023. The 10.5% decline in fiscal 2025 follows a 12.4% decline in fiscal 2024 compared to fiscal 2023, reflecting continued softness in demand.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$588.2 million (81.7% of net sales) in fiscal 2025, compared to $658.3 million (81.8%) in fiscal 2024 and $742.0 million (80.8%) in fiscal 2023. Men’s net sales were $98.4 million (13.7%) in fiscal 2025, compared to $105.8 million (13.1%) in fiscal 2024 and $123.8 million (13.5%) in fiscal 2023. The Men’s business, anchored by KingSize, applies the Company’s proprietary fit expertise and exclusive assortment model to the big &amp; tall men’s demographic, operating within the Classic Mall platform infrastructure. Home Décor net sales declined to $33.8 million (4.6%) in fiscal 2025 from $41.0 million (5.1%) in fiscal 2024 and $52.8 million (5.7%) in fiscal 2023.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The category mix has remained relatively stable, with Women’s continuing to represent the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revenue decline in both fiscal 2025 as compared to fiscal 2024 as well as fiscal 2024 as compared to fiscal 2023 reflects primarily the impact of reduced traffic and new customer acquisition headwinds rather than deterioration in its core customer relationships. The Company’s most engaged customers — those purchasing four or more times over their lifetime — continue to drive approximately 91% of active customer sales, and approximately 76% of active customers are multi-purchase buyers. These retention dynamics may suggest the Company’s brand loyalty and fit-driven customer relationships remain intact, with fiscal 2025 revenue performance more closely tied to top-of-funnel traffic and acquisition conditions than to meaningful erosion of its established customer base.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totaled approximately $430.5 million in fiscal 2025, compared to $504.4 million in fiscal 2024 and $567.6 million in fiscal 2023. Gross profit was 59.8% in fiscal 2025, compared to 62.7% in fiscal 2024 and 61.8% in fiscal 2023. The 290 basis point decline in fiscal 2025 compared to fiscal 2024 follows a 90 basis point increase in fiscal 2024 compared to fiscal 2023. The decline in 2025 was driven by a 190 basis point decrease in product margin as product mix and promotion pressure caused a decrease in selling price of 2.7% while tariffs contributed to an increase in average unit cost of 2.8%. Shipping costs per order were also up in 2025 due to an increase in split shipments. In 2024, the increase was a result of an 80 basis point increase in product margin due to lower product costs. The Company’s merchandise strategy, weighted toward core replenishment styles that carry over across seasons, is designed to reduce markdown exposure and support margin stability over time as transitory headwinds moderate.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$406.2 million, or 56.4% of net sales, in fiscal 2025, compared to $445.8 million, or 55.4% of net sales, in fiscal 2024 and $490.3 million, or 53.4% of net sales,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decreased by $39.6 million in fiscal 2025 compared to fiscal 2024 and decreased by $44.5 million in fiscal 2024 compared to fiscal 2023. The reductions reflect actions taken to align operating expenses with lower net sales levels.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to 56.4% in fiscal 2025 from 55.4% in fiscal 2024 and 53.4% in fiscal 2023. The increase in SG&amp;A as a percentage of net sales reflects fixed cost deleverage resulting from lower net sales, as expense reductions did not fully offset the impact of declining revenue.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pressure from fixed cost deleverage, the Company continued to make deliberate investments in capabilities central to its long-term platform strategy, including technology infrastructure supporting the Universal Cart and multi-brand cross-shopping, digital marketing analytics and customer lifetime value modeling, and ongoing product development in fit and proprietary design. During fiscal 2025, the Company also executed a meaningful reduction in its technology cost structure through offshore outsourcing of certain technology and other corporate functions, capturing labor cost arbitrage that is expected to yield further benefit to SG&amp;A in fiscal 2026 and beyond. The Company believes that maintaining investment in its core platform capabilities while actively managing its cost base positions it to capture operating leverage as demand stabilizes and revenue returns to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fiscal 2025 was $13.6 million, as compared to $12.1 million in fiscal 2024 and $14.4 million in fiscal 2023. The increase in fiscal 2025 compared to fiscal 2024 reflects the increase in capital expenditures in 2024 relative to 2023 generating more depreciation in 2025. The decrease in fiscal 2024 compared to fiscal 2023 reflects the decrease in amortization of the customer list intangible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fiscal 2025 were $4.8 million and primarily related to fees paid for professional services in connection with the Company’s pending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2025, the Company recorded $5.9 million of impairment charges related to intangible assets and $10.1 million of goodwill impairment. No impairment charges were recorded in fiscal 2024. In fiscal 2023, the Company recorded $14.8 million of impairment charges related to tradenames of $11.5 million and property, plant and equipment of $3.3 million. </w:t>
      </w:r>
    </w:p>
    <w:p>
      <w:pPr>
        <w:pStyle w:val="TextBody"/>
        <w:bidi w:val="0"/>
        <w:spacing w:before="240" w:after="0"/>
        <w:jc w:val="left"/>
        <w:rPr>
          <w:rFonts w:ascii="Times New Roman" w:hAnsi="Times New Roman"/>
          <w:sz w:val="20"/>
        </w:rPr>
      </w:pPr>
      <w:r>
        <w:rPr>
          <w:rFonts w:ascii="Times New Roman" w:hAnsi="Times New Roman"/>
          <w:sz w:val="20"/>
        </w:rPr>
        <w:t xml:space="preserve">The impairment charges recognized in fiscal 2025 reflect the results of the Company’s impairment assessments performed in accordance with applicable accounting guidance. These assessments incorporate estimates of future cash flows and other valuation assumptions. The impairment charge recorded in fiscal 2023 similarly resulted from the Company’s evaluation of the recoverability of certain intangible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$38.8 million in fiscal 2025, compared to $41.8 million in fiscal 2024 and $48.1 million in fiscal 2023. The decrease in fiscal 2025 compared to fiscal 2024, and in fiscal 2024 compared to fiscal 2023, reflects lower average outstanding debt balances and changes in interest rates over the three-year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on extinguishment of debt </w:t>
      </w:r>
    </w:p>
    <w:p>
      <w:pPr>
        <w:pStyle w:val="TextBody"/>
        <w:bidi w:val="0"/>
        <w:spacing w:before="120" w:after="0"/>
        <w:jc w:val="left"/>
        <w:rPr>
          <w:rFonts w:ascii="Times New Roman" w:hAnsi="Times New Roman"/>
          <w:sz w:val="20"/>
        </w:rPr>
      </w:pPr>
      <w:r>
        <w:rPr>
          <w:rFonts w:ascii="Times New Roman" w:hAnsi="Times New Roman"/>
          <w:sz w:val="20"/>
        </w:rPr>
        <w:t xml:space="preserve">There was no loss on extinguishment of debt in fiscal 2025, as compared to $3.2 million in fiscal 2024 and $1.7 million in fiscal 2023. The losses in 2024 and 2023 were related to early paydowns of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fiscal 2025, fiscal 2024 and fiscal 2023, the Company’s effective tax rate was (16.4%), 35.5% and (506.7%) respectively. The decrease in the effective tax rate in fiscal 2025 compared to fiscal 2024 was primarily due to a $19.0 million valuation allowance recorded in 2025. The effective tax rate before the valuation allowance was 22.5% for fiscal 2025. The Company’s effective tax rate for fiscal 2023 was distorted by the fact that income was close to zero. The most significant item affecting the effective tax rate in 2023 was a nontaxable revaluation of the Company’s outstanding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In fiscal 2025, the Company recorded a valuation allowance of $19.0 million against its deferred tax asset for disallowed interest carryforwards. Over the past two years, the plus-size apparel sector has been adversely affected by general economic weakness, including higher interest rates and rising costs, which has reduced discretionary consumer spending. Consistent with these trends, the Company has experienced declining revenue over the past two years and generated an operating loss in fiscal 2025. While we believe that profitability will return over the longer term, in the near term we are forecasting operating losses. Management concluded that this negative evidence outweighs available positive evidence regarding realizability of its disallowed interest carryforward and consequently recorded a valuation allowance. We will continue to monitor our tax position and will reassess recognition of the deferred tax asset for disallowed interest carryforwards in subsequent reporting periods. If these estimates and related assumptions change in the future, the Company may be required to record additional valuation allowances against its deferred tax assets and its effective tax rate may increase which could result in a material adverse impact on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$56.7 million in fiscal 2025, compared to net income of $1.5 million in fiscal 2024 and $0.5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Fiscal 2025 results included $5.9 million of intangible asset impairment charges and $10.1 million of goodwill impairment, which adversely impacted net income for the year. In fiscal 2023, the Company recorded $14.8 million of impairment charges related to tradenames of $11.5 million and property, plant and equipment of $3.3 million while no impairment charges were recorded in fiscal 2024. There was a charge related to adjusting our valuation allowance of $19.0 million in 2025 while neither 2024 nor 2023 had a valuation allowance.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$36.3 million in fiscal 2025 from $62.6 million in fiscal 2024 and $82.7 million in fiscal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EBITDA margin declined to 5.0% in fiscal 2025, compared to 7.8% in fiscal 2024 and 9.0% in fiscal 2023. The margin compression reflects the combined impact of declining net sales, gross profit variability, and operating expense deleverage.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non-cash charges and non-recurring items. The compression in Adjusted EBITDA margin from 7.8% to 5.0% in fiscal 2025 reflects the fixed cost deleverage inherent in a platform business during a period of revenue decline. This was evident in the decrease from 9.0% in fiscal 2023 to 7.8% in fiscal 2024 as well. The Company’s continued positive Adjusted EBITDA generation during fiscal 2025, despite the magnitude of revenue pressure, reflects the resilience of its underlying business economics and its disciplined approach to cost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business shows relative consistency by semester with net sales in spring summer, fiscal January through fiscal June, and fall winter, fiscal July through fiscal December, being very comparable and approximately an even split of the annual results. A comparison of net sales by semester for each of the past three fiscal years is presented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3"/>
        <w:gridCol w:w="178"/>
        <w:gridCol w:w="158"/>
        <w:gridCol w:w="1022"/>
        <w:gridCol w:w="60"/>
        <w:gridCol w:w="178"/>
        <w:gridCol w:w="60"/>
        <w:gridCol w:w="635"/>
        <w:gridCol w:w="313"/>
        <w:gridCol w:w="126"/>
        <w:gridCol w:w="158"/>
        <w:gridCol w:w="1022"/>
        <w:gridCol w:w="60"/>
        <w:gridCol w:w="178"/>
        <w:gridCol w:w="60"/>
        <w:gridCol w:w="635"/>
        <w:gridCol w:w="313"/>
        <w:gridCol w:w="126"/>
        <w:gridCol w:w="157"/>
        <w:gridCol w:w="1022"/>
        <w:gridCol w:w="60"/>
        <w:gridCol w:w="141"/>
        <w:gridCol w:w="60"/>
        <w:gridCol w:w="635"/>
        <w:gridCol w:w="285"/>
      </w:tblGrid>
      <w:tr>
        <w:trPr/>
        <w:tc>
          <w:tcPr>
            <w:tcW w:w="2563"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r>
      <w:tr>
        <w:trPr/>
        <w:tc>
          <w:tcPr>
            <w:tcW w:w="2563" w:type="dxa"/>
            <w:tcBorders/>
            <w:vAlign w:val="bottom"/>
          </w:tcPr>
          <w:p>
            <w:pPr>
              <w:pStyle w:val="TableContents"/>
              <w:bidi w:val="0"/>
              <w:spacing w:before="0" w:after="283"/>
              <w:jc w:val="left"/>
              <w:rPr>
                <w:i/>
              </w:rPr>
            </w:pPr>
            <w:r>
              <w:rPr>
                <w:i/>
              </w:rPr>
              <w:t>(in thousands)</w:t>
            </w:r>
          </w:p>
        </w:tc>
        <w:tc>
          <w:tcPr>
            <w:tcW w:w="178" w:type="dxa"/>
            <w:tcBorders/>
            <w:vAlign w:val="bottom"/>
          </w:tcPr>
          <w:p>
            <w:pPr>
              <w:pStyle w:val="TableContents"/>
              <w:bidi w:val="0"/>
              <w:spacing w:before="0" w:after="283"/>
              <w:jc w:val="left"/>
              <w:rPr/>
            </w:pPr>
            <w:r>
              <w:rPr/>
              <w:t>  </w:t>
            </w:r>
          </w:p>
        </w:tc>
        <w:tc>
          <w:tcPr>
            <w:tcW w:w="21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31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1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313"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5" w:type="dxa"/>
            <w:tcBorders/>
            <w:vAlign w:val="bottom"/>
          </w:tcPr>
          <w:p>
            <w:pPr>
              <w:pStyle w:val="TableContents"/>
              <w:bidi w:val="0"/>
              <w:spacing w:before="0" w:after="283"/>
              <w:jc w:val="left"/>
              <w:rPr/>
            </w:pPr>
            <w:r>
              <w:rPr/>
              <w:t> </w:t>
            </w:r>
          </w:p>
        </w:tc>
      </w:tr>
      <w:tr>
        <w:trPr/>
        <w:tc>
          <w:tcPr>
            <w:tcW w:w="2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half</w:t>
            </w:r>
          </w:p>
        </w:tc>
        <w:tc>
          <w:tcPr>
            <w:tcW w:w="17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360,580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50.1</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410,715</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51.0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461,157</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50.2</w:t>
            </w:r>
          </w:p>
        </w:tc>
        <w:tc>
          <w:tcPr>
            <w:tcW w:w="285" w:type="dxa"/>
            <w:tcBorders/>
            <w:shd w:fill="CCEEFF" w:val="clear"/>
            <w:vAlign w:val="bottom"/>
          </w:tcPr>
          <w:p>
            <w:pPr>
              <w:pStyle w:val="TableContents"/>
              <w:bidi w:val="0"/>
              <w:spacing w:before="0" w:after="283"/>
              <w:jc w:val="left"/>
              <w:rPr>
                <w:i/>
              </w:rPr>
            </w:pPr>
            <w:r>
              <w:rPr>
                <w:i/>
              </w:rPr>
              <w:t>% </w:t>
            </w:r>
          </w:p>
        </w:tc>
      </w:tr>
      <w:tr>
        <w:trPr/>
        <w:tc>
          <w:tcPr>
            <w:tcW w:w="2563" w:type="dxa"/>
            <w:tcBorders/>
          </w:tcPr>
          <w:p>
            <w:pPr>
              <w:pStyle w:val="TableContents"/>
              <w:bidi w:val="0"/>
              <w:spacing w:before="0" w:after="0"/>
              <w:jc w:val="left"/>
              <w:rPr>
                <w:rFonts w:ascii="Times New Roman" w:hAnsi="Times New Roman"/>
                <w:sz w:val="20"/>
              </w:rPr>
            </w:pPr>
            <w:r>
              <w:rPr>
                <w:rFonts w:ascii="Times New Roman" w:hAnsi="Times New Roman"/>
                <w:sz w:val="20"/>
              </w:rPr>
              <w:t>Second half</w:t>
            </w:r>
          </w:p>
        </w:tc>
        <w:tc>
          <w:tcPr>
            <w:tcW w:w="17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359,752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49.9</w:t>
            </w:r>
          </w:p>
        </w:tc>
        <w:tc>
          <w:tcPr>
            <w:tcW w:w="313" w:type="dxa"/>
            <w:tcBorders/>
            <w:vAlign w:val="bottom"/>
          </w:tcPr>
          <w:p>
            <w:pPr>
              <w:pStyle w:val="TableContents"/>
              <w:bidi w:val="0"/>
              <w:spacing w:before="0" w:after="283"/>
              <w:jc w:val="left"/>
              <w:rPr>
                <w:i/>
              </w:rPr>
            </w:pPr>
            <w:r>
              <w:rPr>
                <w:i/>
              </w:rPr>
              <w:t>% </w:t>
            </w:r>
          </w:p>
        </w:tc>
        <w:tc>
          <w:tcPr>
            <w:tcW w:w="126"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394,382</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49.0</w:t>
            </w:r>
          </w:p>
        </w:tc>
        <w:tc>
          <w:tcPr>
            <w:tcW w:w="313" w:type="dxa"/>
            <w:tcBorders/>
            <w:vAlign w:val="bottom"/>
          </w:tcPr>
          <w:p>
            <w:pPr>
              <w:pStyle w:val="TableContents"/>
              <w:bidi w:val="0"/>
              <w:spacing w:before="0" w:after="283"/>
              <w:jc w:val="left"/>
              <w:rPr>
                <w:i/>
              </w:rPr>
            </w:pPr>
            <w:r>
              <w:rPr>
                <w:i/>
              </w:rPr>
              <w:t>% </w:t>
            </w:r>
          </w:p>
        </w:tc>
        <w:tc>
          <w:tcPr>
            <w:tcW w:w="12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457,433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i/>
              </w:rPr>
            </w:pPr>
            <w:r>
              <w:rPr>
                <w:i/>
              </w:rPr>
              <w:t>49.8</w:t>
            </w:r>
          </w:p>
        </w:tc>
        <w:tc>
          <w:tcPr>
            <w:tcW w:w="285" w:type="dxa"/>
            <w:tcBorders/>
            <w:vAlign w:val="bottom"/>
          </w:tcPr>
          <w:p>
            <w:pPr>
              <w:pStyle w:val="TableContents"/>
              <w:bidi w:val="0"/>
              <w:spacing w:before="0" w:after="283"/>
              <w:jc w:val="left"/>
              <w:rPr>
                <w:i/>
              </w:rPr>
            </w:pPr>
            <w:r>
              <w:rPr>
                <w:i/>
              </w:rPr>
              <w:t>% </w:t>
            </w:r>
          </w:p>
        </w:tc>
      </w:tr>
      <w:tr>
        <w:trPr/>
        <w:tc>
          <w:tcPr>
            <w:tcW w:w="2563"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3"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7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720,332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805,097</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313" w:type="dxa"/>
            <w:tcBorders/>
            <w:shd w:fill="CCEEFF" w:val="clear"/>
            <w:vAlign w:val="bottom"/>
          </w:tcPr>
          <w:p>
            <w:pPr>
              <w:pStyle w:val="TableContents"/>
              <w:bidi w:val="0"/>
              <w:spacing w:before="0" w:after="283"/>
              <w:jc w:val="left"/>
              <w:rPr>
                <w:i/>
              </w:rPr>
            </w:pPr>
            <w:r>
              <w:rPr>
                <w:i/>
              </w:rPr>
              <w:t>% </w:t>
            </w:r>
          </w:p>
        </w:tc>
        <w:tc>
          <w:tcPr>
            <w:tcW w:w="12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r>
              <w:rPr/>
              <w:t>918,590</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i/>
              </w:rPr>
            </w:pPr>
            <w:r>
              <w:rPr>
                <w:i/>
              </w:rPr>
              <w:t>100.0</w:t>
            </w:r>
          </w:p>
        </w:tc>
        <w:tc>
          <w:tcPr>
            <w:tcW w:w="285" w:type="dxa"/>
            <w:tcBorders/>
            <w:shd w:fill="CCEEFF" w:val="clear"/>
            <w:vAlign w:val="bottom"/>
          </w:tcPr>
          <w:p>
            <w:pPr>
              <w:pStyle w:val="TableContents"/>
              <w:bidi w:val="0"/>
              <w:spacing w:before="0" w:after="283"/>
              <w:jc w:val="left"/>
              <w:rPr>
                <w:i/>
              </w:rPr>
            </w:pPr>
            <w:r>
              <w:rPr>
                <w:i/>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primary sources of liquidity are our cash and cash equivalents, cash generated from operations and availability under our ABL Credit Facility, as discussed below. We believe that our cash, cash equivalents, cash generated from operations, and borrowings available to us under our ABL Credit Facility will be adequate to meet our liquidity needs and capital expenditure requirements for at least the next 12 months assuming the Merger closes.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second fiscal quarter of 2026 and 2025, respectively: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38"/>
        <w:gridCol w:w="463"/>
        <w:gridCol w:w="210"/>
        <w:gridCol w:w="1033"/>
        <w:gridCol w:w="155"/>
        <w:gridCol w:w="463"/>
        <w:gridCol w:w="245"/>
        <w:gridCol w:w="1205"/>
        <w:gridCol w:w="160"/>
      </w:tblGrid>
      <w:tr>
        <w:trPr/>
        <w:tc>
          <w:tcPr>
            <w:tcW w:w="4638"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463"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operating activities (GAAP basis)</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(27.6</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(8.9</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(4.4</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(4.4</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by/(used in) financing activities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period end</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21.0</w:t>
            </w:r>
          </w:p>
        </w:tc>
        <w:tc>
          <w:tcPr>
            <w:tcW w:w="160" w:type="dxa"/>
            <w:tcBorders/>
            <w:shd w:fill="CCEEFF" w:val="clear"/>
            <w:vAlign w:val="bottom"/>
          </w:tcPr>
          <w:p>
            <w:pPr>
              <w:pStyle w:val="TableContents"/>
              <w:bidi w:val="0"/>
              <w:spacing w:before="0" w:after="283"/>
              <w:jc w:val="left"/>
              <w:rPr/>
            </w:pPr>
            <w:r>
              <w:rPr/>
              <w:t> </w:t>
            </w:r>
          </w:p>
        </w:tc>
      </w:tr>
      <w:tr>
        <w:trPr/>
        <w:tc>
          <w:tcPr>
            <w:tcW w:w="4638"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46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 </w:t>
            </w:r>
            <w:r>
              <w:rPr/>
              <w:t>279.1</w:t>
            </w:r>
          </w:p>
        </w:tc>
        <w:tc>
          <w:tcPr>
            <w:tcW w:w="155"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 </w:t>
            </w:r>
            <w:r>
              <w:rPr/>
              <w:t>253.8</w:t>
            </w:r>
          </w:p>
        </w:tc>
        <w:tc>
          <w:tcPr>
            <w:tcW w:w="160" w:type="dxa"/>
            <w:tcBorders/>
            <w:vAlign w:val="bottom"/>
          </w:tcPr>
          <w:p>
            <w:pPr>
              <w:pStyle w:val="TableContents"/>
              <w:bidi w:val="0"/>
              <w:spacing w:before="0" w:after="283"/>
              <w:jc w:val="left"/>
              <w:rPr/>
            </w:pPr>
            <w:r>
              <w:rPr/>
              <w:t> </w:t>
            </w:r>
          </w:p>
        </w:tc>
      </w:tr>
      <w:tr>
        <w:trPr/>
        <w:tc>
          <w:tcPr>
            <w:tcW w:w="46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46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47.4</w:t>
            </w:r>
          </w:p>
        </w:tc>
        <w:tc>
          <w:tcPr>
            <w:tcW w:w="155"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71.3</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$27.6 million for the first six months of fiscal 2026, compared to $8.9 million for the first six months of fiscal 2025. The increase in cash used in operating activities primarily reflected the higher net loss in the current-year period and changes in working capital. The year-over-year change in working capital was primarily attributable to a smaller reduction in merchandise inventories and an increase in accounts receivable in fiscal 2026, partially offset by favorable changes in accounts payable and accrued expenses and other liabilities. Cash interest paid during the first six months of fiscal 2026 was $18.7 million. As described under Recent Developments — The Merger, the First Lien Term Loan is expected to be reduced by approximately $107 million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cash used in investing activities was $4.1 million for the first six months of fiscal 2026, compared to $4.4 million for the first six months of fiscal 2025. Investing activities in both periods consisted of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was $23.5 million for the first six months of fiscal 2026, compared to net cash used in financing activities of $4.0 million for the first six months of fiscal 2025. During the first six months of fiscal 2026, the Company received $124.0 million of proceeds from borrowings and made $100.4 million of debt repayments, in each case principally reflecting routine revolving borrowings and repayments under the ABL Facility. In comparison, financing activities during the first six months of fiscal 2025 primarily consisted of $3.5 million of debt repayments and $0.5 million of dividend payments.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activities, cash and cash equivalents decreased by $8.1 million during the first six months of fiscal 2026, from $11.3 million at the beginning of the period to $3.2 million at July 4,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past three fiscal years: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59"/>
        <w:gridCol w:w="361"/>
        <w:gridCol w:w="195"/>
        <w:gridCol w:w="958"/>
        <w:gridCol w:w="155"/>
        <w:gridCol w:w="361"/>
        <w:gridCol w:w="195"/>
        <w:gridCol w:w="958"/>
        <w:gridCol w:w="155"/>
        <w:gridCol w:w="361"/>
        <w:gridCol w:w="195"/>
        <w:gridCol w:w="958"/>
        <w:gridCol w:w="161"/>
      </w:tblGrid>
      <w:tr>
        <w:trPr/>
        <w:tc>
          <w:tcPr>
            <w:tcW w:w="355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5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in)/provided by operating activities (GAAP basis)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36.4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77.3</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(8.2</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(17.1</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(31.3</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year end</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38.3</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78.7</w:t>
            </w:r>
          </w:p>
        </w:tc>
        <w:tc>
          <w:tcPr>
            <w:tcW w:w="161" w:type="dxa"/>
            <w:tcBorders/>
            <w:shd w:fill="CCEEFF" w:val="clear"/>
            <w:vAlign w:val="bottom"/>
          </w:tcPr>
          <w:p>
            <w:pPr>
              <w:pStyle w:val="TableContents"/>
              <w:bidi w:val="0"/>
              <w:spacing w:before="0" w:after="283"/>
              <w:jc w:val="left"/>
              <w:rPr/>
            </w:pPr>
            <w:r>
              <w:rPr/>
              <w:t> </w:t>
            </w:r>
          </w:p>
        </w:tc>
      </w:tr>
      <w:tr>
        <w:trPr/>
        <w:tc>
          <w:tcPr>
            <w:tcW w:w="3559"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252.9</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254.8</w:t>
            </w:r>
          </w:p>
        </w:tc>
        <w:tc>
          <w:tcPr>
            <w:tcW w:w="155"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958" w:type="dxa"/>
            <w:tcBorders/>
            <w:vAlign w:val="bottom"/>
          </w:tcPr>
          <w:p>
            <w:pPr>
              <w:pStyle w:val="TableContents"/>
              <w:bidi w:val="0"/>
              <w:spacing w:before="0" w:after="283"/>
              <w:jc w:val="right"/>
              <w:rPr/>
            </w:pPr>
            <w:r>
              <w:rPr/>
              <w:t> </w:t>
            </w:r>
            <w:r>
              <w:rPr/>
              <w:t>298.9</w:t>
            </w:r>
          </w:p>
        </w:tc>
        <w:tc>
          <w:tcPr>
            <w:tcW w:w="161" w:type="dxa"/>
            <w:tcBorders/>
            <w:vAlign w:val="bottom"/>
          </w:tcPr>
          <w:p>
            <w:pPr>
              <w:pStyle w:val="TableContents"/>
              <w:bidi w:val="0"/>
              <w:spacing w:before="0" w:after="283"/>
              <w:jc w:val="left"/>
              <w:rPr/>
            </w:pPr>
            <w:r>
              <w:rPr/>
              <w:t> </w:t>
            </w:r>
          </w:p>
        </w:tc>
      </w:tr>
      <w:tr>
        <w:trPr/>
        <w:tc>
          <w:tcPr>
            <w:tcW w:w="3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66.9</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75.4</w:t>
            </w:r>
          </w:p>
        </w:tc>
        <w:tc>
          <w:tcPr>
            <w:tcW w:w="155"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83.0</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cash flow from operating activities for fiscal 2025 compared to fiscal 2024 was primarily driven by a net loss of $(56.7) million in the current year, including non-cash impairment charges of $10.1 million related to goodwill and $5.9 million related to intangible assets, partially offset by favorable changes in working capital, particularly a $6.4 million reduction in merchandise inventories. For fiscal 2024, cash flow from </w:t>
      </w:r>
    </w:p>
    <w:p>
      <w:pPr>
        <w:pStyle w:val="TextBody"/>
        <w:bidi w:val="0"/>
        <w:spacing w:before="0" w:after="0"/>
        <w:jc w:val="left"/>
        <w:rPr>
          <w:rFonts w:ascii="Times New Roman" w:hAnsi="Times New Roman"/>
          <w:sz w:val="20"/>
        </w:rPr>
      </w:pPr>
      <w:r>
        <w:rPr>
          <w:rFonts w:ascii="Times New Roman" w:hAnsi="Times New Roman"/>
          <w:sz w:val="20"/>
        </w:rPr>
        <w:t xml:space="preserve">operating activities decreased to $36.4 million as compared to $77.3 million for fiscal 2023. The decrease in cash flow from operating activities in fiscal 2024 compared to fiscal 2023 was primarily due to unfavorable changes in working capital, which generated $9.8 million in 2024 versus $42.5 million in 2023.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$8.1 million for fiscal 2025 as compared to $23.4 million for fiscal 2024. The decrease was primarily due to $13.8 million use of cash as payment for the acquisitions of Dia and Avenue in 2024. Net cash used in investing activities was $23.4 million for fiscal 2024 as compared to $17.1 million for fiscal 2023. The increase was primarily due to the acquisition costs of Dia and Avenue which totaled $13.8 million in 2024, compared to the acquisitions of Eloquii and CUUP in 2023, which totaled $8.9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for fiscal 2025, 2024 and 2023 was $7.7 million, $53.5 million and $31.3 million, respectively, and was primarily for debt repayments.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Reconciliations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non-GAAP financial measures on a regular basis in order to track the progress of our business, including the measures below. These non-GAAP financial measures include EBITDA, adjusted EBITDA and adjusted EBITDA margin. We believe that these measures provide helpful information with respect to the Company’s operating performance to stockholders, investors and analysts, and that the inclusion of these non-GAAP measures is important to assist investors in comparing our performance in the periods presented,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comparable basis. However, these measures may not be comparable to similar measures used by other companies and should not be considered superior to or as a substitute for operating net income, net income per diluted share or cash flows from operating activities in accordance with GAAP. Certain amounts in the following tables may not foot due to rounding.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EBITDA, Adjusted EBITDA and Adjusted EBITDA Margin </w:t>
      </w:r>
    </w:p>
    <w:p>
      <w:pPr>
        <w:pStyle w:val="TextBody"/>
        <w:bidi w:val="0"/>
        <w:spacing w:before="120" w:after="0"/>
        <w:jc w:val="left"/>
        <w:rPr>
          <w:rFonts w:ascii="Times New Roman" w:hAnsi="Times New Roman"/>
          <w:sz w:val="20"/>
        </w:rPr>
      </w:pPr>
      <w:r>
        <w:rPr>
          <w:rFonts w:ascii="Times New Roman" w:hAnsi="Times New Roman"/>
          <w:sz w:val="20"/>
        </w:rPr>
        <w:t xml:space="preserve">EBITDA, 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accrual for estimated non-recurring legal settlement costs, severance tied to restructuring, transaction expenses and other non-recurring expenses, such as one time workforce transformation costs, stock compensation expenses and specialized one-time consulting charges. The adjustments are excluded from adjusted EBITDA due to their unusual and non-recurring nature. Adjusted EBITDA margin is calculated as adjusted EBITDA divided by net sales.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reconciliation of net income on a GAAP basis to EBITDA and then adjusted EBITDA and adjusted EBITDA margin, on a non-GAAP basis, for each fiscal year as well as the second quarter of fiscal 2026 and 2025: </w:t>
      </w:r>
    </w:p>
    <w:p>
      <w:pPr>
        <w:pStyle w:val="TextBody"/>
        <w:bidi w:val="0"/>
        <w:spacing w:before="0" w:after="0"/>
        <w:jc w:val="left"/>
        <w:rPr/>
      </w:pPr>
      <w:r>
        <w:rPr/>
        <w:t> </w:t>
      </w:r>
    </w:p>
    <w:tbl>
      <w:tblPr>
        <w:tblW w:w="12672" w:type="dxa"/>
        <w:jc w:val="center"/>
        <w:tblInd w:w="0" w:type="dxa"/>
        <w:tblLayout w:type="fixed"/>
        <w:tblCellMar>
          <w:top w:w="0" w:type="dxa"/>
          <w:left w:w="0" w:type="dxa"/>
          <w:bottom w:w="0" w:type="dxa"/>
          <w:right w:w="0" w:type="dxa"/>
        </w:tblCellMar>
      </w:tblPr>
      <w:tblGrid>
        <w:gridCol w:w="1325"/>
        <w:gridCol w:w="60"/>
        <w:gridCol w:w="235"/>
        <w:gridCol w:w="940"/>
        <w:gridCol w:w="275"/>
        <w:gridCol w:w="60"/>
        <w:gridCol w:w="235"/>
        <w:gridCol w:w="940"/>
        <w:gridCol w:w="275"/>
        <w:gridCol w:w="60"/>
        <w:gridCol w:w="235"/>
        <w:gridCol w:w="940"/>
        <w:gridCol w:w="275"/>
        <w:gridCol w:w="60"/>
        <w:gridCol w:w="247"/>
        <w:gridCol w:w="988"/>
        <w:gridCol w:w="275"/>
        <w:gridCol w:w="60"/>
        <w:gridCol w:w="283"/>
        <w:gridCol w:w="1132"/>
        <w:gridCol w:w="275"/>
        <w:gridCol w:w="60"/>
        <w:gridCol w:w="246"/>
        <w:gridCol w:w="989"/>
        <w:gridCol w:w="421"/>
        <w:gridCol w:w="91"/>
        <w:gridCol w:w="281"/>
        <w:gridCol w:w="1134"/>
        <w:gridCol w:w="275"/>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2025</w:t>
            </w:r>
          </w:p>
        </w:tc>
        <w:tc>
          <w:tcPr>
            <w:tcW w:w="27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2024</w:t>
            </w:r>
          </w:p>
        </w:tc>
        <w:tc>
          <w:tcPr>
            <w:tcW w:w="27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2023</w:t>
            </w:r>
          </w:p>
        </w:tc>
        <w:tc>
          <w:tcPr>
            <w:tcW w:w="275"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85" w:type="dxa"/>
            <w:gridSpan w:val="6"/>
            <w:tcBorders/>
            <w:vAlign w:val="bottom"/>
          </w:tcPr>
          <w:p>
            <w:pPr>
              <w:pStyle w:val="TableContents"/>
              <w:bidi w:val="0"/>
              <w:spacing w:before="0" w:after="283"/>
              <w:jc w:val="center"/>
              <w:rPr>
                <w:b/>
              </w:rPr>
            </w:pPr>
            <w:r>
              <w:rPr>
                <w:b/>
              </w:rPr>
              <w:t>Thirteen Weeks Ended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2" w:type="dxa"/>
            <w:gridSpan w:val="6"/>
            <w:tcBorders/>
            <w:vAlign w:val="bottom"/>
          </w:tcPr>
          <w:p>
            <w:pPr>
              <w:pStyle w:val="TableContents"/>
              <w:bidi w:val="0"/>
              <w:spacing w:before="0" w:after="283"/>
              <w:jc w:val="center"/>
              <w:rPr>
                <w:b/>
              </w:rPr>
            </w:pPr>
            <w:r>
              <w:rPr>
                <w:b/>
              </w:rPr>
              <w:t>Twenty-Six Weeks Ended</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175" w:type="dxa"/>
            <w:gridSpan w:val="2"/>
            <w:vMerge w:val="continue"/>
            <w:tcBorders/>
            <w:vAlign w:val="bottom"/>
          </w:tcPr>
          <w:p>
            <w:pPr>
              <w:pStyle w:val="Normal"/>
              <w:bidi w:val="0"/>
              <w:jc w:val="left"/>
              <w:rPr/>
            </w:pPr>
            <w:r>
              <w:rPr/>
            </w:r>
          </w:p>
        </w:tc>
        <w:tc>
          <w:tcPr>
            <w:tcW w:w="27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on a GAAP basis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(56.7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(29.6</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(14.3</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Add back:</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3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41.8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22.3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19.1</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4.1</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14.4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6.1</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6.8</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3.5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58.6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62.5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3.0</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 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0.2</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1.2</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0.7</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2.1</w:t>
            </w:r>
          </w:p>
        </w:tc>
        <w:tc>
          <w:tcPr>
            <w:tcW w:w="275"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on a non-GAAP basis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36.3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62.6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0" w:type="dxa"/>
            <w:tcBorders/>
            <w:shd w:fill="CCEEFF" w:val="clear"/>
            <w:vAlign w:val="bottom"/>
          </w:tcPr>
          <w:p>
            <w:pPr>
              <w:pStyle w:val="TableContents"/>
              <w:bidi w:val="0"/>
              <w:spacing w:before="0" w:after="283"/>
              <w:jc w:val="right"/>
              <w:rPr/>
            </w:pPr>
            <w:r>
              <w:rPr/>
              <w:t>82.7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12.3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7.3</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17.7</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421"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720.3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805.1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0" w:type="dxa"/>
            <w:tcBorders/>
            <w:vAlign w:val="bottom"/>
          </w:tcPr>
          <w:p>
            <w:pPr>
              <w:pStyle w:val="TableContents"/>
              <w:bidi w:val="0"/>
              <w:spacing w:before="0" w:after="283"/>
              <w:jc w:val="right"/>
              <w:rPr/>
            </w:pPr>
            <w:r>
              <w:rPr/>
              <w:t>918.6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988" w:type="dxa"/>
            <w:tcBorders/>
            <w:vAlign w:val="bottom"/>
          </w:tcPr>
          <w:p>
            <w:pPr>
              <w:pStyle w:val="TableContents"/>
              <w:bidi w:val="0"/>
              <w:spacing w:before="0" w:after="283"/>
              <w:jc w:val="right"/>
              <w:rPr/>
            </w:pPr>
            <w:r>
              <w:rPr/>
              <w:t>160.6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2" w:type="dxa"/>
            <w:tcBorders/>
            <w:vAlign w:val="bottom"/>
          </w:tcPr>
          <w:p>
            <w:pPr>
              <w:pStyle w:val="TableContents"/>
              <w:bidi w:val="0"/>
              <w:spacing w:before="0" w:after="283"/>
              <w:jc w:val="right"/>
              <w:rPr/>
            </w:pPr>
            <w:r>
              <w:rPr/>
              <w:t>191.1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311.7</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360.6</w:t>
            </w:r>
          </w:p>
        </w:tc>
        <w:tc>
          <w:tcPr>
            <w:tcW w:w="275"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margin</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-7.9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-9.5</w:t>
            </w:r>
          </w:p>
        </w:tc>
        <w:tc>
          <w:tcPr>
            <w:tcW w:w="421"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on a non-GAAP basis: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2.3</w:t>
            </w:r>
          </w:p>
        </w:tc>
        <w:tc>
          <w:tcPr>
            <w:tcW w:w="42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second quarter of fiscal 2026, Adjusted EBITDA was $12.3 million, compared to $15.6 million in the second quarter of fiscal 2025. Adjustments for the second quarter of fiscal 2026 included $0.6 million of transaction-related expenses associated with the pending Merger, $0.4 million of litigation-related expenses and $0.1 million of non-recurring expenses. Adjustments for the second quarter of fiscal 2025 included $0.3 million of litigation-related expenses and $0.3 million of non-recurring expenses. </w:t>
      </w:r>
    </w:p>
    <w:p>
      <w:pPr>
        <w:pStyle w:val="TextBody"/>
        <w:bidi w:val="0"/>
        <w:spacing w:before="240" w:after="0"/>
        <w:jc w:val="left"/>
        <w:rPr>
          <w:rFonts w:ascii="Times New Roman" w:hAnsi="Times New Roman"/>
          <w:sz w:val="20"/>
        </w:rPr>
      </w:pPr>
      <w:r>
        <w:rPr>
          <w:rFonts w:ascii="Times New Roman" w:hAnsi="Times New Roman"/>
          <w:sz w:val="20"/>
        </w:rPr>
        <w:t xml:space="preserve">For the first six months of fiscal 2026, Adjusted EBITDA was $7.3 million, compared to $17.7 million for the first six months of fiscal 2025. Adjustments for the first six months of fiscal 2026 included $2.3 million of transaction-related expenses associated with the pending Merger, $1.2 million of litigation-related expenses, $0.7 million of non-recurring expenses and $0.2 million of severance costs. Adjustments for the first six months of fiscal 2025 included $5.9 million of non-cash impairment charges related to certain tradenames, $2.1 million of non-recurring expenses and $0.3 million of litigation-related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was 7.6% in the second quarter of fiscal 2026, compared to 8.2% in the second quarter of fiscal 2025. For the first six months of fiscal 2026, Adjusted EBITDA margin was 2.3%, compared to 4.9% for the first six months of fiscal 2025. The decreases in Adjusted EBITDA and Adjusted EBITDA margin for both the second quarter and first six months of fiscal 2026 primarily reflect lower net sales and underlying gross margin pressure, partially offset by lower SG&amp;A expenses and the impact of IEEPA-related tariff refunds recognized during the current-year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a supplemental measure of operating performance. Management believes Adjusted EBITDA, when considered together with the corresponding GAAP measures, provides useful information regarding the Company’s underlying operating performance and facilitates comparisons of operating performance between periods. Adjusted EBITDA should not be considered in isolation or as a substitute for net income (loss) or other measures of financial performance prepared in accordance with GAAP, and certain items excluded from Adjusted EBITDA may recur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senior secured asset-based revolving credit facility (the “ABL Facility”). The ABL Facility was amended in May 2021 to extend the maturity date and was further amended in December 2022 to increase total commitments to $120.0 million and extend the maturity to the earlier of December 2027 or 91 days prior to the maturity of the Company’s First Lien Term Loan (as defined below). The ABL Facility provides for borrowings of up to $120.0 million, subject to a borrowing base derived primarily from eligible inventory, in-transit inventory, and certain credit card receivables, and is reduced by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As of July 4, 2026, availability under the ABL Facility was $47.4 million, reflecting total capacity of $77.4 million, less $3.0 million of outstanding letters of credit and $27.0 million of outstanding borrowings.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ABL Facility bear interest, at the Borrower’s option, at either a base rate (based on the greatest of the Prime Rate, the Federal Funds rate plus 0.50%, or SOFR plus 1.00%) or a SOFR-based rate, in each case plus an applicable margin that varies based on excess availability. The Borrower is also required to pay a commitment fee on unused commitments and customary letter of credit and agency fees. There is no scheduled amortization under the ABL Facility. Obligations under the ABL Facility are guaranteed by the Borrower and substantially all of its wholly owned domestic subsidiaries and are secured by the assets of the Borrower and the other loan parties. The ABL Facility contains customary representations and warranties, affirmative covenants and events of default and, among other things and subject to certain exceptions, restricts the ability of the Borrower and its subsidiaries to incur additional indebtedness or liens, make investments or acquisitions, dispose of assets, pay dividends, or engage in transactions with affiliates, and requires the Borrower to maintain a minimum fixed charge coverage ratio of 1.0 to 1.0 under certain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ABL Facility is described in more detail in Note 11 to our annual audited consolidated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entering into a First Lien Security Agreement (the “First Lien Term Loan”), the Company raised $350.0 million and used the proceeds to repay its existing first lien and second lien debt facilities, including accrued interest. In addition, the Company used a portion of the proceeds to pay a dividend to shareholders, pay lender fees and original issue discount, and issue warrants to the debt holders. The First Lien Term Loan has a maturity date of August 2027.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First Lien Term Loan bear interest, at the Company’s option, at either a base rate (based on the highest of the Prime Rate, the Federal Funds rate plus 0.50%, adjusted one-month SOFR plus 1.00%, or 2.00%) or a SOFR-based rate, in each case plus an applicable margin, subject to a 1.00% floor. The First Lien Term Loan requires scheduled quarterly amortization payments of $1.75 million, as well as an annual payment based on a percentage of excess cash flow, subject to certain leverage thresholds and reductions for voluntary prepayments, with the remaining balance due at maturity. Obligations under the First Lien Term Loan are guaranteed by the borrower and substantially all of its existing wholly owned domestic subsidiaries and are required to be guaranteed by certain future domestic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Term Loan includes customary representations and warranties, affirmative covenants, and events of default, and contains covenants that, among other things and subject to certain exceptions, restrict the ability of the Company and its subsidiaries to incur additional indebtedness or liens, make investments or acquisitions, dispose of assets, engage in affiliate transactions, or pay dividends, and requires the Company to maintain a maximum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with DXL or termination of the Merger Agreement. In connection with the Merger, the First Lien Term Loan is expected to be reduced by approximately $107 million through equity contributions and debt-for-equity exchanges and its maturity extended to August 2029, which the Company expects would reduce leverage and address the near-term maturity described above. See Note 1 to our annual audited consolidated financial statements included elsewhere in this proxy statement. The First Lien Term Loan is described in more detail in Note 11 to our consolidated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Cash interest paid was $10.8 million in the second quarter of 2026 and $8.2 million in the second quarter of 2025. Cash interest paid was $18.7 million in the first six months of 2026 and $16.8 million in the first six months of 2025. Cash interest paid was $33.0 million for fiscal 2025, $38.4 million for fiscal 2024 and $43.8 million for fiscal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no off-balance sheet arrangements as defined by 303(b)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were $2.5 million in the second quarter of 2026, compared to $2.6 million in the second quarter of 2025. Capital expenditures were $8.1 million in fiscal 2025, compared to $9.6 million in fiscal 2024 and $8.2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Capital investments during 2025 and continuing into the first six months of 2026 were primarily focused on the technology infrastructure supporting the Company’s multi-brand platform strategy, including continued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 of its Universal Cart and cross-shopping capabilities, customer data and analytics systems, and e-commerce platform enhancements. The Company also continued to invest in robotic automation and other fulfillment center initiatives designed to improve throughput efficiency and reduce unit fulfillment costs over time. The Company’s direct-to-consumer model, which does not require investment in a retail store base, has historically allowed it to sustain these platform investments at capital expenditure levels of approximately 1.1% of net sales in fiscal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our financial statements in accordance with U.S. GAAP requires management to make estimates and assumptions that affect the amounts reported and disclosed. These estimates are based on historical experience, current business conditions, and various other assumptions that we believe to be reasonable under the circumstances. However, because future events and economic conditions are inherently uncertain, actual results may differ materially from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We consider an accounting estimate to be critical if it requires significant judgment and involves a high degree of estimation uncertainty, and if changes in the estimate could have a material impact on our consolidated financial statements. Our most significant critical accounting estimates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Merchandise Inventories </w:t>
      </w:r>
    </w:p>
    <w:p>
      <w:pPr>
        <w:pStyle w:val="TextBody"/>
        <w:bidi w:val="0"/>
        <w:spacing w:before="120" w:after="0"/>
        <w:jc w:val="left"/>
        <w:rPr>
          <w:rFonts w:ascii="Times New Roman" w:hAnsi="Times New Roman"/>
          <w:sz w:val="20"/>
        </w:rPr>
      </w:pPr>
      <w:r>
        <w:rPr>
          <w:rFonts w:ascii="Times New Roman" w:hAnsi="Times New Roman"/>
          <w:sz w:val="20"/>
        </w:rPr>
        <w:t xml:space="preserve">Merchandise inventories consist primarily of purchased finished goods and are stated at the lower of cost or net realizable value. Cost is determined using a standard cost method, which includes the cost of merchandise and import-related costs such as freight, duties, and agent commissions. Inventory is relieved on a first-in, first-out (“FIFO”) basis.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net realizable value requires significant management judgment. We continually evaluate merchandise inventory to assess whether the carrying value exceeds its estimated net realizable value. This evaluation requires us to make assumptions and estimates based on a variety of factors, including the age of the inventory, the average selling cycle, current and anticipated economic conditions and estimated loss rates. </w:t>
      </w:r>
    </w:p>
    <w:p>
      <w:pPr>
        <w:pStyle w:val="TextBody"/>
        <w:bidi w:val="0"/>
        <w:spacing w:before="240" w:after="0"/>
        <w:jc w:val="left"/>
        <w:rPr>
          <w:rFonts w:ascii="Times New Roman" w:hAnsi="Times New Roman"/>
          <w:sz w:val="20"/>
        </w:rPr>
      </w:pPr>
      <w:r>
        <w:rPr>
          <w:rFonts w:ascii="Times New Roman" w:hAnsi="Times New Roman"/>
          <w:sz w:val="20"/>
        </w:rPr>
        <w:t xml:space="preserve">When we determine that the carrying value of inventory is not recoverable, we record a write-down to reduce inventory to its estimated net realizable value.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merchandise inventories totaled $117.2 million, compared to $123.6 million as of December 28, 2024. Given the significance of inventory to our consolidated financial statements, changes in assumptions regarding demand, pricing, or macroeconomic conditions could have a material impact on inventory valuation and gross profit.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Our intangible assets consist primarily of tradenames (indefinite-lived). Indefinite-lived intangible assets are not amortized but are evaluated for impairment annually, or more frequently if events or changes in circumstances indicate potential impairment. </w:t>
      </w:r>
    </w:p>
    <w:p>
      <w:pPr>
        <w:pStyle w:val="TextBody"/>
        <w:bidi w:val="0"/>
        <w:spacing w:before="240" w:after="0"/>
        <w:jc w:val="left"/>
        <w:rPr>
          <w:rFonts w:ascii="Times New Roman" w:hAnsi="Times New Roman"/>
          <w:sz w:val="20"/>
        </w:rPr>
      </w:pPr>
      <w:r>
        <w:rPr>
          <w:rFonts w:ascii="Times New Roman" w:hAnsi="Times New Roman"/>
          <w:sz w:val="20"/>
        </w:rPr>
        <w:t xml:space="preserve">We may first perform a qualitative assessment to determine whether it is more likely than not that the asset is impaired. If necessary, a quantitative assessment is performed by comparing the estimated fair value of the asset to its carrying value. Fair value is determined using the relief-from-royalty method, which requires significant assumptions, including projected revenue growth, long-term growth rates, royalty rates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These assumptions are inherently subjective and highly sensitive to changes in market conditions and business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January 3, 2026, we recorded an impairment expense of $5.9 million related to certain tradenames, primarily driven by declines in demand for certain brands. No impairment was recorded in 2024. Changes in future operating performance or market conditions could result in additional impairment charges.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purchase price over the fair value of identifiable net assets acquired and is not amortized. Goodwill is tested for impairment at least annually, or more frequently if triggering events occur. </w:t>
      </w:r>
    </w:p>
    <w:p>
      <w:pPr>
        <w:pStyle w:val="TextBody"/>
        <w:bidi w:val="0"/>
        <w:spacing w:before="240" w:after="0"/>
        <w:jc w:val="left"/>
        <w:rPr>
          <w:rFonts w:ascii="Times New Roman" w:hAnsi="Times New Roman"/>
          <w:sz w:val="20"/>
        </w:rPr>
      </w:pPr>
      <w:r>
        <w:rPr>
          <w:rFonts w:ascii="Times New Roman" w:hAnsi="Times New Roman"/>
          <w:sz w:val="20"/>
        </w:rPr>
        <w:t xml:space="preserve">We perform either a qualitative assessment or a quantitative assessment. Qualitative factors may include, but are not limited to, economic conditions, industry and market considerations, expense factors, overall financial performance, entity specific and reporting unit events, capital markets and pricing and breakeven multiples. The quantitative test compares the fair value of the reporting unit to its carrying value. Fair value is estimated using valuation techniques that incorporate significant assumptions, including projected future cash flows, discount rates, growth rates, market multiples and comparable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estimates require significant judgment and are sensitive to changes in financial performance and macroeconomic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January 3, 2026, we recorded a goodwill impairment charge of $10.1 million following a quantitative assessment triggered by declines in net sales and gross profit. No impairment was recorded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 Valuation Allowance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income taxes using the asset and liability method, which requires recognition of deferred tax assets and liabilities for temporary differences between the financial statement and tax bases of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evaluate the realizability of deferred tax assets on a periodic basis by assessing whether it is more likely than not that such assets will be realized. This assessment requires significant judgment and is based on historical operating results, forecasted future taxable income, reversal of existing temporary differences and available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When it is determined that some or all of a deferred tax asset is not realizable, a valuation allowance is recorded.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we recorded a valuation allowance of $19.0 million against deferred tax assets related to disallowed interest carryforwards, reflecting our assessment that it is more likely than not that these assets will not be realized. No valuation allowance was recorded as of December 28, 2024. Changes in our profitability assumptions or tax planning strategies could materially impact the valuation allowance and our effective tax rate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We have reviewed accounting pronouncements and interpretations thereof that have effective dates during the periods reported and in future periods. See Note 2 to our consolidated annual financial statements included elsewhere in this proxy statement for information on recent accounting pronouncements and the impact of impending standards on our future filings.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QUANTITATIVE AND QUALITATIVE DISCLOSURES ABOUT MARKET RISK </w:t>
      </w:r>
    </w:p>
    <w:p>
      <w:pPr>
        <w:pStyle w:val="TextBody"/>
        <w:bidi w:val="0"/>
        <w:spacing w:before="12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form of changes in interest rates, as our outstanding debt is subject to interest computed based upon variable interest rates. A 1% increase in the base interest rate applied to our debt outstanding at July 4, 2026 would result in an annual increase to interest expense of $2.9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2" w:name="tx76201_79"/>
      <w:bookmarkEnd w:id="8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Destination XL Group, Inc., a Delaware corporation (“DXL”), Divine Merger Sub I, Inc., a Delaware corporation and wholly owned direct subsidiary of DXL (the “merger subsidiary”), and FBB Holdings I, Inc., a Delaware corporation (“FBB”), entered into an Agreement and Plan of Merger (the “merger agreement”), pursuant to which the merger subsidiary will merge with and into FBB, with FBB continuing as the surviving corporation and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The unaudited pro forma condensed combined financial information assumes that the merger is accounted for as a reverse acquisition under the acquisition method of accounting for business combinations in accordance with U.S. generally accepted accounting principles (“U.S. GAAP”), with FBB as the accounting acquirer pursuant to Accounting Standards Codification Topic 805, Business Combinations (“ASC 805”). Accordingly, the unaudited pro forma condensed combined financial information also assumes that the assets and liabilities of DXL will be recorded by FBB at their respective fair values as of the effective date. The historical financial statements of FBB and DXL have been adjusted in the accompanying unaudited pro forma condensed combined financial information to give pro forma effect to the transaction accounting adjustments which are necessary to account for the merger (the “Transaction Accounting Adjustments”) and other transactions (the “Other Transaction Accounting Adjustments”, collectively the “Transactions”), in accordance with U.S. GAAP. See the Description of the Concurrent Financing and Equity Transactions section below for further explanation of the Other Transaction Accounting Adjustments. The unaudited pro forma adjustments are based upon available information and certain assumptions that our management believes are reasonable.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 Accounting Adjustments and Other Transaction Accounting Adjustments (collectively, the “Adjustments”) as if those transactions had been completed on August 1, 2026 and combines the unaudited condensed consolidated balance sheet of FBB as of July 4, 2026 with DXL’s unaudited consolidated balance sheet as of August 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six months ended August 1, 2026 and the fiscal year ended January 31, 2026 gives effect to the Transactions as if those Transactions had occurred on February 2, 2025. The unaudited pro forma condensed combined statement of operations for the six months ended August 1, 2026 combines the unaudited condensed consolidated statement of operations of FBB for the twenty-six weeks ended July 4, 2026 and DXL’s unaudited consolidated statement of operations for the six months ended August 1, 2026. The unaudited pro forma condensed combined statement of operations for the fiscal year ended January 31, 2026 combines the audited consolidated statement of operations of FBB for the fiscal year ended January 3, 2026 and DXL’s audited consolidated statement of operations for the fiscal year ended January 31, 2026. Amounts, including share amounts, in the unaudited pro forma financial information below may not foot due to immaterial rounding differences.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compiled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FBB as of and for the twenty-six weeks ended July 4, 2026 and the related notes,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FBB as of and for the fiscal year ended January 3, 2026 and the related notes, included elsewhere in this proxy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DXL as of and for the six months ended August 1, 2026 and the related notes, included in DXL’s Quarterly Report on Form 10-Q for the period ended August 1, 2026, as filed with the Securities and Exchange Commission (the “SEC”) on September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DXL as of and for the fiscal year ended January 31, 2026 and the related notes, included in DXL’s Annual Report on Form 10-K for the fiscal year ended January 31, 2026, as filed with the Securities and Exchange Commission (the “SEC”) on March 19,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DXL, merger subsidiary, and FBB, entered into the merger agreement, pursuant to which the merger subsidiary will merge with and into FBB, with FBB continuing as the surviving corporation as a wholly owned subsidiary of DXL.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at the effective time of the merger, each share of common stock, par value $0.01 per share, of FBB (“FBB common stock”) (excluding (i) any shares held as treasury stock by FBB or held or owned by DXL or any subsidiary of DXL or FBB (“Excluded Shares”), (ii) any dissenting shares (“Appraisal Shares”), and (iii) any shares held by a FBB stockholder that is an unaccredited investor (“Unaccredited Investor Shares”) will be converted into the right to receive that number of fully paid and nonassessable shares of the common stock, par value $0.01 per share, of DXL (“DXL common stock”) equal to the exchange ratio, which will be calculated based on the total number of the new issuance of DXL common stock (which will be the number of shares equal to the fully diluted DXL shares multiplied by the quotient of fifty-five percent (55%) divided by forty-five percent (45%) divided by the number of FBB common stock issued and outstanding immediately prior to the effective time of the merger. Immediately following the effective time of the merger, FBB stockholders are expected to own or hold rights to acquire 55% of the combined company (as defined below) and DXL stockholders are expected to own or hold rights to acquire 45% of the combined company, in each case, on a fully diluted basis using the treasury stock method and subject to certain assumptions, including, but not limited to: (i) the closing date and (ii) FBB issuing approximately 111.5 million shares of common stock in the private placement. The post-closing equity split is subject to certain adjustments, including the closing date, the number of shares of FBB common stock issued in the private placement, and to account for the effect of a reverse stock split. Following the merger, DXL will operate under the same name.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share of FBB common stock held immediately prior to the effective time by an FBB stockholder that is an unaccredited investor, the Unaccredited Investor Shares, will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10 consecutive trading days immediately preceding the trading day 2 days before the closing date of the merger. No unaccredited investor will receive any stock consideration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unaudited pro forma condensed combined financial information, the estimated number of shares of DXL common stock that DXL expects to issue to FBB’s stockholders (ignoring rounding of fractional shares) is determined as follows, prior to giving effect to the proposed reverse stock split: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8"/>
        <w:gridCol w:w="468"/>
        <w:gridCol w:w="60"/>
        <w:gridCol w:w="805"/>
        <w:gridCol w:w="60"/>
        <w:gridCol w:w="468"/>
        <w:gridCol w:w="250"/>
        <w:gridCol w:w="1575"/>
        <w:gridCol w:w="281"/>
      </w:tblGrid>
      <w:tr>
        <w:trPr/>
        <w:tc>
          <w:tcPr>
            <w:tcW w:w="378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(shares, in thousands)</w:t>
            </w:r>
          </w:p>
        </w:tc>
        <w:tc>
          <w:tcPr>
            <w:tcW w:w="468"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 Held</w:t>
              <w:br/>
              <w:t>at Close</w:t>
            </w:r>
          </w:p>
        </w:tc>
        <w:tc>
          <w:tcPr>
            <w:tcW w:w="281" w:type="dxa"/>
            <w:tcBorders/>
            <w:vAlign w:val="bottom"/>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issued and outstanding at July 4, 2026(1)</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Shares of preferred stock converted into common stock immediately prior to close(2)</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that will be sold and issued for the private placement prior to closing</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111,538</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112,556</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ratio(3)</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0.6104</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shares of DXL common stock expected to be issued to FBB upon closing</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68,709</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55</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shares of DXL on closing, on a diluted basis</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56,217</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45</w:t>
            </w:r>
          </w:p>
        </w:tc>
        <w:tc>
          <w:tcPr>
            <w:tcW w:w="281" w:type="dxa"/>
            <w:tcBorders/>
            <w:shd w:fill="CCEEFF" w:val="clear"/>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total shares of DXL upon closing, on a diluted basis</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124,926</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the following FBB common stock, due to immaterial impact; (i) Excluded Shares, (ii) Appraisal Shares, and (iii) Unaccredited Investor Shares.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elsewhere in the Proxy Statement, Holders of Preferred Stock will convert their shares to common stock at a pro-rata conversion equal to 15% of outstanding common stock as of July 4, 2026.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calculation assumes that there were 56,216,761 outstanding shares of DXL common stock on a fully diluted basis using the treasury stock method as of August 1, 2026 for purposes of the 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DXL common stock expected to be issued in connection with the merger is preliminary, and the estimated number of shares utilized in the unaudited pro forma condensed combined financial information is based upon FBB and DXL common stock outstanding as of their respective period-end dates presented above and estimated common stock in connection with the merger. The actual number of shares issued at closing will depend on the number of shares outstanding immediately prior to the effective time of the merger, including shares issued in connection with the private placement, as well as any changes in equity structure or other adjustments in accordance with the merger agreement. Accordingly, the final number of shares issued at closing may differ from the amounts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DXL will seek the approval of its stockholders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as discussed below.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will remain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will be unaffected by the merger, other than adjustments for the reverse stock split and those shares subject to acceleration upon the consummation of the merger. The consideration transferred has been updated to include the fair value of these awards attributable to pre-combination service. DXL’s deferred stock automatically vest upon a change in control and the fair value at the closing date is attributable to pre-combination service and included in consideration transferred.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issued and outstanding under the DXL long-term incentive plan at the effective time of the merger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in shares of DXL common stock. The performance conditions are not considered probable of vesting and there is no impact to stock-based compensation expense or purchase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Vesting of FBB’s equity awards was accelerated in connection with the merger. As a result, the related stock-based compensation expense has been reflected in the pro forma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Concurrent Financing and Equity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stipulated in the merger agreement, FBB will issue and sell FBB common stock for aggregate gross proceeds of approximately $107 million (the “private placement”). The proceeds of the private placement will be used to cancel a portion of FBB’s indebtedness by certain commitment and subscription agreements with certain of its existing stockholders and lenders prior to the closing of the effective date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purchasers named therein (the “private placement investors”), pursuant to which the private placement investors agreed to purchase, and FBB agreed to sell, shares of FBB common stock for an aggregate purchase price of approximately $107 million. In addition, in connection with the private placement, the private placement investors were granted certain registration rights with respect to the shares of FBB common stock purchased in the private placement, which will be exchanged for shares of DXL common stock at the effective time. Such registration rights will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are each required to use reasonable best efforts to cooperate with the other party in connection with (i) the amendment and restatement of FBB’s existing term loan facility to authorize and give effect to the merger and the capital structure of the surviving company following the closing, and (ii) the establishment, documentation and closing of a combined asset-based revolving credit facility for the surviving company and its subsidiaries, whether through an amendment or amendment and restatement of the Existing FBB ABL Agreement (as defined in the merger agreement) or, if reasonably determined by FBB in consultation with DXL, an amendment or amendment and restatement of the Existing DXL ABL Agreement (as defined in the merger agreement) or a new ABL credit agreement. Following the closing date of the Merger, the intent is for FBB and DXL, as a combined company, to enter into a new ABL credit agreement, cancelling the Existing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ABL Agreement and Existing DXL ABL Agreement, and draw on the new ABL to pay off a portion of the FBB term loan and Existing FBB ABL. In connection with the Merger, FBB and DXL have entered into a commitment agreement with Bank of America, N.A., providing a $150 million ABL, including a $50 million accordion and $20 million sub-limit for letters of credit (the “New ABL”), bearing an interest rate of SOFR plus 1.25 percent to 1.50 percent. Under the terms of the commitment letter, it will expire upon the earliest of (i) 11:59 p.m. (Eastern time) on the date that is one business day after the end date under the merger agreement, (ii) October 14, 2026, (iii) the closing date, (iv) termination of the merger agreement prior to the closing of the merger and (v) consummation of the merger with or without the use of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These debt and equity transactions contemplated in the merger agreement and this proxy statement, as well as the reverse stock split are referred to herein as the Other Transaction Accounting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being accounted for as a business combination, and reverse acquisition, using the acquisition method in accordance with ASC 805, where FBB, the legal acquiree, is determined to be the accounting acquirer of DXL. Refer to Note 1 - Basis of Presentation for more information. Under this method of accounting, the aggregate merger consideration will be allocated to DXL’s assets acquired and liabilities assumed based upon their estimated fair values at the date of completion of the merger. The process of valuing the aggregate merger consideration and net assets of DXL immediately prior to the merger, as well as evaluating accounting policies for conformity, is preliminary. Any excess or shortfall between the estimated fair value of the consideration transferred and the estimated fair value of the assets acquired and liabilities assumed will be recorded as goodwill or gain on bargain purchase, respectively. Fair value measurements can be highly subjective, and it is possible the application of reasonable judgment could develop different assumptions resulting in a range of alternative estimates using the same facts and circumstances. Accordingly, the aggregate merger consideration allocation and related adjustments reflected in this unaudited pro forma condensed combined financial information are preliminary and subject to revision as additional information becomes available, change in market conditions, and management’s final determinations of fair value.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financial data included in the accompanying notes to the unaudited combined financial information is presented in millions of U.S. Dollars, unless otherwise stated, and has been prepared on the basis of U.S. GAAP.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presented is for informational purposes only and is not necessarily indicative of the financial position or results of operations that would have been realized if the merger and the private placement had been completed on the dates set forth above, nor is it indicative of the future results or financial position of the combined company. The unaudited pro forma condensed combined financial information does not reflect any anticipated synergies,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management believes are reasonable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120" w:after="0"/>
        <w:jc w:val="center"/>
        <w:rPr>
          <w:rFonts w:ascii="Times New Roman" w:hAnsi="Times New Roman"/>
          <w:b/>
          <w:sz w:val="20"/>
        </w:rPr>
      </w:pPr>
      <w:r>
        <w:rPr>
          <w:rFonts w:ascii="Times New Roman" w:hAnsi="Times New Roman"/>
          <w:b/>
          <w:sz w:val="20"/>
        </w:rPr>
        <w:t xml:space="preserve">As of August 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w:t>
      </w:r>
    </w:p>
    <w:p>
      <w:pPr>
        <w:pStyle w:val="TextBody"/>
        <w:bidi w:val="0"/>
        <w:spacing w:before="0" w:after="0"/>
        <w:jc w:val="left"/>
        <w:rPr/>
      </w:pPr>
      <w:r>
        <w:rPr/>
        <w:t> </w:t>
      </w:r>
    </w:p>
    <w:tbl>
      <w:tblPr>
        <w:tblW w:w="10890" w:type="dxa"/>
        <w:jc w:val="center"/>
        <w:tblInd w:w="0" w:type="dxa"/>
        <w:tblLayout w:type="fixed"/>
        <w:tblCellMar>
          <w:top w:w="0" w:type="dxa"/>
          <w:left w:w="0" w:type="dxa"/>
          <w:bottom w:w="0" w:type="dxa"/>
          <w:right w:w="0" w:type="dxa"/>
        </w:tblCellMar>
      </w:tblPr>
      <w:tblGrid>
        <w:gridCol w:w="1115"/>
        <w:gridCol w:w="60"/>
        <w:gridCol w:w="220"/>
        <w:gridCol w:w="1375"/>
        <w:gridCol w:w="155"/>
        <w:gridCol w:w="60"/>
        <w:gridCol w:w="201"/>
        <w:gridCol w:w="1259"/>
        <w:gridCol w:w="155"/>
        <w:gridCol w:w="60"/>
        <w:gridCol w:w="180"/>
        <w:gridCol w:w="1130"/>
        <w:gridCol w:w="155"/>
        <w:gridCol w:w="60"/>
        <w:gridCol w:w="164"/>
        <w:gridCol w:w="591"/>
        <w:gridCol w:w="155"/>
        <w:gridCol w:w="60"/>
        <w:gridCol w:w="204"/>
        <w:gridCol w:w="1106"/>
        <w:gridCol w:w="155"/>
        <w:gridCol w:w="60"/>
        <w:gridCol w:w="164"/>
        <w:gridCol w:w="591"/>
        <w:gridCol w:w="155"/>
        <w:gridCol w:w="60"/>
        <w:gridCol w:w="149"/>
        <w:gridCol w:w="936"/>
        <w:gridCol w:w="1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As of</w:t>
              <w:br/>
              <w:t>August 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b/>
              </w:rPr>
              <w:t>FBB Holdings</w:t>
              <w:br/>
              <w:t>I, Inc. As of</w:t>
              <w:br/>
              <w:t>July 4,</w:t>
            </w:r>
            <w:r>
              <w:rPr/>
              <w:br/>
            </w: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pPr>
            <w:r>
              <w:rPr/>
              <w:t> </w:t>
            </w:r>
          </w:p>
        </w:tc>
        <w:tc>
          <w:tcPr>
            <w:tcW w:w="1375"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pPr>
            <w:r>
              <w:rPr/>
              <w:t> </w:t>
            </w:r>
          </w:p>
        </w:tc>
        <w:tc>
          <w:tcPr>
            <w:tcW w:w="1259"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pPr>
            <w:r>
              <w:rPr/>
              <w:t> </w:t>
            </w:r>
          </w:p>
        </w:tc>
        <w:tc>
          <w:tcPr>
            <w:tcW w:w="1130"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 </w:t>
            </w:r>
          </w:p>
        </w:tc>
        <w:tc>
          <w:tcPr>
            <w:tcW w:w="591"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pPr>
            <w:r>
              <w:rPr/>
              <w:t> </w:t>
            </w:r>
          </w:p>
        </w:tc>
        <w:tc>
          <w:tcPr>
            <w:tcW w:w="1106"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 </w:t>
            </w:r>
          </w:p>
        </w:tc>
        <w:tc>
          <w:tcPr>
            <w:tcW w:w="591"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pPr>
            <w:r>
              <w:rPr/>
              <w:t> </w:t>
            </w:r>
          </w:p>
        </w:tc>
        <w:tc>
          <w:tcPr>
            <w:tcW w:w="936"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r>
      <w:tr>
        <w:trPr/>
        <w:tc>
          <w:tcPr>
            <w:tcW w:w="1115"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17,022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(1,101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18,115</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Short-term investments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3,087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3,087</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1,593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6,531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8,124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75,509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114,818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190,327</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8,728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21,940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30,592</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105,939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146,483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250,245</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Property, plant, and equipment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56,611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31,514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(49,506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38,619</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191,368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24,675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(17,966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198,077</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Intangible assets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129,836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129,836</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1,303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2,574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Deferred tax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14,833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14,833</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355,784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348,644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(70,028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634,184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35" w:type="dxa"/>
            <w:gridSpan w:val="28"/>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Current liabilities:</w:t>
            </w:r>
          </w:p>
        </w:tc>
        <w:tc>
          <w:tcPr>
            <w:tcW w:w="155" w:type="dxa"/>
            <w:tcBorders/>
            <w:shd w:fill="CCEEFF" w:val="clear"/>
          </w:tcPr>
          <w:p>
            <w:pPr>
              <w:pStyle w:val="TableContents"/>
              <w:bidi w:val="0"/>
              <w:spacing w:before="0" w:after="0"/>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22,915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49,580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72,495</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21,371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40,255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64,405</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Short-term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36,663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7,451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44,114</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34,039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(27,039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80,949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131,325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(27,039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188,014</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Other noncurrent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2,945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2,166</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245,031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(46,857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198,174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Long-term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170,140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20,212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190,352</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170,300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268,188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(46,857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390,692</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251,249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399,513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1,840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(73,896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578,706</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Convertible preferred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735" w:type="dxa"/>
            <w:gridSpan w:val="28"/>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Stockholders’ equity:</w:t>
            </w:r>
          </w:p>
        </w:tc>
        <w:tc>
          <w:tcPr>
            <w:tcW w:w="155" w:type="dxa"/>
            <w:tcBorders/>
            <w:shd w:fill="CCEEFF" w:val="clear"/>
          </w:tcPr>
          <w:p>
            <w:pPr>
              <w:pStyle w:val="TableContents"/>
              <w:bidi w:val="0"/>
              <w:spacing w:before="0" w:after="0"/>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Common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1,246</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331,353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(272,356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73,215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335,826</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sz w:val="18"/>
              </w:rPr>
            </w:pPr>
            <w:r>
              <w:rPr>
                <w:rFonts w:ascii="Times New Roman" w:hAnsi="Times New Roman"/>
                <w:sz w:val="18"/>
              </w:rPr>
              <w:t>Treasury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(83,645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(276,204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78,471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(281,594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104,535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(72,581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(50,156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73,680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55,478</w:t>
            </w:r>
          </w:p>
        </w:tc>
        <w:tc>
          <w:tcPr>
            <w:tcW w:w="155" w:type="dxa"/>
            <w:tcBorders/>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355,784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348,644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(70,028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634,184</w:t>
            </w:r>
          </w:p>
        </w:tc>
        <w:tc>
          <w:tcPr>
            <w:tcW w:w="155" w:type="dxa"/>
            <w:tcBorders/>
            <w:shd w:fill="CCEEFF" w:val="clear"/>
            <w:vAlign w:val="bottom"/>
          </w:tcPr>
          <w:p>
            <w:pPr>
              <w:pStyle w:val="TableContents"/>
              <w:bidi w:val="0"/>
              <w:spacing w:before="0" w:after="283"/>
              <w:jc w:val="left"/>
              <w:rPr/>
            </w:pPr>
            <w:r>
              <w:rPr/>
              <w:t> </w:t>
            </w:r>
          </w:p>
        </w:tc>
      </w:tr>
      <w:tr>
        <w:trPr/>
        <w:tc>
          <w:tcPr>
            <w:tcW w:w="1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Six Months Ended August 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1300" w:type="dxa"/>
        <w:jc w:val="center"/>
        <w:tblInd w:w="0" w:type="dxa"/>
        <w:tblLayout w:type="fixed"/>
        <w:tblCellMar>
          <w:top w:w="0" w:type="dxa"/>
          <w:left w:w="0" w:type="dxa"/>
          <w:bottom w:w="0" w:type="dxa"/>
          <w:right w:w="0" w:type="dxa"/>
        </w:tblCellMar>
      </w:tblPr>
      <w:tblGrid>
        <w:gridCol w:w="1400"/>
        <w:gridCol w:w="120"/>
        <w:gridCol w:w="235"/>
        <w:gridCol w:w="1345"/>
        <w:gridCol w:w="155"/>
        <w:gridCol w:w="60"/>
        <w:gridCol w:w="248"/>
        <w:gridCol w:w="1422"/>
        <w:gridCol w:w="155"/>
        <w:gridCol w:w="60"/>
        <w:gridCol w:w="236"/>
        <w:gridCol w:w="1074"/>
        <w:gridCol w:w="155"/>
        <w:gridCol w:w="60"/>
        <w:gridCol w:w="110"/>
        <w:gridCol w:w="645"/>
        <w:gridCol w:w="60"/>
        <w:gridCol w:w="60"/>
        <w:gridCol w:w="204"/>
        <w:gridCol w:w="1106"/>
        <w:gridCol w:w="155"/>
        <w:gridCol w:w="60"/>
        <w:gridCol w:w="129"/>
        <w:gridCol w:w="626"/>
        <w:gridCol w:w="60"/>
        <w:gridCol w:w="60"/>
        <w:gridCol w:w="170"/>
        <w:gridCol w:w="975"/>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Six</w:t>
              <w:br/>
              <w:t>Months Ended</w:t>
              <w:br/>
              <w:t>August 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 Holdings I,</w:t>
              <w:br/>
              <w:t>Inc. Twenty-Six</w:t>
              <w:br/>
              <w:t>Weeks Ended</w:t>
              <w:br/>
              <w:t>July 4,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sales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214,891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311,749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526,640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Cost of merchandise sold</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116,556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121,676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(1,633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236,599</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profit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98,335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190,073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1,633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290,041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91,387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184,833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276,220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7,942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6,146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(6,705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7,383</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2,283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5,290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102,336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193,262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(6,705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288,893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(4,001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(3,189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8,338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1,148</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22,299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(16,916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center"/>
              <w:rPr/>
            </w:pPr>
            <w:r>
              <w:rPr/>
              <w: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5,205</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(3,861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(25,488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8,376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16,916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(4,057</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4,147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2,037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4,114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10,327</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(29,635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6,339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12,802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(14,384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4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55,094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123,803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Year Ended January 31,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0495" w:type="dxa"/>
        <w:jc w:val="center"/>
        <w:tblInd w:w="0" w:type="dxa"/>
        <w:tblLayout w:type="fixed"/>
        <w:tblCellMar>
          <w:top w:w="0" w:type="dxa"/>
          <w:left w:w="0" w:type="dxa"/>
          <w:bottom w:w="0" w:type="dxa"/>
          <w:right w:w="0" w:type="dxa"/>
        </w:tblCellMar>
      </w:tblPr>
      <w:tblGrid>
        <w:gridCol w:w="1400"/>
        <w:gridCol w:w="60"/>
        <w:gridCol w:w="235"/>
        <w:gridCol w:w="1345"/>
        <w:gridCol w:w="155"/>
        <w:gridCol w:w="60"/>
        <w:gridCol w:w="217"/>
        <w:gridCol w:w="1243"/>
        <w:gridCol w:w="155"/>
        <w:gridCol w:w="60"/>
        <w:gridCol w:w="204"/>
        <w:gridCol w:w="1106"/>
        <w:gridCol w:w="155"/>
        <w:gridCol w:w="60"/>
        <w:gridCol w:w="560"/>
        <w:gridCol w:w="60"/>
        <w:gridCol w:w="204"/>
        <w:gridCol w:w="1106"/>
        <w:gridCol w:w="155"/>
        <w:gridCol w:w="60"/>
        <w:gridCol w:w="560"/>
        <w:gridCol w:w="60"/>
        <w:gridCol w:w="140"/>
        <w:gridCol w:w="980"/>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w:t>
              <w:br/>
              <w:t>January 31,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 Holdings</w:t>
              <w:br/>
              <w:t>I, Inc. Year</w:t>
              <w:br/>
              <w:t>Ended</w:t>
              <w:br/>
              <w:t>January 3,</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 4)</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 5)</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435,017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1,155,349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247,645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(3,266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534,233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b/>
              </w:rPr>
            </w:pPr>
            <w:r>
              <w:rPr>
                <w:b/>
              </w:rPr>
              <w:t>Gross profit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187,372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3,266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621,116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185,762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406,227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(l)</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594,384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15,331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(13,406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15,517</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4,816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(n)</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11,823</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(gain) of assets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b/>
              </w:rPr>
            </w:pPr>
            <w:r>
              <w:rPr>
                <w:b/>
              </w:rPr>
              <w:t>Total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205,531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440,600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(8,232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637,899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(18,159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11,498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(16,783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(o)</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(27,918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9,936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(f)</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(17,349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(48,685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11,611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27,704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(26,719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18,559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2,824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(p)</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6,738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36,127</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(35,908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8,787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20,966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(62,846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(0.51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54,104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122,813</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and related notes are prepared in accordance with Article 11 of Regulation S-X as amended by the final rule, Release No. 33-10786 “Amendments to Financial Disclosures about Acquired and Disposed Businesses”. </w:t>
      </w:r>
    </w:p>
    <w:p>
      <w:pPr>
        <w:pStyle w:val="TextBody"/>
        <w:bidi w:val="0"/>
        <w:spacing w:before="240" w:after="0"/>
        <w:jc w:val="left"/>
        <w:rPr>
          <w:rFonts w:ascii="Times New Roman" w:hAnsi="Times New Roman"/>
          <w:sz w:val="20"/>
        </w:rPr>
      </w:pPr>
      <w:r>
        <w:rPr>
          <w:rFonts w:ascii="Times New Roman" w:hAnsi="Times New Roman"/>
          <w:sz w:val="20"/>
        </w:rPr>
        <w:t xml:space="preserve">DXL and FBB’s historical financial statements were prepared in accordance with U.S. GAAP and presented in U.S. dollars. As discussed in Note 2, certain reclassifications were made to align DXL and FBB’s financial statement presentation. Management is currently in the process of evaluating the alignment of accounting policies, which will be finalized upon completion of the merger, or as more information becomes available. As a result of that review, additional differences could be identified between the accounting policies of the two companies. With the information currently available, FBB has determined that no significant adjustments are necessary to conform DXL’s financial statements to the accounting policies used by FBB. </w:t>
      </w:r>
    </w:p>
    <w:p>
      <w:pPr>
        <w:pStyle w:val="TextBody"/>
        <w:bidi w:val="0"/>
        <w:spacing w:before="240" w:after="0"/>
        <w:jc w:val="left"/>
        <w:rPr>
          <w:rFonts w:ascii="Times New Roman" w:hAnsi="Times New Roman"/>
          <w:sz w:val="20"/>
        </w:rPr>
      </w:pPr>
      <w:r>
        <w:rPr>
          <w:rFonts w:ascii="Times New Roman" w:hAnsi="Times New Roman"/>
          <w:sz w:val="20"/>
        </w:rPr>
        <w:t xml:space="preserve">The merger is accounted for as a business combination and a reverse acquisition pursuant to ASC 805, where FBB, the legal acquiree, is determined to be the accounting acquirer of DXL based upon an evaluation of the following primary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FBB shareholders will have approximately 55% of the voting rights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surpasses DXL in size as measured in key performance metrics including revenue, assets and Earnings Before Interest, Taxes, Depreciation, and Amortization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existing senior management team is expected to have greater influence and control, including the FBB Chief Executive Officer continuing as the Chief Executive Officer and becoming a director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DXL and committees thereof will be comprised of four members designated by DXL, four members designated by FBB, including the FBB Chief Executive Officer, and an additional board member to be appointed upon approval of both DXL and FBB.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reverse acquisition method of accounting, the assets and liabilities of DXL as of the closing date will be recognized by FBB at their respective fair values, and the excess or shortfall of the purchase price consideration over the fair value of DXL’s net assets will be recognized as goodwill or gain on bargain purchase, respectively. Fair value is defined in Accounting Standards Codification Topic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using the same facts and circumstances. Upon consummation of the merger, the historical financial statements of FBB will become the historical consolidated financial statements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measurement and allocation of the aggregate merger consideration depends upon certain estimates and assumptions, all of which are preliminary. The allocation of the aggregate merger consideration has been made for the purpose of developing the unaudited pro forma condensed combined financial information. The final determination of fair values of assets acquired and liabilities assumed relating to the merger could differ materially from the preliminary allocation of aggregate merger consideration. The final valuation will be based on the actual net tangible and intangible assets of DXL existing at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Transactions as if those Transactions had been completed on August 1, 2026 and combines the unaudited condensed consolidated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sheet of FBB as of July 4, 2026 with DXL’s unaudited consolidated balance sheet as of August 1, 2026. The unaudited pro forma condensed combined statement of operations for the six months ended August 1, 2026 and fiscal year ended January 31, 2026 gives effect to the Transactions as if those Transactions had occurred on February 2, 2025, the beginning of DXL’s fiscal year ended and combines the historical results of FBB and DXL. </w:t>
      </w:r>
    </w:p>
    <w:p>
      <w:pPr>
        <w:pStyle w:val="TextBody"/>
        <w:bidi w:val="0"/>
        <w:spacing w:before="240" w:after="0"/>
        <w:jc w:val="left"/>
        <w:rPr>
          <w:rFonts w:ascii="Times New Roman" w:hAnsi="Times New Roman"/>
          <w:sz w:val="20"/>
        </w:rPr>
      </w:pPr>
      <w:r>
        <w:rPr>
          <w:rFonts w:ascii="Times New Roman" w:hAnsi="Times New Roman"/>
          <w:sz w:val="20"/>
        </w:rPr>
        <w:t xml:space="preserve">DXL’s fiscal year ends on January 31, 2026 and FBB’s fiscal year ends on January 3, 2026. The unaudited pro forma condensed combined financial information has been prepared utilizing periods that differ by less than one quarter, as permitted by SEC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presented are for illustrative purposes only and are not necessarily indicative of what the condensed combined statements of operations would have been had the merger and other related transactions been consummated as of the dates indicated or will be for any future periods. The unaudited pro forma condensed combined financial statements do not purport to project the future results of operations of the combined companies following the closing date of the merger. The unaudited pro forma condensed combined financial information does not reflect any anticipated synergies or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FBB and DXL believe are reasonable under the circumstances. FBB is not aware of any material transactions between FBB and DXL during the period presented. Accordingly, adjustments to eliminate transactions between FBB and DXL have not been reflected in the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2 - FBB and DXL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this unaudited pro forma condensed combined financial information, management performed a preliminary analysis of DXL’s and FBB’s financial information to identify material differences in accounting policies and differences in financial statement presentation. With the information currently available, management has determined that no significant adjustments are necessary to conform accounting policies of the combined companies. However, certain reclassification adjustments have been made to conform historical financial statement presentation to the financial statement presentation of the combined company. Following the merger, the combined company will finalize the review of accounting policies and reclassifications, which could be materially different from the amounts set forth in the unaudited pro forma condensed combined financial information presented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reclassification adjustments made to present DXL’s balance sheet as of August 1, 2026 to conform with that of FBB’s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0"/>
        <w:gridCol w:w="176"/>
        <w:gridCol w:w="3808"/>
        <w:gridCol w:w="176"/>
        <w:gridCol w:w="389"/>
        <w:gridCol w:w="2437"/>
        <w:gridCol w:w="159"/>
      </w:tblGrid>
      <w:tr>
        <w:trPr/>
        <w:tc>
          <w:tcPr>
            <w:tcW w:w="30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Destination XL Group, Inc. Historical</w:t>
              <w:br/>
              <w:t>Consolidated Balance Sheet Line Items</w:t>
            </w:r>
          </w:p>
        </w:tc>
        <w:tc>
          <w:tcPr>
            <w:tcW w:w="176" w:type="dxa"/>
            <w:tcBorders/>
            <w:vAlign w:val="bottom"/>
          </w:tcPr>
          <w:p>
            <w:pPr>
              <w:pStyle w:val="TableContents"/>
              <w:bidi w:val="0"/>
              <w:spacing w:before="0" w:after="283"/>
              <w:jc w:val="left"/>
              <w:rPr/>
            </w:pPr>
            <w:r>
              <w:rPr/>
              <w:t>  </w:t>
            </w:r>
          </w:p>
        </w:tc>
        <w:tc>
          <w:tcPr>
            <w:tcW w:w="380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FBB Holdings I, Inc. Historical Consolidated</w:t>
            </w:r>
          </w:p>
          <w:p>
            <w:pPr>
              <w:pStyle w:val="TableContents"/>
              <w:bidi w:val="0"/>
              <w:spacing w:before="0" w:after="20"/>
              <w:jc w:val="center"/>
              <w:rPr>
                <w:rFonts w:ascii="Times New Roman" w:hAnsi="Times New Roman"/>
                <w:b/>
                <w:sz w:val="16"/>
              </w:rPr>
            </w:pPr>
            <w:r>
              <w:rPr>
                <w:rFonts w:ascii="Times New Roman" w:hAnsi="Times New Roman"/>
                <w:b/>
                <w:sz w:val="16"/>
              </w:rPr>
              <w:t>Balance Sheet Line Items</w:t>
            </w:r>
          </w:p>
        </w:tc>
        <w:tc>
          <w:tcPr>
            <w:tcW w:w="176" w:type="dxa"/>
            <w:tcBorders/>
            <w:vAlign w:val="bottom"/>
          </w:tcPr>
          <w:p>
            <w:pPr>
              <w:pStyle w:val="TableContents"/>
              <w:bidi w:val="0"/>
              <w:spacing w:before="0" w:after="283"/>
              <w:jc w:val="left"/>
              <w:rPr/>
            </w:pPr>
            <w:r>
              <w:rPr/>
              <w:t>  </w:t>
            </w:r>
          </w:p>
        </w:tc>
        <w:tc>
          <w:tcPr>
            <w:tcW w:w="2826"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r>
            <w:r>
              <w:rPr/>
              <w:br/>
            </w:r>
            <w:r>
              <w:rPr>
                <w:b/>
              </w:rPr>
              <w:t>Reclassed</w:t>
            </w:r>
            <w:r>
              <w:rPr/>
              <w:br/>
            </w:r>
            <w:r>
              <w:rPr>
                <w:b/>
              </w:rPr>
              <w:t>As of August 1, 2026</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Cash and cash equivalents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2437" w:type="dxa"/>
            <w:tcBorders/>
            <w:shd w:fill="CCEEFF" w:val="clear"/>
            <w:vAlign w:val="bottom"/>
          </w:tcPr>
          <w:p>
            <w:pPr>
              <w:pStyle w:val="TableContents"/>
              <w:bidi w:val="0"/>
              <w:spacing w:before="0" w:after="283"/>
              <w:jc w:val="right"/>
              <w:rPr/>
            </w:pPr>
            <w:r>
              <w:rPr/>
              <w:t>17,022</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3,087</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Accounts receivable</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1,593</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Merchandise inventories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75,509</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8,728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 and amortization</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Property, plant, and equipment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56,611</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191,368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Intangible assets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1,150</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non-current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716</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Accounts payable</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22,915</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Accrued expenses and other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21,371</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 current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Short-term operating lease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36,663</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 noncurrent</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Long-term operating lease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170,140</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Other non-current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160</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Common stock</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812</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Additional paid-in capital</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331,353</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(143,985</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Accumulated deficit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(83,645</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six months ended August 1, 2026 to conform with that of FBB’s (in thousands): </w:t>
      </w:r>
    </w:p>
    <w:p>
      <w:pPr>
        <w:pStyle w:val="TextBody"/>
        <w:bidi w:val="0"/>
        <w:spacing w:before="0" w:after="0"/>
        <w:jc w:val="left"/>
        <w:rPr/>
      </w:pPr>
      <w:r>
        <w:rPr/>
        <w:t> </w:t>
      </w:r>
    </w:p>
    <w:tbl>
      <w:tblPr>
        <w:tblW w:w="14155"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371"/>
        <w:gridCol w:w="1209"/>
        <w:gridCol w:w="155"/>
        <w:gridCol w:w="60"/>
        <w:gridCol w:w="60"/>
        <w:gridCol w:w="440"/>
        <w:gridCol w:w="155"/>
        <w:gridCol w:w="60"/>
        <w:gridCol w:w="335"/>
        <w:gridCol w:w="1920"/>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r>
            <w:r>
              <w:rPr/>
              <w:br/>
            </w:r>
            <w:r>
              <w:rPr>
                <w:b/>
              </w:rPr>
              <w:t>Six Months Ended</w:t>
            </w:r>
            <w:r>
              <w:rPr/>
              <w:br/>
            </w:r>
            <w:r>
              <w:rPr>
                <w:b/>
              </w:rPr>
              <w:t>August 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 Reclassed</w:t>
              <w:br/>
              <w:t>Six Months Ended</w:t>
              <w:br/>
              <w:t>August 1, 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214,891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w:t>
            </w:r>
          </w:p>
        </w:tc>
        <w:tc>
          <w:tcPr>
            <w:tcW w:w="1920" w:type="dxa"/>
            <w:tcBorders/>
            <w:shd w:fill="CCEEFF" w:val="clear"/>
            <w:vAlign w:val="bottom"/>
          </w:tcPr>
          <w:p>
            <w:pPr>
              <w:pStyle w:val="TableContents"/>
              <w:bidi w:val="0"/>
              <w:spacing w:before="0" w:after="283"/>
              <w:jc w:val="right"/>
              <w:rPr/>
            </w:pPr>
            <w:r>
              <w:rPr/>
              <w:t>214,891</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115,729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827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116,556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92,214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(827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91,387</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3,007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3,007</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7,942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7,942</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Interest expense – net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Income tax expense (benefit)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$1.7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$0.9 million of third-party commissions from cost of merchandise sold to selling, general, and administrative.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year ended January 31, 2026 to conform with that of FBB’s (in thousands): </w:t>
      </w:r>
    </w:p>
    <w:p>
      <w:pPr>
        <w:pStyle w:val="TextBody"/>
        <w:bidi w:val="0"/>
        <w:spacing w:before="0" w:after="0"/>
        <w:jc w:val="left"/>
        <w:rPr/>
      </w:pPr>
      <w:r>
        <w:rPr/>
        <w:t> </w:t>
      </w:r>
    </w:p>
    <w:tbl>
      <w:tblPr>
        <w:tblW w:w="13870"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285"/>
        <w:gridCol w:w="1295"/>
        <w:gridCol w:w="155"/>
        <w:gridCol w:w="60"/>
        <w:gridCol w:w="60"/>
        <w:gridCol w:w="440"/>
        <w:gridCol w:w="155"/>
        <w:gridCol w:w="60"/>
        <w:gridCol w:w="293"/>
        <w:gridCol w:w="1677"/>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br/>
              <w:t>Year Ended</w:t>
            </w:r>
            <w:r>
              <w:rPr/>
              <w:br/>
            </w:r>
            <w:r>
              <w:rPr>
                <w:b/>
              </w:rPr>
              <w:t>January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 January 31,</w:t>
              <w:br/>
              <w:t>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246,030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247,645</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187,377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185,762</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(gain) of assets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Depreciation and amortization</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Interest expense – net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Income tax expense (benefit)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$3.4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$1.8 million of third-party commissions from cost of merchandise sold to selling, general, and administrative.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 Preliminary Purchase Price Allocation </w:t>
      </w:r>
    </w:p>
    <w:p>
      <w:pPr>
        <w:pStyle w:val="TextBody"/>
        <w:bidi w:val="0"/>
        <w:spacing w:before="120" w:after="0"/>
        <w:jc w:val="left"/>
        <w:rPr>
          <w:rFonts w:ascii="Times New Roman" w:hAnsi="Times New Roman"/>
          <w:i/>
          <w:sz w:val="20"/>
        </w:rPr>
      </w:pPr>
      <w:r>
        <w:rPr>
          <w:rFonts w:ascii="Times New Roman" w:hAnsi="Times New Roman"/>
          <w:i/>
          <w:sz w:val="20"/>
        </w:rPr>
        <w:t xml:space="preserve">Estimated Aggregate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acquiree DXL’s stock price is used to measure the consideration transferred in this reverse acquisition, as DXL’s stock price is more reliably measurable than the value of the equity interest of the accounting acquirer FBB, which is a privately held entity. The following table presents the calculation of the estimated preliminary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99"/>
        <w:gridCol w:w="365"/>
        <w:gridCol w:w="146"/>
        <w:gridCol w:w="767"/>
        <w:gridCol w:w="62"/>
      </w:tblGrid>
      <w:tr>
        <w:trPr/>
        <w:tc>
          <w:tcPr>
            <w:tcW w:w="5599"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9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36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shares issued and outstanding as of August 1, 2026, on a fully diluted basis using the treasury stock method</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56,217</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DXL stock price(1)</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0.62</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purchase price consideration for DXL’s stock outstanding</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34,854</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Cash consideration payable for FBB Unaccredited Investor Shares and Appraisal Shares</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DXL stock-based compensation awards attributable to pre-combination service</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754</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preliminary aggregate merger consideration</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35,608</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closing stock price on September 9, 2026 is used as proxy for the market price of DXL shares on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preliminary estimated aggregate merger consideration could significantly differ from the amounts presented, principally due to movements in the DXL share price up to the closing date. A sensitivity analysis related to the fluctuation in the DXL share price was performed to assess the impact a hypothetical change of 10% on the closing price of DXL common stock on September 9, 2026 would have on the estimated preliminary aggregate merger consideration as of the closing date: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5"/>
        <w:gridCol w:w="416"/>
        <w:gridCol w:w="285"/>
        <w:gridCol w:w="894"/>
        <w:gridCol w:w="60"/>
        <w:gridCol w:w="416"/>
        <w:gridCol w:w="282"/>
        <w:gridCol w:w="1403"/>
        <w:gridCol w:w="64"/>
      </w:tblGrid>
      <w:tr>
        <w:trPr/>
        <w:tc>
          <w:tcPr>
            <w:tcW w:w="393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416"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Estimated</w:t>
              <w:br/>
              <w:t>Consideration</w:t>
            </w:r>
          </w:p>
        </w:tc>
        <w:tc>
          <w:tcPr>
            <w:tcW w:w="64"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increase</w:t>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0.68</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39,094</w:t>
            </w:r>
          </w:p>
        </w:tc>
        <w:tc>
          <w:tcPr>
            <w:tcW w:w="64"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10% decrease</w:t>
            </w:r>
          </w:p>
        </w:tc>
        <w:tc>
          <w:tcPr>
            <w:tcW w:w="41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0.56</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32,123</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Preliminary Estimated Aggregate Merger Consideration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assumed accounting for the merger, including the estimated preliminary aggregate merger consideration, is based on provisional amounts, and the associated purchase accounting is not final. The preliminary allocation of the purchase price to the acquired assets and assumed liabilities was based upon the preliminary estimate of fair values. For the preliminary estimate of fair values of assets acquired and liabilities assumed of DXL, management used a combination of publicly available benchmarking information as well as market-based and cost-based valuation approaches and inputs representative of market participant assumptions based on information available at the timing of filing of this Proxy Statement. Management expects to use updated inputs and information as of the merger close date in conjunction with widely accepted income-based, market-based, and cost-based valuation approaches upon finalization of purchase accounting for the merger. Actual results may differ materially from the assumptions within the accompanying unaudited pro forma condensed combined financial information. The unaudited pro forma adjustments are based upon available information and certain assumptions that management believes are reasonable under the circumstances. The purchase price adjustments reflected in the unaudited pro forma condensed combined financial information are preliminary and subject to change, as additional information becomes available and as additional analyses are performed, and the actual amounts eventually recorded may differ materially from the information presented, which may result in an increase or decrease the fair value of identifiable assets as well as result in the recognition of goodwill or a gain on bargain purchase.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preliminary aggregate merger consideration allocation as of August 1,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9"/>
        <w:gridCol w:w="518"/>
        <w:gridCol w:w="141"/>
        <w:gridCol w:w="879"/>
        <w:gridCol w:w="62"/>
      </w:tblGrid>
      <w:tr>
        <w:trPr/>
        <w:tc>
          <w:tcPr>
            <w:tcW w:w="5339"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 thousands)</w:t>
            </w:r>
          </w:p>
        </w:tc>
        <w:tc>
          <w:tcPr>
            <w:tcW w:w="518"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Assets</w:t>
            </w:r>
            <w:r>
              <w:rPr>
                <w:rFonts w:ascii="Times New Roman" w:hAnsi="Times New Roman"/>
                <w:sz w:val="20"/>
              </w:rPr>
              <w:t>:</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17,022</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3,087</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1,593</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75,509</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8,652</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 net</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7,105</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173,402</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487</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22,915</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21,371</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36,663</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160</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170,140</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35,608</w:t>
            </w:r>
          </w:p>
        </w:tc>
        <w:tc>
          <w:tcPr>
            <w:tcW w:w="62" w:type="dxa"/>
            <w:tcBorders/>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aggregate merger consideration</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35,608</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 Adjustments to the Unaudited Pro Forma Condensed Combined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Explanations of the Transaction Accounting Adjustments to the unaudited pro forma condensed combined financial statements are as follows: </w:t>
      </w:r>
    </w:p>
    <w:p>
      <w:pPr>
        <w:pStyle w:val="TextBody"/>
        <w:bidi w:val="0"/>
        <w:spacing w:before="120" w:after="0"/>
        <w:jc w:val="left"/>
        <w:rPr>
          <w:rFonts w:ascii="Times New Roman" w:hAnsi="Times New Roman"/>
          <w:b/>
          <w:i/>
          <w:sz w:val="20"/>
        </w:rPr>
      </w:pPr>
      <w:r>
        <w:rPr>
          <w:rFonts w:ascii="Times New Roman" w:hAnsi="Times New Roman"/>
          <w:b/>
          <w:i/>
          <w:sz w:val="20"/>
        </w:rPr>
        <w:t xml:space="preserve">4.a Adjustments to the Unaudited Pro Forma Condensed Combined Balance Sheet as of August 1, 2026 </w:t>
      </w:r>
    </w:p>
    <w:p>
      <w:pPr>
        <w:pStyle w:val="TextBody"/>
        <w:bidi w:val="0"/>
        <w:spacing w:before="120" w:after="0"/>
        <w:jc w:val="left"/>
        <w:rPr>
          <w:rFonts w:ascii="Times New Roman" w:hAnsi="Times New Roman"/>
          <w:b/>
          <w:sz w:val="20"/>
        </w:rPr>
      </w:pPr>
      <w:r>
        <w:rPr>
          <w:rFonts w:ascii="Times New Roman" w:hAnsi="Times New Roman"/>
          <w:b/>
          <w:sz w:val="20"/>
        </w:rPr>
        <w:t xml:space="preserve">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17"/>
        <w:gridCol w:w="377"/>
        <w:gridCol w:w="155"/>
        <w:gridCol w:w="731"/>
        <w:gridCol w:w="159"/>
      </w:tblGrid>
      <w:tr>
        <w:trPr/>
        <w:tc>
          <w:tcPr>
            <w:tcW w:w="5517"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7"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7"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9" w:type="dxa"/>
            <w:tcBorders/>
            <w:vAlign w:val="bottom"/>
          </w:tcPr>
          <w:p>
            <w:pPr>
              <w:pStyle w:val="TableContents"/>
              <w:bidi w:val="0"/>
              <w:spacing w:before="0" w:after="283"/>
              <w:jc w:val="left"/>
              <w:rPr/>
            </w:pPr>
            <w:r>
              <w:rPr/>
              <w:t> </w:t>
            </w:r>
          </w:p>
        </w:tc>
      </w:tr>
      <w:tr>
        <w:trPr/>
        <w:tc>
          <w:tcPr>
            <w:tcW w:w="5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accrued dividends to FBB’s equity awards with accelerated vesting in connection with the Merger</w:t>
            </w:r>
          </w:p>
        </w:tc>
        <w:tc>
          <w:tcPr>
            <w:tcW w:w="37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(939</w:t>
            </w:r>
          </w:p>
        </w:tc>
        <w:tc>
          <w:tcPr>
            <w:tcW w:w="159" w:type="dxa"/>
            <w:tcBorders/>
            <w:shd w:fill="CCEEFF" w:val="clear"/>
            <w:vAlign w:val="bottom"/>
          </w:tcPr>
          <w:p>
            <w:pPr>
              <w:pStyle w:val="TableContents"/>
              <w:bidi w:val="0"/>
              <w:spacing w:before="0" w:after="283"/>
              <w:jc w:val="left"/>
              <w:rPr/>
            </w:pPr>
            <w:r>
              <w:rPr/>
              <w:t>) </w:t>
            </w:r>
          </w:p>
        </w:tc>
      </w:tr>
      <w:tr>
        <w:trPr/>
        <w:tc>
          <w:tcPr>
            <w:tcW w:w="5517"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37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(162</w:t>
            </w:r>
          </w:p>
        </w:tc>
        <w:tc>
          <w:tcPr>
            <w:tcW w:w="159" w:type="dxa"/>
            <w:tcBorders/>
            <w:vAlign w:val="bottom"/>
          </w:tcPr>
          <w:p>
            <w:pPr>
              <w:pStyle w:val="TableContents"/>
              <w:bidi w:val="0"/>
              <w:spacing w:before="0" w:after="283"/>
              <w:jc w:val="left"/>
              <w:rPr/>
            </w:pPr>
            <w:r>
              <w:rPr/>
              <w:t>) </w:t>
            </w:r>
          </w:p>
        </w:tc>
      </w:tr>
      <w:tr>
        <w:trPr/>
        <w:tc>
          <w:tcPr>
            <w:tcW w:w="5517"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37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(1,101</w:t>
            </w:r>
          </w:p>
        </w:tc>
        <w:tc>
          <w:tcPr>
            <w:tcW w:w="159" w:type="dxa"/>
            <w:tcBorders/>
            <w:shd w:fill="CCEEFF" w:val="clear"/>
            <w:vAlign w:val="bottom"/>
          </w:tcPr>
          <w:p>
            <w:pPr>
              <w:pStyle w:val="TableContents"/>
              <w:bidi w:val="0"/>
              <w:spacing w:before="0" w:after="283"/>
              <w:jc w:val="left"/>
              <w:rPr/>
            </w:pPr>
            <w:r>
              <w:rPr/>
              <w:t>) </w:t>
            </w:r>
          </w:p>
        </w:tc>
      </w:tr>
      <w:tr>
        <w:trPr/>
        <w:tc>
          <w:tcPr>
            <w:tcW w:w="5517"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$0.1 million of DXL’s capitalized debt issuance costs pursuant to ASC Topic 805.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for property, plant, and equipment based on the acquisition method of accounting, adjusted to their preliminary estimated fair value.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fair value of property, plant, and equipment acquired</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7,105</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of DXL’s historical net carrying value of property, plant, and equipment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(56,611</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Property, plant, and equipment – net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(49,506</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to right-of-use assets of $15.4 million, to measure the operating lease right-of-use assets at the same amount as the associated lease liability in accordance with the acquisition method of accounting, which is offset by an adjustment of $33.4 million related to the net unfavorable terms of the leases when compared with market terms. The calculated value is preliminary and subject to change and could vary materially from the final purchase price allocation.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e)</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of $1.2 million to reduce the fair value of intangible assets to zero.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$0.2 million of DXL’s capitalized debt issuance costs pursuant to ASC Topic 805.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considered the impact of the business combination fair value and other pro forma adjustments that impact deferred taxes, and due to the significant valuation allowances at DXL, no adjustments to the deferred taxes are needed. As such, post-merger, there will be a full valuation allowance against DXL’s deferred tax assets resulting in no overall impact on deferred taxes. The effective tax rate of the combined company could be different (either higher or lower) depending on post-merger activities and valuation allowance assessments, including cash needs, the geographical mix of income and changes in tax law. Because the tax rates used for the unaudited pro forma condensed combined financial information are estimated, the blended rate will likely vary from the actual effective rate in reporting periods subsequent to completion of the merger.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estimated transaction costs to be incurred in order to consummate the merger amounts to $2.8 million.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accrued dividends for FBB’s equity awards with accelerated vesting in connection with the merger of $0.9 million.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j)</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stockholders’ equity, including elimination of the acquiree’s historical equity and transaction costs.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70"/>
        <w:gridCol w:w="175"/>
        <w:gridCol w:w="157"/>
        <w:gridCol w:w="866"/>
        <w:gridCol w:w="155"/>
        <w:gridCol w:w="120"/>
        <w:gridCol w:w="229"/>
        <w:gridCol w:w="739"/>
        <w:gridCol w:w="155"/>
        <w:gridCol w:w="120"/>
        <w:gridCol w:w="143"/>
        <w:gridCol w:w="838"/>
        <w:gridCol w:w="60"/>
        <w:gridCol w:w="174"/>
        <w:gridCol w:w="218"/>
        <w:gridCol w:w="1364"/>
        <w:gridCol w:w="155"/>
        <w:gridCol w:w="120"/>
        <w:gridCol w:w="234"/>
        <w:gridCol w:w="1147"/>
        <w:gridCol w:w="166"/>
      </w:tblGrid>
      <w:tr>
        <w:trPr/>
        <w:tc>
          <w:tcPr>
            <w:tcW w:w="287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175"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Treasury</w:t>
              <w:br/>
              <w:t>Stock</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 Capital</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DXL’s historical equity</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(812</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143,985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(331,353</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83,645</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Recapitalization of FBB equity</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21,715</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DXL</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559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35,049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Estimated transaction costs</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(2,779</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FBB share-based compensation expense related to accelerated vesting in connection with the Merger</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2,233</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(2,233</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(162</w:t>
            </w:r>
          </w:p>
        </w:tc>
        <w:tc>
          <w:tcPr>
            <w:tcW w:w="166"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stockholders’ equity</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(21,712</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143,985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(272,356</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78,471</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7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14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4.b Adjustments to the Unaudited Pro Forma Condensed Combined Statement of Operations for the six months ended August 1,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$1.6 million and $3.3 million for the six months ended August 1, 2026 and the year ended January 31, 2026, respectively, to cost of merchandise sold for lease expense related to the remeasurement of the right-of-use assets, including the fair value of the off-market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$2.4 million for the year ended January 31, 2026 to selling, general and administrative expenses for FBB’s share-based compensation expense, and anti-dilutive protection that was triggered as a result of the Transactions.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$6.7 million and $13.4 million for the six months ended August 1, 2026 and the year ended January 31, 2026, respectively, to eliminate historical depreciation and amortization expense related to the write-down of property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n)</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$2.8 million for the year ended January 31, 2026 related to FBB’s transaction-related expenses. Additionally, transaction-related expenses incurred by DXL and FBB during the applicable historical periods are reflected in the respective historical financial statements included herein.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reversal of $38.1 thousand and $0.1 million for the six months ended August 1, 2026 and the year ended January 31, 2026, respectively, of interest expense related to the write-off of DXL’s capitalized debt issuance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p)</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utilizing the statutory income tax rate of approximately 24% for the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5 – Other Transaction Accounting Adjustments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5.a Adjustments to the Unaudited Pro Forma Condensed Combined Balance Sheet as of August 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4"/>
        <w:gridCol w:w="473"/>
        <w:gridCol w:w="145"/>
        <w:gridCol w:w="768"/>
        <w:gridCol w:w="159"/>
      </w:tblGrid>
      <w:tr>
        <w:trPr/>
        <w:tc>
          <w:tcPr>
            <w:tcW w:w="5394"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9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473"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additional term loan payment</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47,339</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Cash from private placement used to paydown term loan</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9,720</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(30,020</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(27,039</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ABL deferred financing costs</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(1,000</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(1,000</w:t>
            </w:r>
          </w:p>
        </w:tc>
        <w:tc>
          <w:tcPr>
            <w:tcW w:w="159" w:type="dxa"/>
            <w:tcBorders/>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other non-current assets for $1.0 million of New ABL deferred financing costs net of the $0.2 million related to the write-off of deferred financing costs associated with the Existing FBB ABL loan.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long-term debt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debt with the private placement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(97,173</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Adjustment to original issuance discount/premium related to the private placement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32,997</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loan payments</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47,339</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(30,020</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Long-term debt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(46,857</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(27,039</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Current portion of long-term debt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(27,039</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of $0.7 million and $73.2 million to common stock and additional paid-in capital related to the private placement and payoff of the term loan, respectively, as well as the adjustment of $0.2 million to accumulated deficit related to the write-off of deferred financing costs associated with the Existing FBB ABL loan.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5.b Adjustments to the Unaudited Pro Forma Condensed Combined Statement of Operations for the six months ended August 1,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interest expense on transaction financing adjustments included in the unaudited pro forma condensed combined statements of operations reflects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911"/>
        <w:gridCol w:w="289"/>
        <w:gridCol w:w="249"/>
        <w:gridCol w:w="1545"/>
        <w:gridCol w:w="162"/>
        <w:gridCol w:w="289"/>
        <w:gridCol w:w="187"/>
        <w:gridCol w:w="1138"/>
        <w:gridCol w:w="169"/>
      </w:tblGrid>
      <w:tr>
        <w:trPr/>
        <w:tc>
          <w:tcPr>
            <w:tcW w:w="2911"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289" w:type="dxa"/>
            <w:tcBorders/>
            <w:vAlign w:val="bottom"/>
          </w:tcPr>
          <w:p>
            <w:pPr>
              <w:pStyle w:val="TableContents"/>
              <w:bidi w:val="0"/>
              <w:spacing w:before="0" w:after="283"/>
              <w:jc w:val="left"/>
              <w:rPr/>
            </w:pPr>
            <w:r>
              <w:rPr/>
              <w:t>  </w:t>
            </w:r>
          </w:p>
        </w:tc>
        <w:tc>
          <w:tcPr>
            <w:tcW w:w="17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August 1,</w:t>
              <w:br/>
              <w:t>2026</w:t>
            </w:r>
          </w:p>
        </w:tc>
        <w:tc>
          <w:tcPr>
            <w:tcW w:w="16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31,</w:t>
              <w:br/>
              <w:t>2026</w:t>
            </w:r>
          </w:p>
        </w:tc>
        <w:tc>
          <w:tcPr>
            <w:tcW w:w="169"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FBB’s historical interest expense and fee amortization</w:t>
            </w:r>
          </w:p>
        </w:tc>
        <w:tc>
          <w:tcPr>
            <w:tcW w:w="28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545" w:type="dxa"/>
            <w:tcBorders/>
            <w:shd w:fill="CCEEFF" w:val="clear"/>
            <w:vAlign w:val="bottom"/>
          </w:tcPr>
          <w:p>
            <w:pPr>
              <w:pStyle w:val="TableContents"/>
              <w:bidi w:val="0"/>
              <w:spacing w:before="0" w:after="283"/>
              <w:jc w:val="right"/>
              <w:rPr/>
            </w:pPr>
            <w:r>
              <w:rPr/>
              <w:t>(21,934</w:t>
            </w:r>
          </w:p>
        </w:tc>
        <w:tc>
          <w:tcPr>
            <w:tcW w:w="162"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(38,173</w:t>
            </w:r>
          </w:p>
        </w:tc>
        <w:tc>
          <w:tcPr>
            <w:tcW w:w="169" w:type="dxa"/>
            <w:tcBorders/>
            <w:shd w:fill="CCEEFF" w:val="clear"/>
            <w:vAlign w:val="bottom"/>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Write-off of deferred financing costs associated with the Existing FBB ABL loan</w:t>
            </w:r>
          </w:p>
        </w:tc>
        <w:tc>
          <w:tcPr>
            <w:tcW w:w="28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216</w:t>
            </w:r>
          </w:p>
        </w:tc>
        <w:tc>
          <w:tcPr>
            <w:tcW w:w="169" w:type="dxa"/>
            <w:tcBorders/>
            <w:vAlign w:val="bottom"/>
          </w:tcPr>
          <w:p>
            <w:pPr>
              <w:pStyle w:val="TableContents"/>
              <w:bidi w:val="0"/>
              <w:spacing w:before="0" w:after="283"/>
              <w:jc w:val="left"/>
              <w:rPr/>
            </w:pPr>
            <w:r>
              <w:rPr/>
              <w:t> </w:t>
            </w:r>
          </w:p>
        </w:tc>
      </w:tr>
      <w:tr>
        <w:trPr/>
        <w:tc>
          <w:tcPr>
            <w:tcW w:w="29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including amortization of premium related to debt capitalization with respect to the private placement and New ABL including amortization of deferred financing costs</w:t>
            </w:r>
          </w:p>
        </w:tc>
        <w:tc>
          <w:tcPr>
            <w:tcW w:w="28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45" w:type="dxa"/>
            <w:tcBorders/>
            <w:shd w:fill="CCEEFF" w:val="clear"/>
            <w:vAlign w:val="bottom"/>
          </w:tcPr>
          <w:p>
            <w:pPr>
              <w:pStyle w:val="TableContents"/>
              <w:bidi w:val="0"/>
              <w:spacing w:before="0" w:after="283"/>
              <w:jc w:val="right"/>
              <w:rPr/>
            </w:pPr>
            <w:r>
              <w:rPr/>
              <w:t>5,018</w:t>
            </w:r>
          </w:p>
        </w:tc>
        <w:tc>
          <w:tcPr>
            <w:tcW w:w="162"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10,039</w:t>
            </w:r>
          </w:p>
        </w:tc>
        <w:tc>
          <w:tcPr>
            <w:tcW w:w="169" w:type="dxa"/>
            <w:tcBorders/>
            <w:shd w:fill="CCEEFF" w:val="clear"/>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single" w:sz="2" w:space="1" w:color="000000"/>
              </w:pBdr>
              <w:bidi w:val="0"/>
              <w:spacing w:before="0" w:after="0"/>
              <w:jc w:val="left"/>
              <w:rPr/>
            </w:pPr>
            <w:r>
              <w:rPr/>
              <w:t> </w:t>
            </w:r>
          </w:p>
        </w:tc>
        <w:tc>
          <w:tcPr>
            <w:tcW w:w="154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2911"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financing adjustment to Interest expense, net</w:t>
            </w:r>
          </w:p>
        </w:tc>
        <w:tc>
          <w:tcPr>
            <w:tcW w:w="28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w:t>
            </w:r>
          </w:p>
        </w:tc>
        <w:tc>
          <w:tcPr>
            <w:tcW w:w="1545" w:type="dxa"/>
            <w:tcBorders/>
            <w:vAlign w:val="bottom"/>
          </w:tcPr>
          <w:p>
            <w:pPr>
              <w:pStyle w:val="TableContents"/>
              <w:bidi w:val="0"/>
              <w:spacing w:before="0" w:after="283"/>
              <w:jc w:val="right"/>
              <w:rPr/>
            </w:pPr>
            <w:r>
              <w:rPr/>
              <w:t>(16,916)</w:t>
            </w:r>
          </w:p>
        </w:tc>
        <w:tc>
          <w:tcPr>
            <w:tcW w:w="16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(27,918)</w:t>
            </w:r>
          </w:p>
        </w:tc>
        <w:tc>
          <w:tcPr>
            <w:tcW w:w="169" w:type="dxa"/>
            <w:tcBorders/>
            <w:vAlign w:val="bottom"/>
          </w:tcPr>
          <w:p>
            <w:pPr>
              <w:pStyle w:val="TableContents"/>
              <w:bidi w:val="0"/>
              <w:spacing w:before="0" w:after="283"/>
              <w:jc w:val="left"/>
              <w:rPr/>
            </w:pPr>
            <w:r>
              <w:rPr/>
              <w:t> </w:t>
            </w:r>
          </w:p>
        </w:tc>
      </w:tr>
      <w:tr>
        <w:trPr/>
        <w:tc>
          <w:tcPr>
            <w:tcW w:w="2911"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49" w:type="dxa"/>
            <w:tcBorders/>
            <w:vAlign w:val="bottom"/>
          </w:tcPr>
          <w:p>
            <w:pPr>
              <w:pStyle w:val="TableContents"/>
              <w:pBdr>
                <w:top w:val="double" w:sz="6" w:space="1" w:color="000000"/>
              </w:pBdr>
              <w:bidi w:val="0"/>
              <w:spacing w:before="0" w:after="0"/>
              <w:jc w:val="left"/>
              <w:rPr/>
            </w:pPr>
            <w:r>
              <w:rPr/>
              <w:t> </w:t>
            </w:r>
          </w:p>
        </w:tc>
        <w:tc>
          <w:tcPr>
            <w:tcW w:w="154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one-eighth of a percentage point increase or decrease in the interest rate would result in a change in interest expense of approximately $0.2 million and $0.3 million for the six months ended August 1, 2026 and for year ended January 31,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$0.2 million for the year ended January 31, 2026 to eliminate the historical gain on the fair value 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utilizing the statutory income tax rate of approximately 24% for the periods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As the unaudited pro forma condensed combined statement of operations assumes that the Transactions as if those Transactions had occurred on February 2, 2025, the beginning of the earliest period presented, the calculation of weighted average shares outstanding for basic and diluted earnings per share assumes that the shares issuable relating to the merger and Other Transaction Accounting Adjustments have been outstanding for the entirety of the period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presents the components of the pro forma earnings per share calculation: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256"/>
        <w:gridCol w:w="175"/>
        <w:gridCol w:w="257"/>
        <w:gridCol w:w="1486"/>
        <w:gridCol w:w="155"/>
        <w:gridCol w:w="175"/>
        <w:gridCol w:w="189"/>
        <w:gridCol w:w="1087"/>
        <w:gridCol w:w="159"/>
      </w:tblGrid>
      <w:tr>
        <w:trPr/>
        <w:tc>
          <w:tcPr>
            <w:tcW w:w="325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(in thousands, except per share amounts)</w:t>
            </w:r>
          </w:p>
        </w:tc>
        <w:tc>
          <w:tcPr>
            <w:tcW w:w="175" w:type="dxa"/>
            <w:tcBorders/>
            <w:vAlign w:val="bottom"/>
          </w:tcPr>
          <w:p>
            <w:pPr>
              <w:pStyle w:val="TableContents"/>
              <w:bidi w:val="0"/>
              <w:spacing w:before="0" w:after="283"/>
              <w:jc w:val="left"/>
              <w:rPr/>
            </w:pPr>
            <w:r>
              <w:rPr/>
              <w:t>  </w:t>
            </w:r>
          </w:p>
        </w:tc>
        <w:tc>
          <w:tcPr>
            <w:tcW w:w="17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Six Months</w:t>
              <w:br/>
              <w:t>Ended August 1,</w:t>
              <w:br/>
              <w:t>2026</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January 31,</w:t>
              <w:br/>
              <w:t>2026</w:t>
            </w:r>
          </w:p>
        </w:tc>
        <w:tc>
          <w:tcPr>
            <w:tcW w:w="159" w:type="dxa"/>
            <w:tcBorders/>
            <w:vAlign w:val="bottom"/>
          </w:tcPr>
          <w:p>
            <w:pPr>
              <w:pStyle w:val="TableContents"/>
              <w:bidi w:val="0"/>
              <w:spacing w:before="0" w:after="283"/>
              <w:jc w:val="left"/>
              <w:rPr/>
            </w:pPr>
            <w:r>
              <w:rPr/>
              <w:t> </w:t>
            </w:r>
          </w:p>
        </w:tc>
      </w:tr>
      <w:tr>
        <w:trPr/>
        <w:tc>
          <w:tcPr>
            <w:tcW w:w="32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1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486" w:type="dxa"/>
            <w:tcBorders/>
            <w:shd w:fill="CCEEFF" w:val="clear"/>
            <w:vAlign w:val="bottom"/>
          </w:tcPr>
          <w:p>
            <w:pPr>
              <w:pStyle w:val="TableContents"/>
              <w:bidi w:val="0"/>
              <w:spacing w:before="0" w:after="283"/>
              <w:jc w:val="right"/>
              <w:rPr/>
            </w:pPr>
            <w:r>
              <w:rPr/>
              <w:t>(14,384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087" w:type="dxa"/>
            <w:tcBorders/>
            <w:shd w:fill="CCEEFF" w:val="clear"/>
            <w:vAlign w:val="bottom"/>
          </w:tcPr>
          <w:p>
            <w:pPr>
              <w:pStyle w:val="TableContents"/>
              <w:bidi w:val="0"/>
              <w:spacing w:before="0" w:after="283"/>
              <w:jc w:val="right"/>
              <w:rPr/>
            </w:pPr>
            <w:r>
              <w:rPr/>
              <w:t>(62,846</w:t>
            </w:r>
          </w:p>
        </w:tc>
        <w:tc>
          <w:tcPr>
            <w:tcW w:w="159" w:type="dxa"/>
            <w:tcBorders/>
            <w:shd w:fill="CCEEFF" w:val="clear"/>
            <w:vAlign w:val="bottom"/>
          </w:tcPr>
          <w:p>
            <w:pPr>
              <w:pStyle w:val="TableContents"/>
              <w:bidi w:val="0"/>
              <w:spacing w:before="0" w:after="283"/>
              <w:jc w:val="left"/>
              <w:rPr/>
            </w:pPr>
            <w:r>
              <w:rPr/>
              <w:t>) </w:t>
            </w:r>
          </w:p>
        </w:tc>
      </w:tr>
      <w:tr>
        <w:trPr/>
        <w:tc>
          <w:tcPr>
            <w:tcW w:w="3256"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sz w:val="4"/>
                <w:szCs w:val="4"/>
              </w:rPr>
            </w:pPr>
            <w:r>
              <w:rPr>
                <w:sz w:val="4"/>
                <w:szCs w:val="4"/>
              </w:rPr>
            </w:r>
          </w:p>
        </w:tc>
        <w:tc>
          <w:tcPr>
            <w:tcW w:w="14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08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2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diluted(1)</w:t>
            </w:r>
          </w:p>
        </w:tc>
        <w:tc>
          <w:tcPr>
            <w:tcW w:w="1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55,094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54,104</w:t>
            </w:r>
          </w:p>
        </w:tc>
        <w:tc>
          <w:tcPr>
            <w:tcW w:w="159" w:type="dxa"/>
            <w:tcBorders/>
            <w:shd w:fill="CCEEFF" w:val="clear"/>
            <w:vAlign w:val="bottom"/>
          </w:tcPr>
          <w:p>
            <w:pPr>
              <w:pStyle w:val="TableContents"/>
              <w:bidi w:val="0"/>
              <w:spacing w:before="0" w:after="283"/>
              <w:jc w:val="left"/>
              <w:rPr/>
            </w:pPr>
            <w:r>
              <w:rPr/>
              <w:t> </w:t>
            </w:r>
          </w:p>
        </w:tc>
      </w:tr>
      <w:tr>
        <w:trPr/>
        <w:tc>
          <w:tcPr>
            <w:tcW w:w="3256" w:type="dxa"/>
            <w:tcBorders/>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right"/>
              <w:rPr/>
            </w:pPr>
            <w:r>
              <w:rPr/>
              <w:t>68,709</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68,709</w:t>
            </w:r>
          </w:p>
        </w:tc>
        <w:tc>
          <w:tcPr>
            <w:tcW w:w="159" w:type="dxa"/>
            <w:tcBorders/>
            <w:vAlign w:val="bottom"/>
          </w:tcPr>
          <w:p>
            <w:pPr>
              <w:pStyle w:val="TableContents"/>
              <w:bidi w:val="0"/>
              <w:spacing w:before="0" w:after="283"/>
              <w:jc w:val="left"/>
              <w:rPr/>
            </w:pPr>
            <w:r>
              <w:rPr/>
              <w:t> </w:t>
            </w:r>
          </w:p>
        </w:tc>
      </w:tr>
      <w:tr>
        <w:trPr/>
        <w:tc>
          <w:tcPr>
            <w:tcW w:w="325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4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08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weighted average common shares outstanding, basic and diluted</w:t>
            </w:r>
          </w:p>
        </w:tc>
        <w:tc>
          <w:tcPr>
            <w:tcW w:w="1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right"/>
              <w:rPr/>
            </w:pPr>
            <w:r>
              <w:rPr/>
              <w:t>123,803</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122,813</w:t>
            </w:r>
          </w:p>
        </w:tc>
        <w:tc>
          <w:tcPr>
            <w:tcW w:w="159" w:type="dxa"/>
            <w:tcBorders/>
            <w:shd w:fill="CCEEFF" w:val="clear"/>
            <w:vAlign w:val="bottom"/>
          </w:tcPr>
          <w:p>
            <w:pPr>
              <w:pStyle w:val="TableContents"/>
              <w:bidi w:val="0"/>
              <w:spacing w:before="0" w:after="283"/>
              <w:jc w:val="left"/>
              <w:rPr/>
            </w:pPr>
            <w:r>
              <w:rPr/>
              <w:t> </w:t>
            </w:r>
          </w:p>
        </w:tc>
      </w:tr>
      <w:tr>
        <w:trPr/>
        <w:tc>
          <w:tcPr>
            <w:tcW w:w="3256"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w:t>
            </w:r>
          </w:p>
        </w:tc>
        <w:tc>
          <w:tcPr>
            <w:tcW w:w="1486"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087" w:type="dxa"/>
            <w:tcBorders/>
            <w:vAlign w:val="bottom"/>
          </w:tcPr>
          <w:p>
            <w:pPr>
              <w:pStyle w:val="TableContents"/>
              <w:bidi w:val="0"/>
              <w:spacing w:before="0" w:after="283"/>
              <w:jc w:val="right"/>
              <w:rPr/>
            </w:pPr>
            <w:r>
              <w:rPr/>
              <w:t>(0.51</w:t>
            </w:r>
          </w:p>
        </w:tc>
        <w:tc>
          <w:tcPr>
            <w:tcW w:w="159" w:type="dxa"/>
            <w:tcBorders/>
            <w:vAlign w:val="bottom"/>
          </w:tcPr>
          <w:p>
            <w:pPr>
              <w:pStyle w:val="TableContents"/>
              <w:bidi w:val="0"/>
              <w:spacing w:before="0" w:after="283"/>
              <w:jc w:val="left"/>
              <w:rPr/>
            </w:pPr>
            <w:r>
              <w:rPr/>
              <w:t>) </w:t>
            </w:r>
          </w:p>
        </w:tc>
      </w:tr>
      <w:tr>
        <w:trPr/>
        <w:tc>
          <w:tcPr>
            <w:tcW w:w="325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4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08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estimated DXL historical weighted average shares outstanding as of August 1, 2026 and January 31, 2026. Due to the pro forma condensed combined company’s net loss, the DXL historical weighted average shares outstanding excludes deferred shares and stock options that would be considered dilutive.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present the effect of the proposed reverse stock split range, the unaudited pro forma condensed combined financial earnings per share has been prepared using the assumptions below: </w:t>
      </w:r>
    </w:p>
    <w:p>
      <w:pPr>
        <w:pStyle w:val="TextBody"/>
        <w:bidi w:val="0"/>
        <w:spacing w:before="240" w:after="0"/>
        <w:jc w:val="left"/>
        <w:rPr>
          <w:rFonts w:ascii="Times New Roman" w:hAnsi="Times New Roman"/>
          <w:i/>
          <w:sz w:val="20"/>
        </w:rPr>
      </w:pPr>
      <w:r>
        <w:rPr>
          <w:rFonts w:ascii="Times New Roman" w:hAnsi="Times New Roman"/>
          <w:i/>
          <w:sz w:val="20"/>
        </w:rPr>
        <w:t xml:space="preserve">For the six months ended August 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7"/>
        <w:gridCol w:w="161"/>
        <w:gridCol w:w="175"/>
        <w:gridCol w:w="850"/>
        <w:gridCol w:w="155"/>
        <w:gridCol w:w="161"/>
        <w:gridCol w:w="175"/>
        <w:gridCol w:w="703"/>
        <w:gridCol w:w="155"/>
        <w:gridCol w:w="160"/>
        <w:gridCol w:w="214"/>
        <w:gridCol w:w="856"/>
        <w:gridCol w:w="160"/>
      </w:tblGrid>
      <w:tr>
        <w:trPr/>
        <w:tc>
          <w:tcPr>
            <w:tcW w:w="464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61"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pPr>
            <w:r>
              <w:rPr>
                <w:b/>
              </w:rPr>
              <w:t>Mid</w:t>
            </w:r>
            <w:r>
              <w:rPr/>
              <w:br/>
            </w:r>
            <w:r>
              <w:rPr>
                <w:b/>
              </w:rPr>
              <w:t>(1 for 16)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(1 for 30)</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27,547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3,443</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1,836</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34,355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4,294</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2,290</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61,902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7,737</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4,126</w:t>
            </w:r>
          </w:p>
        </w:tc>
        <w:tc>
          <w:tcPr>
            <w:tcW w:w="160" w:type="dxa"/>
            <w:tcBorders/>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(0.23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(1.86</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(3.49</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For the year ended January 31,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57"/>
        <w:gridCol w:w="157"/>
        <w:gridCol w:w="175"/>
        <w:gridCol w:w="853"/>
        <w:gridCol w:w="155"/>
        <w:gridCol w:w="157"/>
        <w:gridCol w:w="175"/>
        <w:gridCol w:w="700"/>
        <w:gridCol w:w="155"/>
        <w:gridCol w:w="157"/>
        <w:gridCol w:w="193"/>
        <w:gridCol w:w="879"/>
        <w:gridCol w:w="159"/>
      </w:tblGrid>
      <w:tr>
        <w:trPr/>
        <w:tc>
          <w:tcPr>
            <w:tcW w:w="4657"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57"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Mid</w:t>
            </w:r>
            <w:r>
              <w:rPr/>
              <w:br/>
            </w:r>
            <w:r>
              <w:rPr>
                <w:b/>
              </w:rPr>
              <w:t>(1 for 16)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(1 for 30)</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27,052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3,382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1,803</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34,355</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4,294</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2,290</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61,407</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7,676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4,093</w:t>
            </w:r>
          </w:p>
        </w:tc>
        <w:tc>
          <w:tcPr>
            <w:tcW w:w="159" w:type="dxa"/>
            <w:tcBorders/>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(8.19</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(15.35</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tx76201_80"/>
      <w:bookmarkEnd w:id="83"/>
      <w:r>
        <w:rPr>
          <w:rFonts w:ascii="Times New Roman" w:hAnsi="Times New Roman"/>
          <w:b/>
          <w:sz w:val="20"/>
        </w:rPr>
        <w:t xml:space="preserve">DESCRIPTION OF DXL’S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DXL’s common stock and preferred stock summarizes the material terms and provisions of DXL common stock and preferred stock. The following description of DXL’s capital stock does not purport to be complete and is subject to, and qualified in its entirety by, DXL’s restated certificate of incorporation, as amended, referred to in this section as the restated certificate of incorporation, and DXL’s By-Laws, as may be amended, referred to in this section as the By-Laws, which are incorporated by reference to Exhibits 3.2 and 3.3, respectively, of DXL’s Annual Report on Form 10-K for the fiscal year ended January 31, 2026 as filed with the SEC on March 19, 2026, and does not include changes resulting from the adoption of DXL’s amendment to the restated certificate of incorporation to effect a reverse stock split of DXL common stock. The terms of DXL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total authorized stock of DXL is 126,000,000 shares, consisting of 125,000,000 shares of DXL common stock, par value $0.01 per share, and 1,000,000 shares of DXL preferred stock, par value of $0.01 per share. As of the record date, there were (1) [●] shares of DXL common stock issued and outstanding (not including shares held in treasury), (2) [●] shares of DXL common stock held in the treasury of DXL or by its subsidiaries, (3) [●] shares of DXL common stock subject to outstanding DXL options, all of which are exercisable, (4) [●] shares of DXL common stock subject to outstanding DXL restricted stock unit awards, (5) [●] shares of DXL common stock subject to DXL deferred stock awards, and (6) no shares of DXL preferred stock issued and outstanding. Each outstanding share of DXL common stock is duly and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prior rights of any series of DXL preferred stock, which may from time to time be outstanding, the holders of DXL’s common stock are entitled to receive such dividends, if any, as may be declared from time to time by DXL’s Board out of legally available funds.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DXL is liquidated, dissolved or DXL’s affairs are wound up, the holders of DXL’s common stock will be entitled to share pro rata in the net assets available for distribution to holders of DXL common stock after satisfaction of the prior claims of the holders of DXL preferred stock or any other class of capital stock ranking senior to the DXL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DXL common stock is entitled to one vote per share on all matters submitted to a vote of DXL stockholders. Generally, a matter submitted for stockholder action shall be approved if the votes cast “for” the matter exceed the votes cast “against” such matter, unless a greater or different vote is required by statute, any applicable law or regulation, or DXL’s restated certificate of incorporation or DXL’s By-Laws. Other than in a contested election where directors are elected by a plurality vote, a director nominee shall be elected to the DXL Board by the majority of the votes properly cast at a meeting of stockholders at which a quorum is present.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other class or series of DXL stock, all shares of DXL common stock have equal dividend, distribution, liquidation and other rights, and have no preference, appraisal or exchange rights, except for any appraisal rights provided by Delaware law. Furthermore, holders of DXL common stock have no conversion, sinking fund or redemption rights, or preemptive rights to subscribe for any of DXL’s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Restrictions on Alienability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restated certificate of incorporation contains provisions that generally restrict any person or entity from attempting to transfer DXL stock, without prior permission from the DXL Board, to the extent that such transfer would (i) create or result in an individual or entity becoming a five-percent stockholder of DXL stock, or (ii) increase DXL stock ownership percentage of any existing five-percent stockholder. These provisions provide that any transfer that violates such provisions shall be null and void and would require the purported transferee to, upon demand by DXL, transfer the shares that exceed the five percent limit to an agent designated by DXL for the purpose of conducting a sale of such excess shares. By requiring prior permission from the DXL Board, this restriction attempts to prevent certain future transfers of DXL capital stock that could adversely affect DXL’s ability to utilize its net operating loss carryforwards to reduce federal income taxes of DXL. </w:t>
      </w:r>
    </w:p>
    <w:p>
      <w:pPr>
        <w:pStyle w:val="TextBody"/>
        <w:bidi w:val="0"/>
        <w:spacing w:before="360" w:after="0"/>
        <w:jc w:val="left"/>
        <w:rPr>
          <w:rFonts w:ascii="Times New Roman" w:hAnsi="Times New Roman"/>
          <w:i/>
          <w:sz w:val="20"/>
        </w:rPr>
      </w:pPr>
      <w:r>
        <w:rPr>
          <w:rFonts w:ascii="Times New Roman" w:hAnsi="Times New Roman"/>
          <w:i/>
          <w:sz w:val="20"/>
        </w:rPr>
        <w:t xml:space="preserve">Relationship to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is authorized, subject to limitations prescribed by law, to issue preferred stock in series, to establish from time to time the number of shares to be included in each series, and to fix the designation, powers, preferences and rights of each series and any of their qualifications, limitations or restrictions. The authority of the DXL Board with respect to each series includes, but is not limited to, determination of the number of shares and the designation of each series, dividend rights, voting rights, conversion rights, redemption rights and liquidation rights, among others. </w:t>
      </w:r>
    </w:p>
    <w:p>
      <w:pPr>
        <w:pStyle w:val="TextBody"/>
        <w:bidi w:val="0"/>
        <w:spacing w:before="240" w:after="0"/>
        <w:jc w:val="left"/>
        <w:rPr>
          <w:rFonts w:ascii="Times New Roman" w:hAnsi="Times New Roman"/>
          <w:sz w:val="20"/>
        </w:rPr>
      </w:pPr>
      <w:r>
        <w:rPr>
          <w:rFonts w:ascii="Times New Roman" w:hAnsi="Times New Roman"/>
          <w:sz w:val="20"/>
        </w:rPr>
        <w:t xml:space="preserve">While DXL does not currently have any plans for the issuance of DXL preferred stock, the issuance of such DXL preferred stock could adversely affect the rights of the holders of DXL common stock and, therefore, reduce the value of the DXL common stock. Although it is not possible to state the actual effect of the issuance of DXL preferred stock on the rights of holders of the DXL common stock until the DXL Board determines the specific rights of the holders of the DXL preferred stock, these effects may adversely affect the dividend rights, voting power or liquidation rights on the DXL common stock or delay or prevent a change of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DXL Charter and By-Laws That May Have Anti-Takeover Effects </w:t>
      </w:r>
    </w:p>
    <w:p>
      <w:pPr>
        <w:pStyle w:val="TextBody"/>
        <w:bidi w:val="0"/>
        <w:spacing w:before="120" w:after="0"/>
        <w:jc w:val="left"/>
        <w:rPr>
          <w:rFonts w:ascii="Times New Roman" w:hAnsi="Times New Roman"/>
          <w:i/>
          <w:sz w:val="20"/>
        </w:rPr>
      </w:pPr>
      <w:r>
        <w:rPr>
          <w:rFonts w:ascii="Times New Roman" w:hAnsi="Times New Roman"/>
          <w:i/>
          <w:sz w:val="20"/>
        </w:rPr>
        <w:t xml:space="preserve">Special Meetings of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except as otherwise required by law and subject to the rights, if any, of the holders of any series of DXL preferred stock, only the DXL Board may call a special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of 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By-Laws include advance notice and informational requirements and time limitations on any director nomination or any new proposal, which a stockholder wishes to make at an annual meeting of DXL stockholders. Generally, for business to be properly brought before an annual meeting, a stockholder’s notice will be timely if delivered to the DXL corporate secretary at the principal executive offices of DXL not later than the close of business on the 90th day nor earlier than the close of business on the 120th day prior to the first anniversary of the preceding year’s annual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Blank Check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DXL has shares of preferred stock available for future issuance without stockholder approval, except to the extent holders of DXL preferred stock have a consent right under the terms of their preferred stock. The existence of authorized but unissued shares of DXL preferred stock may enable the DXL Board to render more difficult or to discourage an attempt to obtain control of DXL by means of a merger, tender offer, proxy contest or otherwise. For example, if in the due exercise of its fiduciary obligations, the DXL Board were to determine that a takeover proposal is not in the best interests of DXL or the DXL stockholders, the DXL Board could cause shares of preferred stock to be issued without stockholder approval in one or more private offerings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that might dilute the voting or other rights of the proposed acquirer or insurgent stockholder or stockholder group. In this regard, the DXL restated certificate of incorporation grants the DXL Board broad power to establish the rights and preferences of authorized and unissued shares of DXL preferred stock. The issuance of shares of DXL preferred stock could decrease the amount of earnings and assets available for distribution to holders of shares of DXL common stock. The issuance may also adversely affect the rights and powers, including voting rights, of these holders and may have the effect of delaying, deterring or preventing a change in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The Nasdaq Capital Market tier of the Nasdaq under the symbol “DXLG”.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reported sale price for DXL common stock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DXL had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stockholders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DXL common stock is EQ,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tx76201_81"/>
      <w:bookmarkEnd w:id="84"/>
      <w:r>
        <w:rPr>
          <w:rFonts w:ascii="Times New Roman" w:hAnsi="Times New Roman"/>
          <w:b/>
          <w:sz w:val="20"/>
        </w:rPr>
        <w:t xml:space="preserve">EXECUTIVE OFFICERS AND DIRECTORS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of the Combined Company Following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company’s board of directors would initially be fixed at nine members, composed of four directors designated by DXL (the “DXL nominee directors”), four directors designated by FBB (the “FBB nominee directors”), and one director mutually agreed to by DXL and FBB (the “independent director,” and together with the DXL nominee directors and the FBB nominee directors, the “post-closing directors”). Each of the post-closing directors would be required to have completed a background check reasonably satisfactory to DXL and be “independent” for purposes of Nasdaq rules (excluding, for the avoidance of doubt, those rules applicable solely to audit committee members), and otherwise comply with applicable Nasdaq and SEC rules and requirements governing directors. It is expected that Lionel F. Conacher would serve as chairman of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merger is consummated, at the effective time of the merger, DXL and FBB would cooperate to take all reasonable actions necessary to cause (i) the chief executive officer of FBB immediately prior to the effective time to serve as the chief executive officer of the combined company following the merger, and (ii) the officers of the combined company after the merger to be such individuals as DXL and FBB may agree, through a process overseen by the chief executive officer of FBB in consultation with the DXL nominee directors and FBB nominee directors, who would cooperate in good faith to identify such individuals prior to the effective time of the merger. Each executive officer would serve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the names and ages as of August 15, 2026, and positions of the individuals who are expected to serve as executive officers and directors of the combined company if the merger is consummated upon consummation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0"/>
        <w:gridCol w:w="219"/>
        <w:gridCol w:w="60"/>
        <w:gridCol w:w="261"/>
        <w:gridCol w:w="60"/>
        <w:gridCol w:w="219"/>
        <w:gridCol w:w="5366"/>
      </w:tblGrid>
      <w:tr>
        <w:trPr/>
        <w:tc>
          <w:tcPr>
            <w:tcW w:w="402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5366"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9" w:type="dxa"/>
            <w:tcBorders/>
            <w:vAlign w:val="bottom"/>
          </w:tcPr>
          <w:p>
            <w:pPr>
              <w:pStyle w:val="TableContents"/>
              <w:bidi w:val="0"/>
              <w:spacing w:before="0" w:after="283"/>
              <w:jc w:val="left"/>
              <w:rPr/>
            </w:pPr>
            <w:r>
              <w:rPr/>
              <w:t>  </w:t>
            </w:r>
          </w:p>
        </w:tc>
        <w:tc>
          <w:tcPr>
            <w:tcW w:w="32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402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Jim Fogarty</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Executive Officer, 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Financial Officer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b/>
                <w:i/>
                <w:sz w:val="20"/>
              </w:rPr>
              <w:t>Non-Employee Directors</w:t>
            </w:r>
            <w:r>
              <w:rPr>
                <w:rFonts w:ascii="Times New Roman" w:hAnsi="Times New Roman"/>
                <w:b/>
                <w:sz w:val="20"/>
              </w:rPr>
              <w:t>(1)</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73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Yasir Anwar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Steven Tesoriere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Josh Beer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additional independent director is expected to be appointed by mutual agreement between DXL and FBB.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Jim Fogarty</w:t>
      </w:r>
      <w:r>
        <w:rPr>
          <w:rFonts w:ascii="Times New Roman" w:hAnsi="Times New Roman"/>
          <w:sz w:val="20"/>
        </w:rPr>
        <w:t xml:space="preserve"> has been the chief executive officer and a director of FULLBEAUTY Brands, Inc., a privately held branded multichannel retailer focused on fashion apparel and home goods for plus-sized women and men, since June 2019. Previously, he was the chief executive officer and a director of Orchard Brands, a multi-channel marketer of apparel and home products, from 2011 until its sale in 2015, at which time he became a senior advisor to Bluestem Group Inc., the acquirer of Orchard Brands, through 2015. Prior to that, Mr. Fogarty was a private investor from 2010 to 2011. From 2009 until 2010, Mr. Fogarty was president, chief executive officer and director of Charming Shoppes, Inc., a multi-brand, specialty apparel retailer. Other prior executive positions held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Mr. Fogarty include managing director of Alvarez &amp; Marsal, an independent global professional services firm, from 1994 until 2009, president and chief operating officer of Lehman Brothers Holdings (subsequent to its Chapter 11 bankruptcy filing) from 2008 until 2009, president and chief executive officer of American Italian Pasta Company, the largest producer of dry pasta in North America, from 2005 through 2008, chief financial officer of Levi Strauss &amp; Co., a brand-name apparel company, from 2003 until 2005, and from 2001 through 2003, senior vice president and chief financial officer and for a period a director of The Warnaco Group, a global apparel maker. </w:t>
      </w:r>
    </w:p>
    <w:p>
      <w:pPr>
        <w:pStyle w:val="TextBody"/>
        <w:bidi w:val="0"/>
        <w:spacing w:before="240" w:after="0"/>
        <w:jc w:val="left"/>
        <w:rPr>
          <w:rFonts w:ascii="Times New Roman" w:hAnsi="Times New Roman"/>
          <w:sz w:val="20"/>
        </w:rPr>
      </w:pPr>
      <w:r>
        <w:rPr>
          <w:rFonts w:ascii="Times New Roman" w:hAnsi="Times New Roman"/>
          <w:b/>
          <w:i/>
          <w:sz w:val="20"/>
        </w:rPr>
        <w:t>Peter H. Stratton, Jr.</w:t>
      </w:r>
      <w:r>
        <w:rPr>
          <w:rFonts w:ascii="Times New Roman" w:hAnsi="Times New Roman"/>
          <w:sz w:val="20"/>
        </w:rPr>
        <w:t xml:space="preserve"> has been the executive vice president, chief financial officer and treasurer of DXL since November 2017. Peter was appointed senior vice president, chief financial officer and treasurer in June 2014. Prior to that, he was senior vice president of finance, corporate controller, and chief accounting officer since August 2009. Mr. Stratton joined DXL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 Mr. Stratton holds a B.S. in Accounting from Babson College and an M.B.A. in Finance from Miami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Lionel F. Conacher</w:t>
      </w:r>
      <w:r>
        <w:rPr>
          <w:rFonts w:ascii="Times New Roman" w:hAnsi="Times New Roman"/>
          <w:sz w:val="20"/>
        </w:rPr>
        <w:t xml:space="preserve"> has been a director of DXL since June 2018 and Chairman of the DXL Board since August 2020. In August 2026, Mr. Conacher was appointed to serve as interim chief executive officer of DXL. In March 2026, Mr. Conacher joined the board of directors of Metatek-Group Ltd., a publicly traded company, and serves as the chair of their governance and nomination committee. From September 2021 until October 2025, Mr. Conacher served as a member of the board of directors for SRx Health Solutions, Inc. (formerly Better Choice Company Inc.), a publicly traded company, and served as a member of their audit and compensation committees. From September 2022 until May 2023, he served as their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snowboards and other board sports equipment, and PowerDot, Inc., a consumer electronics company that markets a muscle recovery and performance tool. The DXL Board believes that Mr. Conacher brings extensive financial and operational experience, and his significant experience as a director for other publicly traded companies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Carmen R. Bauza</w:t>
      </w:r>
      <w:r>
        <w:rPr>
          <w:rFonts w:ascii="Times New Roman" w:hAnsi="Times New Roman"/>
          <w:sz w:val="20"/>
        </w:rPr>
        <w:t xml:space="preserve"> has been a director of DXL since December 2021. Effective August 12, 2026, Ms. Bauza was appointed lead independent director of DXL. In March 2023, Ms. Bauza joined the board of directors of OneWater Marine Inc., a publicly traded company, and serves as a member of their audit and compensation committees. Since May 2022, Ms. Bauza has also served on the board of directors of Zumiez, Inc., a publicly traded company, and serves as a member of their audit and governance and nominating committees. Ms. Bauza also formerly served as a member of the board of managers of Claire’s Holdings LLC. Most recently, Ms. Bauza was the chief merchandising officer at Fanatics, Inc. from January 2019 until April 2021. Prior to that, she was the chief merchandising officer at HSN, Inc. from November 2016 until December 2017 and the senior vice president, general merchandise manager consumables, health and wellness at Walmart from June 2007 to October 2016. She previously held roles at Bath &amp; Body Works, Inc., Five Below, Inc. and The Walt Disney Company. Ms. Bauza currently serves as a member of the board of trustees at Seton Hill University and as a member of the advisory board of RoundTable Healthcare Partners Council. The DXL Board believes that Ms. Bauza’s extensive retail and merchandising experience qualifies her to serve on the combined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Jack Boyle</w:t>
      </w:r>
      <w:r>
        <w:rPr>
          <w:rFonts w:ascii="Times New Roman" w:hAnsi="Times New Roman"/>
          <w:sz w:val="20"/>
        </w:rPr>
        <w:t xml:space="preserve"> has been a director of DXL since August 2017. In July 2025, Mr. Boyle joined the board of directors of Wolverine World Wide, Inc., a publicly traded company, and serves as a member of their compensation and human capital committees. Since June 2025, Mr. Boyle has been the managing partner of Fam Bam Sports. Mr. Boyle was the president, buying and North America for Fanatics, Inc., a market leader for officially licensed sports merchandise from January 2024 until his retirement in July 2025. From February 2019 to January 2024, Mr. Boyle was the global co-president of direct to consumer/omni-channel for Fanatics, Inc. Mr. Boyle originally joined Fanatics as president of merchandising in June 2012, and from December 2017 to February 2019, he served as the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the senior vice president, divisional merchandise manager of women’s apparel for Kohl’s Corporation, the vice president of junior sportswear from July 2000 to October 2003 and the vice president of planning/allocation for women’s apparel from December 1999 to July 2000. From June 1990 to December 1999, Mr. Boyle held various merchandise positions, including divisional merchandise manager of women’s, at May Company. The DXL Board believes that Mr. Boyle’s extensive experience in merchandising, brand management and omni-channel leadership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Willem Mesdag</w:t>
      </w:r>
      <w:r>
        <w:rPr>
          <w:rFonts w:ascii="Times New Roman" w:hAnsi="Times New Roman"/>
          <w:sz w:val="20"/>
        </w:rPr>
        <w:t xml:space="preserve"> has been a director of DXL since January 2014. Mr. Mesdag is the managing partner of Red Mountain Capital Partners LLC, an investment 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From February 2016 to May 2025, Mr. Mesdag served on the board of Heidrick &amp; Struggles International, Inc., a publicly traded company, for which he chaired the audit and finance committee and served on the human resources and compensation committee. He also previously served on the boards of 3i Group plc, Cost Plus, Inc., Encore Capital Group, Inc., Nature’s Sunshine Products, Inc., Skandia AB and Yuma Energy, Inc., all of which are or were publicly traded companies. Having had an extensive career in international investment banking and finance and having served on domestic and international public company boards, the DXL Board believes that Mr. Mesdag brings significant knowledge and experience related to business and financial issues, and his corporate governance and investor’s perspective qualify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Yasir Anwar</w:t>
      </w:r>
      <w:r>
        <w:rPr>
          <w:rFonts w:ascii="Times New Roman" w:hAnsi="Times New Roman"/>
          <w:sz w:val="20"/>
        </w:rPr>
        <w:t xml:space="preserve"> has served as a director of FBB since February 2019. Since May 2024, Mr. Anwar has served as Chief Technology &amp; AI Acceleration Officer of Inspire Brands, a multi-brand restaurant company whose portfolio includes more than 33,000 Arby’s, Baskin-Robbins, Buffalo Wild Wings, Dunkin’, Jimmy John’s, and SONIC restaurants worldwide. Prior to Inspire Brands, from February 2018 to February 2024, Mr. Anwar served as Chief Technology and Digital Officer for Williams-Sonoma, Inc. Before Williams-Sonoma, from February 2017 to February 2018, Mr. Anwar was the Chief Technology Officer for Macy’s. His experience also includes senior engineering and architecture roles at Walmart, Wells Fargo, and several other companies. The DXL Board believes that Mr. Anwar’s extensive experience leading technology transformation and digital innovation across major retail and consumer brands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Steven Tesoriere</w:t>
      </w:r>
      <w:r>
        <w:rPr>
          <w:rFonts w:ascii="Times New Roman" w:hAnsi="Times New Roman"/>
          <w:sz w:val="20"/>
        </w:rPr>
        <w:t xml:space="preserve"> has served as a director of FBB, as designee of Oaktree, since February 2019. Mr. Tesoriere joined Oaktree, a global asset management firm specializing in alternative investment strategies, in July 2016, where he serves as a Managing Director and Portfolio Manager. Prior to Oaktree, Mr. Tesoriere was Managing Principal and Portfolio Manager of Altai Capital Management, an investment manager he co-founded in 2009, which focused on investing in distressed debt and event-driven equities. Previously, Mr. Tesoriere worked at Anchorage Capital Group, a registered investment adviser, for six years, where he was a founding analyst. He began his career with Blackstone in the Restructuring and Reorganization Group before working at Goldman Sachs in distressed debt research. Mr. Tesoriere joined the board of directors of Garrett Motion Inc. in April 2021 and currently serves as a member of their talent management and compensation committee. The DXL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believes that Mr. Tesoriere brings significant knowledge and experience in distressed debt, restructuring and reorganization, and that his perspective as a portfolio manager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Josh Beer</w:t>
      </w:r>
      <w:r>
        <w:rPr>
          <w:rFonts w:ascii="Times New Roman" w:hAnsi="Times New Roman"/>
          <w:sz w:val="20"/>
        </w:rPr>
        <w:t xml:space="preserve"> is a private investor and advisor with extensive experience in private equity and corporate strategy. He previously spent more than 20 years at Charlesbank Capital Partners, a private investment firm focused on management-led buyouts and growth capital investments in middle-market companies, where he served as a Managing Director from July 2016 to October 2024, and then as a Senior Advisor until his retirement in December 2025. During his tenure, Mr. Beer was responsible for sourcing, evaluating, and overseeing investments across a range of industries and partnering with management teams to drive operational and strategic growth initiatives. He began his career with Bain &amp; Company, advising corporate clients on strategy, performance improvement, and operational effectiveness. The DXL Board believes that Mr. Beer’s extensive experience in private equity, including overseeing middle-market investments and partnering with management teams to drive strategic and operational growth, qualifies him to serve on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current DXL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were or are to be selected as a director or executive officer. Additionally, no director or executive officer of the combined company is involved in legal proceedings which require disclosure under Item 401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Rule 5605 of the Nasdaq rules requires a majority of a listed company’s board of directors to be composed of independent directors. In addition, the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rules, a director will only qualify as an “independent director” if, in the opinion of the DXL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compensatory fee paid by such company to the director; and (2) whether the director is affiliated with DXL or any of its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Based upon information requested from and provided by each director concerning his or her background, employment and affiliations, including family relationships, the DXL Board believes that each of the directors of the combined company, with the exception of Jim Fogarty, would be an “independent director” as defined under Rule 5605(a)(2) of the Nasdaq rules following the consummation of the transaction with FBB.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Combined Company’s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we expect that the following individuals would serve as chair of the audit committee, compensation committee and nominating and corporate governance committee of the combined company’s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Chair: Willem Mesdag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Chair: Josh Beer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Governance Committee Chair: Steven Tesoriere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member of the audit committee must be an independent director under Rule 5605(c)(2)(A)(i) and (ii) of the Nasdaq listing standards and under Rule 10A-3 under the Exchange Act. Each member of the audit committee must be able read and understand fundamental financial statements in accordance with Nasdaq audit committee requirements. In arriving at this determination, the DXL Board will examine each audit committee member’s scope of experience and the nature of their employment in the corporate finance sector. </w:t>
      </w:r>
    </w:p>
    <w:p>
      <w:pPr>
        <w:pStyle w:val="TextBody"/>
        <w:bidi w:val="0"/>
        <w:spacing w:before="240" w:after="0"/>
        <w:jc w:val="left"/>
        <w:rPr>
          <w:rFonts w:ascii="Times New Roman" w:hAnsi="Times New Roman"/>
          <w:sz w:val="20"/>
        </w:rPr>
      </w:pPr>
      <w:r>
        <w:rPr>
          <w:rFonts w:ascii="Times New Roman" w:hAnsi="Times New Roman"/>
          <w:sz w:val="20"/>
        </w:rPr>
        <w:t xml:space="preserve">The financial expert serving on the audit committee must qualify as a financial expert within the meaning of SEC regulations and must meet the financial sophistication requirements of the Nasdaq listing rules. In making this determination, the DXL Board will consider the financial expert’s formal education and previous and current experience in financial and accounting roles. Both our independent registered public accounting firm and management will periodically meet privately with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Each member of the compensation committee must be a non-employee director, as defined in Rule 16b-3 promulgated under the Exchange Act and satisfies the Nasdaq independence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tx76201_82"/>
      <w:bookmarkEnd w:id="85"/>
      <w:r>
        <w:rPr>
          <w:rFonts w:ascii="Times New Roman" w:hAnsi="Times New Roman"/>
          <w:b/>
          <w:sz w:val="20"/>
        </w:rPr>
        <w:t xml:space="preserve">PRINCIPAL STOCKHOLDERS OF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relating to the beneficial ownership of DXL common stock as of August 15, 2026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DXL to beneficially own more than 5% of the outstanding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August 15, 2026 through the exercise of any stock option, warrants or other rights. Except as otherwise indicated, and subject to applicable community property laws, the persons named in the table have sole voting and investment power with respect to all shares of DXL common stock held by such persons. </w:t>
      </w:r>
    </w:p>
    <w:p>
      <w:pPr>
        <w:pStyle w:val="TextBody"/>
        <w:bidi w:val="0"/>
        <w:spacing w:before="120" w:after="0"/>
        <w:jc w:val="left"/>
        <w:rPr>
          <w:rFonts w:ascii="Times New Roman" w:hAnsi="Times New Roman"/>
          <w:sz w:val="20"/>
        </w:rPr>
      </w:pPr>
      <w:r>
        <w:rPr>
          <w:rFonts w:ascii="Times New Roman" w:hAnsi="Times New Roman"/>
          <w:sz w:val="20"/>
        </w:rPr>
        <w:t xml:space="preserve">The percentage of shares beneficially owned is computed on the basis of 55,453,550 shares of DXL common stock outstanding as of August 15, 2026. Shares of DXL common stock that a person has the right to acquire within 60 days of August 15,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in the table is c/o Destination XL Group, Inc., 555 Turnpike Street, Canton, Massachusetts 02021.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6"/>
        <w:gridCol w:w="464"/>
        <w:gridCol w:w="76"/>
        <w:gridCol w:w="1342"/>
        <w:gridCol w:w="377"/>
        <w:gridCol w:w="375"/>
        <w:gridCol w:w="74"/>
        <w:gridCol w:w="751"/>
        <w:gridCol w:w="280"/>
      </w:tblGrid>
      <w:tr>
        <w:trPr/>
        <w:tc>
          <w:tcPr>
            <w:tcW w:w="4016"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64" w:type="dxa"/>
            <w:tcBorders/>
            <w:vAlign w:val="bottom"/>
          </w:tcPr>
          <w:p>
            <w:pPr>
              <w:pStyle w:val="TableContents"/>
              <w:bidi w:val="0"/>
              <w:spacing w:before="0" w:after="283"/>
              <w:jc w:val="left"/>
              <w:rPr/>
            </w:pPr>
            <w:r>
              <w:rPr/>
              <w:t>  </w:t>
            </w:r>
          </w:p>
        </w:tc>
        <w:tc>
          <w:tcPr>
            <w:tcW w:w="1418"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37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501,625</w:t>
            </w:r>
          </w:p>
        </w:tc>
        <w:tc>
          <w:tcPr>
            <w:tcW w:w="377" w:type="dxa"/>
            <w:tcBorders/>
            <w:vAlign w:val="bottom"/>
          </w:tcPr>
          <w:p>
            <w:pPr>
              <w:pStyle w:val="TableContents"/>
              <w:bidi w:val="0"/>
              <w:spacing w:before="0" w:after="283"/>
              <w:jc w:val="left"/>
              <w:rPr/>
            </w:pPr>
            <w:r>
              <w:rPr/>
              <w:t>(2)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 and Interim Chief Executive Officer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1,716,317</w:t>
            </w:r>
          </w:p>
        </w:tc>
        <w:tc>
          <w:tcPr>
            <w:tcW w:w="377" w:type="dxa"/>
            <w:tcBorders/>
            <w:shd w:fill="CCEEFF" w:val="clear"/>
            <w:vAlign w:val="bottom"/>
          </w:tcPr>
          <w:p>
            <w:pPr>
              <w:pStyle w:val="TableContents"/>
              <w:bidi w:val="0"/>
              <w:spacing w:before="0" w:after="283"/>
              <w:jc w:val="left"/>
              <w:rPr/>
            </w:pPr>
            <w:r>
              <w:rPr/>
              <w:t>(3)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3.04</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Former President and Chief Executive Officer and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634,149</w:t>
            </w:r>
          </w:p>
        </w:tc>
        <w:tc>
          <w:tcPr>
            <w:tcW w:w="377" w:type="dxa"/>
            <w:tcBorders/>
            <w:vAlign w:val="bottom"/>
          </w:tcPr>
          <w:p>
            <w:pPr>
              <w:pStyle w:val="TableContents"/>
              <w:bidi w:val="0"/>
              <w:spacing w:before="0" w:after="283"/>
              <w:jc w:val="left"/>
              <w:rPr/>
            </w:pPr>
            <w:r>
              <w:rPr/>
              <w:t>(4)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Jr. Executive Vice President, Chief Financial Officer and Treasurer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Stores and Real Estate Officer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421,842</w:t>
            </w:r>
          </w:p>
        </w:tc>
        <w:tc>
          <w:tcPr>
            <w:tcW w:w="377" w:type="dxa"/>
            <w:tcBorders/>
            <w:shd w:fill="CCEEFF" w:val="clear"/>
            <w:vAlign w:val="bottom"/>
          </w:tcPr>
          <w:p>
            <w:pPr>
              <w:pStyle w:val="TableContents"/>
              <w:bidi w:val="0"/>
              <w:spacing w:before="0" w:after="283"/>
              <w:jc w:val="left"/>
              <w:rPr/>
            </w:pPr>
            <w:r>
              <w:rPr/>
              <w:t>(5)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511,214</w:t>
            </w:r>
          </w:p>
        </w:tc>
        <w:tc>
          <w:tcPr>
            <w:tcW w:w="377" w:type="dxa"/>
            <w:tcBorders/>
            <w:vAlign w:val="bottom"/>
          </w:tcPr>
          <w:p>
            <w:pPr>
              <w:pStyle w:val="TableContents"/>
              <w:bidi w:val="0"/>
              <w:spacing w:before="0" w:after="283"/>
              <w:jc w:val="left"/>
              <w:rPr/>
            </w:pPr>
            <w:r>
              <w:rPr/>
              <w:t>(6)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General Counsel and Secretary</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359,190</w:t>
            </w:r>
          </w:p>
        </w:tc>
        <w:tc>
          <w:tcPr>
            <w:tcW w:w="377" w:type="dxa"/>
            <w:tcBorders/>
            <w:shd w:fill="CCEEFF" w:val="clear"/>
            <w:vAlign w:val="bottom"/>
          </w:tcPr>
          <w:p>
            <w:pPr>
              <w:pStyle w:val="TableContents"/>
              <w:bidi w:val="0"/>
              <w:spacing w:before="0" w:after="283"/>
              <w:jc w:val="left"/>
              <w:rPr/>
            </w:pPr>
            <w:r>
              <w:rPr/>
              <w:t>(7)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Merchandising Officer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Jack Boyle,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679,725</w:t>
            </w:r>
          </w:p>
        </w:tc>
        <w:tc>
          <w:tcPr>
            <w:tcW w:w="377" w:type="dxa"/>
            <w:tcBorders/>
            <w:vAlign w:val="bottom"/>
          </w:tcPr>
          <w:p>
            <w:pPr>
              <w:pStyle w:val="TableContents"/>
              <w:bidi w:val="0"/>
              <w:spacing w:before="0" w:after="283"/>
              <w:jc w:val="left"/>
              <w:rPr/>
            </w:pPr>
            <w:r>
              <w:rPr/>
              <w:t>(2)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1.2</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 Lead Independent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217,058</w:t>
            </w:r>
          </w:p>
        </w:tc>
        <w:tc>
          <w:tcPr>
            <w:tcW w:w="377"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3,366,499</w:t>
            </w:r>
          </w:p>
        </w:tc>
        <w:tc>
          <w:tcPr>
            <w:tcW w:w="377" w:type="dxa"/>
            <w:tcBorders/>
            <w:vAlign w:val="bottom"/>
          </w:tcPr>
          <w:p>
            <w:pPr>
              <w:pStyle w:val="TableContents"/>
              <w:bidi w:val="0"/>
              <w:spacing w:before="0" w:after="283"/>
              <w:jc w:val="left"/>
              <w:rPr/>
            </w:pPr>
            <w:r>
              <w:rPr/>
              <w:t>(8)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6.0</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Ivy Ross, Director</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373,274</w:t>
            </w:r>
          </w:p>
        </w:tc>
        <w:tc>
          <w:tcPr>
            <w:tcW w:w="377"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016" w:type="dxa"/>
            <w:tcBorders/>
          </w:tcPr>
          <w:p>
            <w:pPr>
              <w:pStyle w:val="TableContents"/>
              <w:bidi w:val="0"/>
              <w:spacing w:before="0" w:after="0"/>
              <w:jc w:val="left"/>
              <w:rPr>
                <w:rFonts w:ascii="Times New Roman" w:hAnsi="Times New Roman"/>
                <w:sz w:val="20"/>
              </w:rPr>
            </w:pPr>
            <w:r>
              <w:rPr>
                <w:rFonts w:ascii="Times New Roman" w:hAnsi="Times New Roman"/>
                <w:sz w:val="20"/>
              </w:rPr>
              <w:t>Elaine K. Rubin, Director</w:t>
            </w:r>
          </w:p>
        </w:tc>
        <w:tc>
          <w:tcPr>
            <w:tcW w:w="46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308,570</w:t>
            </w:r>
          </w:p>
        </w:tc>
        <w:tc>
          <w:tcPr>
            <w:tcW w:w="377"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0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Directors and executive officers as a group (12 persons)</w:t>
            </w:r>
          </w:p>
        </w:tc>
        <w:tc>
          <w:tcPr>
            <w:tcW w:w="46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9,627,426</w:t>
            </w:r>
          </w:p>
        </w:tc>
        <w:tc>
          <w:tcPr>
            <w:tcW w:w="377" w:type="dxa"/>
            <w:tcBorders/>
            <w:shd w:fill="CCEEFF" w:val="clear"/>
            <w:vAlign w:val="bottom"/>
          </w:tcPr>
          <w:p>
            <w:pPr>
              <w:pStyle w:val="TableContents"/>
              <w:bidi w:val="0"/>
              <w:spacing w:before="0" w:after="283"/>
              <w:jc w:val="left"/>
              <w:rPr/>
            </w:pPr>
            <w:r>
              <w:rPr/>
              <w:t>(9) </w:t>
            </w:r>
          </w:p>
        </w:tc>
        <w:tc>
          <w:tcPr>
            <w:tcW w:w="37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16.49</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3935"/>
        <w:gridCol w:w="484"/>
        <w:gridCol w:w="76"/>
        <w:gridCol w:w="1307"/>
        <w:gridCol w:w="483"/>
        <w:gridCol w:w="397"/>
        <w:gridCol w:w="92"/>
        <w:gridCol w:w="700"/>
        <w:gridCol w:w="281"/>
      </w:tblGrid>
      <w:tr>
        <w:trPr/>
        <w:tc>
          <w:tcPr>
            <w:tcW w:w="393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84" w:type="dxa"/>
            <w:tcBorders/>
            <w:vAlign w:val="bottom"/>
          </w:tcPr>
          <w:p>
            <w:pPr>
              <w:pStyle w:val="TableContents"/>
              <w:bidi w:val="0"/>
              <w:spacing w:before="0" w:after="283"/>
              <w:jc w:val="left"/>
              <w:rPr/>
            </w:pPr>
            <w:r>
              <w:rPr/>
              <w:t>  </w:t>
            </w:r>
          </w:p>
        </w:tc>
        <w:tc>
          <w:tcPr>
            <w:tcW w:w="138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483"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1" w:type="dxa"/>
            <w:tcBorders/>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AWM Investment Company, Inc.</w:t>
            </w:r>
          </w:p>
          <w:p>
            <w:pPr>
              <w:pStyle w:val="TableContents"/>
              <w:bidi w:val="0"/>
              <w:spacing w:before="0" w:after="0"/>
              <w:jc w:val="left"/>
              <w:rPr>
                <w:rFonts w:ascii="Times New Roman" w:hAnsi="Times New Roman"/>
                <w:sz w:val="20"/>
              </w:rPr>
            </w:pPr>
            <w:r>
              <w:rPr>
                <w:rFonts w:ascii="Times New Roman" w:hAnsi="Times New Roman"/>
                <w:sz w:val="20"/>
              </w:rPr>
              <w:t>c/o Special Situations Funds</w:t>
            </w:r>
          </w:p>
          <w:p>
            <w:pPr>
              <w:pStyle w:val="TableContents"/>
              <w:bidi w:val="0"/>
              <w:spacing w:before="0" w:after="0"/>
              <w:jc w:val="left"/>
              <w:rPr>
                <w:rFonts w:ascii="Times New Roman" w:hAnsi="Times New Roman"/>
                <w:sz w:val="20"/>
              </w:rPr>
            </w:pPr>
            <w:r>
              <w:rPr>
                <w:rFonts w:ascii="Times New Roman" w:hAnsi="Times New Roman"/>
                <w:sz w:val="20"/>
              </w:rPr>
              <w:t>527 Madison Avenue, Suite 2600</w:t>
            </w:r>
          </w:p>
          <w:p>
            <w:pPr>
              <w:pStyle w:val="TableContents"/>
              <w:bidi w:val="0"/>
              <w:spacing w:before="0" w:after="20"/>
              <w:jc w:val="left"/>
              <w:rPr>
                <w:rFonts w:ascii="Times New Roman" w:hAnsi="Times New Roman"/>
                <w:sz w:val="20"/>
              </w:rPr>
            </w:pPr>
            <w:r>
              <w:rPr>
                <w:rFonts w:ascii="Times New Roman" w:hAnsi="Times New Roman"/>
                <w:sz w:val="20"/>
              </w:rPr>
              <w:t>New York, New York 10022</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9,399,297</w:t>
            </w:r>
          </w:p>
        </w:tc>
        <w:tc>
          <w:tcPr>
            <w:tcW w:w="483" w:type="dxa"/>
            <w:tcBorders/>
            <w:shd w:fill="CCEEFF" w:val="clear"/>
            <w:vAlign w:val="bottom"/>
          </w:tcPr>
          <w:p>
            <w:pPr>
              <w:pStyle w:val="TableContents"/>
              <w:bidi w:val="0"/>
              <w:spacing w:before="0" w:after="283"/>
              <w:jc w:val="left"/>
              <w:rPr/>
            </w:pPr>
            <w:r>
              <w:rPr/>
              <w:t>(10)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17.0</w:t>
            </w:r>
          </w:p>
        </w:tc>
        <w:tc>
          <w:tcPr>
            <w:tcW w:w="281"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Fund 1 Investments, LLC</w:t>
            </w:r>
          </w:p>
          <w:p>
            <w:pPr>
              <w:pStyle w:val="TableContents"/>
              <w:bidi w:val="0"/>
              <w:spacing w:before="0" w:after="0"/>
              <w:jc w:val="left"/>
              <w:rPr>
                <w:rFonts w:ascii="Times New Roman" w:hAnsi="Times New Roman"/>
                <w:sz w:val="20"/>
              </w:rPr>
            </w:pPr>
            <w:r>
              <w:rPr>
                <w:rFonts w:ascii="Times New Roman" w:hAnsi="Times New Roman"/>
                <w:sz w:val="20"/>
              </w:rPr>
              <w:t>100 Carr 115 Unit 1900</w:t>
            </w:r>
          </w:p>
          <w:p>
            <w:pPr>
              <w:pStyle w:val="TableContents"/>
              <w:bidi w:val="0"/>
              <w:spacing w:before="0" w:after="20"/>
              <w:jc w:val="left"/>
              <w:rPr>
                <w:rFonts w:ascii="Times New Roman" w:hAnsi="Times New Roman"/>
                <w:sz w:val="20"/>
              </w:rPr>
            </w:pPr>
            <w:r>
              <w:rPr>
                <w:rFonts w:ascii="Times New Roman" w:hAnsi="Times New Roman"/>
                <w:sz w:val="20"/>
              </w:rPr>
              <w:t>Rincon, Puerto Rico 00677</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5,758,261</w:t>
            </w:r>
          </w:p>
        </w:tc>
        <w:tc>
          <w:tcPr>
            <w:tcW w:w="483" w:type="dxa"/>
            <w:tcBorders/>
            <w:vAlign w:val="bottom"/>
          </w:tcPr>
          <w:p>
            <w:pPr>
              <w:pStyle w:val="TableContents"/>
              <w:bidi w:val="0"/>
              <w:spacing w:before="0" w:after="283"/>
              <w:jc w:val="left"/>
              <w:rPr/>
            </w:pPr>
            <w:r>
              <w:rPr/>
              <w:t>(11) </w:t>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10.4</w:t>
            </w:r>
          </w:p>
        </w:tc>
        <w:tc>
          <w:tcPr>
            <w:tcW w:w="281"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Nantahala Capital Management, LLC</w:t>
            </w:r>
          </w:p>
          <w:p>
            <w:pPr>
              <w:pStyle w:val="TableContents"/>
              <w:bidi w:val="0"/>
              <w:spacing w:before="0" w:after="0"/>
              <w:jc w:val="left"/>
              <w:rPr>
                <w:rFonts w:ascii="Times New Roman" w:hAnsi="Times New Roman"/>
                <w:sz w:val="20"/>
              </w:rPr>
            </w:pPr>
            <w:r>
              <w:rPr>
                <w:rFonts w:ascii="Times New Roman" w:hAnsi="Times New Roman"/>
                <w:sz w:val="20"/>
              </w:rPr>
              <w:t>130 Main St., 2nd Floor</w:t>
            </w:r>
          </w:p>
          <w:p>
            <w:pPr>
              <w:pStyle w:val="TableContents"/>
              <w:bidi w:val="0"/>
              <w:spacing w:before="0" w:after="20"/>
              <w:jc w:val="left"/>
              <w:rPr>
                <w:rFonts w:ascii="Times New Roman" w:hAnsi="Times New Roman"/>
                <w:sz w:val="20"/>
              </w:rPr>
            </w:pPr>
            <w:r>
              <w:rPr>
                <w:rFonts w:ascii="Times New Roman" w:hAnsi="Times New Roman"/>
                <w:sz w:val="20"/>
              </w:rPr>
              <w:t>New Canaan, Connecticut 06840</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4,505,000</w:t>
            </w:r>
          </w:p>
        </w:tc>
        <w:tc>
          <w:tcPr>
            <w:tcW w:w="483" w:type="dxa"/>
            <w:tcBorders/>
            <w:shd w:fill="CCEEFF" w:val="clear"/>
            <w:vAlign w:val="bottom"/>
          </w:tcPr>
          <w:p>
            <w:pPr>
              <w:pStyle w:val="TableContents"/>
              <w:bidi w:val="0"/>
              <w:spacing w:before="0" w:after="283"/>
              <w:jc w:val="left"/>
              <w:rPr/>
            </w:pPr>
            <w:r>
              <w:rPr/>
              <w:t>(12)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7.5</w:t>
            </w:r>
          </w:p>
        </w:tc>
        <w:tc>
          <w:tcPr>
            <w:tcW w:w="281" w:type="dxa"/>
            <w:tcBorders/>
            <w:shd w:fill="CCEEFF" w:val="clear"/>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Nomura Holdings Inc</w:t>
            </w:r>
          </w:p>
          <w:p>
            <w:pPr>
              <w:pStyle w:val="TableContents"/>
              <w:bidi w:val="0"/>
              <w:spacing w:before="0" w:after="0"/>
              <w:jc w:val="left"/>
              <w:rPr>
                <w:rFonts w:ascii="Times New Roman" w:hAnsi="Times New Roman"/>
                <w:sz w:val="20"/>
              </w:rPr>
            </w:pPr>
            <w:r>
              <w:rPr>
                <w:rFonts w:ascii="Times New Roman" w:hAnsi="Times New Roman"/>
                <w:sz w:val="20"/>
              </w:rPr>
              <w:t>13-1, Nihonbashi 1-chome</w:t>
            </w:r>
          </w:p>
          <w:p>
            <w:pPr>
              <w:pStyle w:val="TableContents"/>
              <w:bidi w:val="0"/>
              <w:spacing w:before="0" w:after="20"/>
              <w:jc w:val="left"/>
              <w:rPr>
                <w:rFonts w:ascii="Times New Roman" w:hAnsi="Times New Roman"/>
                <w:sz w:val="20"/>
              </w:rPr>
            </w:pPr>
            <w:r>
              <w:rPr>
                <w:rFonts w:ascii="Times New Roman" w:hAnsi="Times New Roman"/>
                <w:sz w:val="20"/>
              </w:rPr>
              <w:t>Chuo-ku, Tokyo 103-8645, Japan</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3,393,348</w:t>
            </w:r>
          </w:p>
        </w:tc>
        <w:tc>
          <w:tcPr>
            <w:tcW w:w="483" w:type="dxa"/>
            <w:tcBorders/>
            <w:shd w:fill="CCEEFF" w:val="clear"/>
            <w:vAlign w:val="bottom"/>
          </w:tcPr>
          <w:p>
            <w:pPr>
              <w:pStyle w:val="TableContents"/>
              <w:bidi w:val="0"/>
              <w:spacing w:before="0" w:after="283"/>
              <w:jc w:val="left"/>
              <w:rPr/>
            </w:pPr>
            <w:r>
              <w:rPr/>
              <w:t>(13)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6.1</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55,453,550 shares of our common stock outstanding as of August 15,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15,000 shares subject to stock options exercisable within 60 days and 48,386 shares to be issued as monthly compensation pursuant to Mr. Conacher’s offer letter within 60 days of August 15, 2026, based on DXL’s closing stock price of $0.62 on May 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914,853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286,096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217,688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190,597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225,114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772,741 shares of deferred stock receivable upon the earlier of Mr. Mesdag’s separation from the DXL Board or the closing of the merger.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2,115,120 shares subject to stock options exercisable within 60 days, 772,741 shares of deferred stock, and 48,386 shares to be issued as monthly compensation pursuant to Mr. Conacher’s offer letter within 60 days of August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4 to Schedule 13G filed February 14, 2025.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5 to Schedule 13D filed January 22, 2025, Fund 1 Investments, LLC holds sole voting power for 5,758,261 shares and sole dispositive power for 5,758,261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November 11, 2025. Nantahala Capital Management, LLC, Wilmot B. Harkey, and Daniel Mack hold shared voting power for 4,505,000 shares and shared dispositive power for 4,505,000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August 14, 2026. Nomura Holdings Inc. and its wholly owned subsidiary, Nomura Global Financial Products Inc., hold shared voting power for 3,393,348 shares and shared dispositive power for 3,393,348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x76201_83"/>
      <w:bookmarkEnd w:id="86"/>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files reports, proxy statements and other information with the SEC as required by the Exchange Act. You can review DXL’s electronically filed reports, proxy and information statements on the SEC’s website at </w:t>
      </w:r>
      <w:r>
        <w:rPr>
          <w:rFonts w:ascii="Times New Roman" w:hAnsi="Times New Roman"/>
          <w:i/>
          <w:sz w:val="20"/>
        </w:rPr>
        <w:t>http://www.sec.gov</w:t>
      </w:r>
      <w:r>
        <w:rPr>
          <w:rFonts w:ascii="Times New Roman" w:hAnsi="Times New Roman"/>
          <w:sz w:val="20"/>
        </w:rPr>
        <w:t xml:space="preserve"> or on DXL’s website at </w:t>
      </w:r>
      <w:r>
        <w:rPr>
          <w:rFonts w:ascii="Times New Roman" w:hAnsi="Times New Roman"/>
          <w:i/>
          <w:sz w:val="20"/>
        </w:rPr>
        <w:t>https://investor.dxl.com</w:t>
      </w:r>
      <w:r>
        <w:rPr>
          <w:rFonts w:ascii="Times New Roman" w:hAnsi="Times New Roman"/>
          <w:sz w:val="20"/>
        </w:rPr>
        <w:t xml:space="preserve">. Information included on DXL’s website is not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proxy statement or on information to which DXL has referred you. DXL has not authorized anyone else to provide you with any information. DXL provided the information concerning DXL, and FBB provided the information concerning FBB, appearing in this proxy statement. </w:t>
      </w:r>
    </w:p>
    <w:p>
      <w:pPr>
        <w:pStyle w:val="TextBody"/>
        <w:bidi w:val="0"/>
        <w:spacing w:before="480" w:after="0"/>
        <w:jc w:val="center"/>
        <w:rPr>
          <w:rFonts w:ascii="Times New Roman" w:hAnsi="Times New Roman"/>
          <w:b/>
          <w:sz w:val="20"/>
        </w:rPr>
      </w:pPr>
      <w:bookmarkStart w:id="87" w:name="tx76201_84"/>
      <w:bookmarkEnd w:id="87"/>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DXL has adopted a procedure called “householding,” which the SEC has approved. Under this procedure, stockholders of record who have the same address and last name and did not receive the proxy materials electronically will receive only one copy of the proxy materials unless DXL receives contrary instructions from one or more of such stockholders. Upon oral or written request, DXL will deliver promptly a separate copy of the proxy materials to a stockholder at a shared address to which a single copy of the proxy materials was delivered. If you are a stockholder of record at a shared address to which DXL delivered a single copy of the proxy materials and you desire to receive a separate copy of the proxy materials for the special meeting or for DXL’s future meetings, or if you are a stockholder at a shared address to which DXL delivered multiple copies of the proxy materials and you desire to receive one copy in the future, please submit your request to EQ, LLC at P.O. Box 500, Newark, New Jersey, 07101, by telephone at (800) 937-5449. If you are a beneficial stockholder, please contact your bank, broker or other nominee directly if you have questions, require additional copies of the proxy materials, wish to receive multiple reports by revoking your consent to householding or wish to request single copies of the proxy materials in the future. </w:t>
      </w:r>
    </w:p>
    <w:p>
      <w:pPr>
        <w:pStyle w:val="TextBody"/>
        <w:bidi w:val="0"/>
        <w:spacing w:before="480" w:after="0"/>
        <w:jc w:val="center"/>
        <w:rPr>
          <w:rFonts w:ascii="Times New Roman" w:hAnsi="Times New Roman"/>
          <w:b/>
          <w:sz w:val="20"/>
        </w:rPr>
      </w:pPr>
      <w:bookmarkStart w:id="88" w:name="tx76201_85"/>
      <w:bookmarkEnd w:id="88"/>
      <w:r>
        <w:rPr>
          <w:rFonts w:ascii="Times New Roman" w:hAnsi="Times New Roman"/>
          <w:b/>
          <w:sz w:val="20"/>
        </w:rPr>
        <w:t xml:space="preserve">FUTURE STOCKHOLDER PROPOSALS </w:t>
      </w:r>
    </w:p>
    <w:p>
      <w:pPr>
        <w:pStyle w:val="TextBody"/>
        <w:bidi w:val="0"/>
        <w:spacing w:before="240" w:after="0"/>
        <w:jc w:val="left"/>
        <w:rPr>
          <w:rFonts w:ascii="Times New Roman" w:hAnsi="Times New Roman"/>
          <w:b/>
          <w:sz w:val="20"/>
        </w:rPr>
      </w:pPr>
      <w:r>
        <w:rPr>
          <w:rFonts w:ascii="Times New Roman" w:hAnsi="Times New Roman"/>
          <w:b/>
          <w:sz w:val="20"/>
        </w:rPr>
        <w:t xml:space="preserve">Requirements for Stockholder Proposals to be Considered for Inclusion in DXL’s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14a-8 of the Exchange Act, to be considered for inclusion in DXL’s proxy statement and proxy card for the DXL 2026 Annual Meeting of Stockholders (the “2026 Annual Meeting”), stockholder proposals must have been received by DXL’s corporate secretary at DXL’s principal executive offices by March 2, 2026,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As the March 2, 2026 deadline has now passed, any proposal received after March 2, 2026 will not be considered for inclusion in DXL’s proxy statement for the 2026 Annual Meeting,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Stockholder Proposals to be Brought Before an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any stockholder proposal (including director nominations) that is not submitted for inclusion in next year’s proxy statement under Rule 14a-8, but is instead sought to be presented directly at the 2026 Annual Meeting, must be delivered to DXL’s principal executive offices no earlier than the close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on the 120th day and no later than the close of business on the 90th day prior to the anniversary date of the immediately preceding annual meeting (the “Anniversary Date”). Accordingly, to submit any such proposal, DXL stockholders must submit the required notice no earlier than the close of business on April 9, 2026, and no later than the close of business on May 8, 2026, except as described above. In each case, the notice must include the information specified in the By-Laws. </w:t>
      </w:r>
    </w:p>
    <w:p>
      <w:pPr>
        <w:pStyle w:val="TextBody"/>
        <w:bidi w:val="0"/>
        <w:spacing w:before="240" w:after="0"/>
        <w:jc w:val="left"/>
        <w:rPr>
          <w:rFonts w:ascii="Times New Roman" w:hAnsi="Times New Roman"/>
          <w:sz w:val="20"/>
        </w:rPr>
      </w:pPr>
      <w:r>
        <w:rPr>
          <w:rFonts w:ascii="Times New Roman" w:hAnsi="Times New Roman"/>
          <w:sz w:val="20"/>
        </w:rPr>
        <w:t xml:space="preserve">If the 2026 Annual Meeting is held more than 30 days before or more than 60 days after the Anniversary Date, notice must be delivered no later than the close of business on the later of the 90th day prior to the 2026 Annual Meeting or the 10th day after the date on which a public announcement of the date of the 2026 Annual Meeting is first made by DXL. </w:t>
      </w:r>
    </w:p>
    <w:p>
      <w:pPr>
        <w:pStyle w:val="TextBody"/>
        <w:bidi w:val="0"/>
        <w:spacing w:before="240" w:after="0"/>
        <w:jc w:val="left"/>
        <w:rPr>
          <w:rFonts w:ascii="Times New Roman" w:hAnsi="Times New Roman"/>
          <w:sz w:val="20"/>
        </w:rPr>
      </w:pPr>
      <w:r>
        <w:rPr>
          <w:rFonts w:ascii="Times New Roman" w:hAnsi="Times New Roman"/>
          <w:sz w:val="20"/>
        </w:rPr>
        <w:t xml:space="preserve">The By-Laws also provide that for business to be properly brought before an annual meeting of stockholders (or any special meeting), a stockholder must: (i) give timely written notice to the DXL corporate secretary describing any proposal to be brought before such meeting; and (ii) be present at such annual meeting, either in person or by a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In order for stockholders to give timely notice of nominations for directors for inclusion on a universal proxy card in connection with the 2026 Annual Meeting, notice must be submitted by the same deadline as disclosed above under the advance notice provisions of the By-Laws, and must include all information required by the By-Laws and by Rule 14a-19(b)(2) and Rule 14a-19(b)(3)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procedural requirements for submitting stockholder proposals and director nominations are fully set forth in Section 3.13 of the By-Laws. Copies of the By-Laws are available upon request from the corporate secretary at the DXL principal executive offices. </w:t>
      </w:r>
    </w:p>
    <w:p>
      <w:pPr>
        <w:pStyle w:val="TextBody"/>
        <w:bidi w:val="0"/>
        <w:spacing w:before="480" w:after="0"/>
        <w:jc w:val="center"/>
        <w:rPr>
          <w:rFonts w:ascii="Times New Roman" w:hAnsi="Times New Roman"/>
          <w:b/>
          <w:sz w:val="20"/>
        </w:rPr>
      </w:pPr>
      <w:bookmarkStart w:id="89" w:name="tx76201_86"/>
      <w:bookmarkEnd w:id="89"/>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has been “incorporated by reference” into this proxy statement, which means that DXL has disclosed important information to you by referring you to another document filed separately with the SEC. The documents incorporated by reference into this proxy statement contain important information that you should read about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January 31, 2026 as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5">
              <w:r>
                <w:rPr>
                  <w:rStyle w:val="InternetLink"/>
                  <w:rFonts w:ascii="Times New Roman" w:hAnsi="Times New Roman"/>
                  <w:sz w:val="20"/>
                </w:rPr>
                <w:t>Form 10-K/A</w:t>
              </w:r>
            </w:hyperlink>
            <w:r>
              <w:rPr>
                <w:rFonts w:ascii="Times New Roman" w:hAnsi="Times New Roman"/>
                <w:sz w:val="20"/>
              </w:rPr>
              <w:t xml:space="preserve"> for the year ended January 31, 2026 as filed with the SEC on May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rFonts w:ascii="Times New Roman" w:hAnsi="Times New Roman"/>
                <w:sz w:val="20"/>
              </w:rPr>
              <w:t xml:space="preserve">DXL’s 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 ended May 2, 2026 as filed with the SEC on June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Quarterly Report on </w:t>
            </w:r>
            <w:hyperlink r:id="rId7">
              <w:r>
                <w:rPr>
                  <w:rStyle w:val="InternetLink"/>
                  <w:rFonts w:ascii="Times New Roman" w:hAnsi="Times New Roman"/>
                  <w:sz w:val="20"/>
                </w:rPr>
                <w:t>Form 10-Q</w:t>
              </w:r>
            </w:hyperlink>
            <w:r>
              <w:rPr>
                <w:rFonts w:ascii="Times New Roman" w:hAnsi="Times New Roman"/>
                <w:sz w:val="20"/>
              </w:rPr>
              <w:t xml:space="preserve"> for the quarter ended August 1, 2026 as filed with the SEC on September 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Current Reports on Form 8-K as filed with the SEC on </w:t>
            </w:r>
            <w:hyperlink r:id="rId8">
              <w:r>
                <w:rPr>
                  <w:rStyle w:val="InternetLink"/>
                  <w:rFonts w:ascii="Times New Roman" w:hAnsi="Times New Roman"/>
                  <w:sz w:val="20"/>
                </w:rPr>
                <w:t>February 6, 2026</w:t>
              </w:r>
            </w:hyperlink>
            <w:r>
              <w:rPr>
                <w:rFonts w:ascii="Times New Roman" w:hAnsi="Times New Roman"/>
                <w:sz w:val="20"/>
              </w:rPr>
              <w:t xml:space="preserve">, </w:t>
            </w:r>
            <w:hyperlink r:id="rId9">
              <w:r>
                <w:rPr>
                  <w:rStyle w:val="InternetLink"/>
                  <w:rFonts w:ascii="Times New Roman" w:hAnsi="Times New Roman"/>
                  <w:sz w:val="20"/>
                </w:rPr>
                <w:t>May 15, 2026</w:t>
              </w:r>
            </w:hyperlink>
            <w:r>
              <w:rPr>
                <w:rFonts w:ascii="Times New Roman" w:hAnsi="Times New Roman"/>
                <w:sz w:val="20"/>
              </w:rPr>
              <w:t xml:space="preserve">, </w:t>
            </w:r>
            <w:hyperlink r:id="rId10">
              <w:r>
                <w:rPr>
                  <w:rStyle w:val="InternetLink"/>
                  <w:rFonts w:ascii="Times New Roman" w:hAnsi="Times New Roman"/>
                  <w:sz w:val="20"/>
                </w:rPr>
                <w:t>August 5, 2026</w:t>
              </w:r>
            </w:hyperlink>
            <w:r>
              <w:rPr>
                <w:rFonts w:ascii="Times New Roman" w:hAnsi="Times New Roman"/>
                <w:sz w:val="20"/>
              </w:rPr>
              <w:t xml:space="preserve">, </w:t>
            </w:r>
            <w:hyperlink r:id="rId11">
              <w:r>
                <w:rPr>
                  <w:rStyle w:val="InternetLink"/>
                  <w:rFonts w:ascii="Times New Roman" w:hAnsi="Times New Roman"/>
                  <w:sz w:val="20"/>
                </w:rPr>
                <w:t>August  6, 2026</w:t>
              </w:r>
            </w:hyperlink>
            <w:r>
              <w:rPr>
                <w:rFonts w:ascii="Times New Roman" w:hAnsi="Times New Roman"/>
                <w:sz w:val="20"/>
              </w:rPr>
              <w:t xml:space="preserve">, </w:t>
            </w:r>
            <w:hyperlink r:id="rId12">
              <w:r>
                <w:rPr>
                  <w:rStyle w:val="InternetLink"/>
                  <w:rFonts w:ascii="Times New Roman" w:hAnsi="Times New Roman"/>
                  <w:sz w:val="20"/>
                </w:rPr>
                <w:t>August  19, 2026</w:t>
              </w:r>
            </w:hyperlink>
            <w:r>
              <w:rPr>
                <w:rFonts w:ascii="Times New Roman" w:hAnsi="Times New Roman"/>
                <w:sz w:val="20"/>
              </w:rPr>
              <w:t xml:space="preserve">, and </w:t>
            </w:r>
            <w:hyperlink r:id="rId13">
              <w:r>
                <w:rPr>
                  <w:rStyle w:val="InternetLink"/>
                  <w:rFonts w:ascii="Times New Roman" w:hAnsi="Times New Roman"/>
                  <w:sz w:val="20"/>
                </w:rPr>
                <w:t>September 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the description of DXL’s common stock contained in its registration statement on </w:t>
            </w:r>
            <w:hyperlink r:id="rId14">
              <w:r>
                <w:rPr>
                  <w:rStyle w:val="InternetLink"/>
                  <w:rFonts w:ascii="Times New Roman" w:hAnsi="Times New Roman"/>
                  <w:sz w:val="20"/>
                </w:rPr>
                <w:t>Form 8-A</w:t>
              </w:r>
            </w:hyperlink>
            <w:r>
              <w:rPr>
                <w:rFonts w:ascii="Times New Roman" w:hAnsi="Times New Roman"/>
                <w:sz w:val="20"/>
              </w:rPr>
              <w:t xml:space="preserve">, filed with the SEC on September 7, 2021, including all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information contained in any report on Form 8-K, or any exhibit thereto, was furnished to, rather than filed with, the SEC by DXL, such information or exhibit is specifically not incorporated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all reports and other documents that DXL subsequently files pursuant to Sections 13(a), 13(c), 14 or 15(d) of the Exchange Act, after the date of this proxy statement and prior to the special meeting will be deemed to be incorporated by reference into this proxy statement and to be part of this proxy statement from the date of the filing of such reports and documents.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also available, without charge. You may obtain documents incorporated by reference in this proxy statement by requesting them by telephone or in writing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sz w:val="20"/>
        </w:rPr>
        <w:t xml:space="preserve">c/o Secretary </w:t>
      </w:r>
    </w:p>
    <w:p>
      <w:pPr>
        <w:pStyle w:val="TextBody"/>
        <w:bidi w:val="0"/>
        <w:spacing w:before="0" w:after="0"/>
        <w:jc w:val="center"/>
        <w:rPr>
          <w:rFonts w:ascii="Times New Roman" w:hAnsi="Times New Roman"/>
          <w:sz w:val="20"/>
        </w:rPr>
      </w:pPr>
      <w:r>
        <w:rPr>
          <w:rFonts w:ascii="Times New Roman" w:hAnsi="Times New Roman"/>
          <w:sz w:val="20"/>
        </w:rPr>
        <w:t xml:space="preserve">555 Turnpike Street </w:t>
      </w:r>
    </w:p>
    <w:p>
      <w:pPr>
        <w:pStyle w:val="TextBody"/>
        <w:bidi w:val="0"/>
        <w:spacing w:before="0" w:after="0"/>
        <w:jc w:val="center"/>
        <w:rPr>
          <w:rFonts w:ascii="Times New Roman" w:hAnsi="Times New Roman"/>
          <w:sz w:val="20"/>
        </w:rPr>
      </w:pPr>
      <w:r>
        <w:rPr>
          <w:rFonts w:ascii="Times New Roman" w:hAnsi="Times New Roman"/>
          <w:sz w:val="20"/>
        </w:rPr>
        <w:t xml:space="preserve">Canton, Massachusetts 02021 </w:t>
      </w:r>
    </w:p>
    <w:p>
      <w:pPr>
        <w:pStyle w:val="TextBody"/>
        <w:bidi w:val="0"/>
        <w:spacing w:before="0" w:after="0"/>
        <w:jc w:val="center"/>
        <w:rPr>
          <w:rFonts w:ascii="Times New Roman" w:hAnsi="Times New Roman"/>
          <w:sz w:val="20"/>
        </w:rPr>
      </w:pPr>
      <w:r>
        <w:rPr>
          <w:rFonts w:ascii="Times New Roman" w:hAnsi="Times New Roman"/>
          <w:sz w:val="20"/>
        </w:rPr>
        <w:t xml:space="preserve">Tel: (781) 828-9300 </w:t>
      </w:r>
    </w:p>
    <w:p>
      <w:pPr>
        <w:pStyle w:val="TextBody"/>
        <w:bidi w:val="0"/>
        <w:spacing w:before="0" w:after="0"/>
        <w:jc w:val="center"/>
        <w:rPr>
          <w:rFonts w:ascii="Times New Roman" w:hAnsi="Times New Roman"/>
          <w:sz w:val="20"/>
        </w:rPr>
      </w:pPr>
      <w:r>
        <w:rPr>
          <w:rFonts w:ascii="Times New Roman" w:hAnsi="Times New Roman"/>
          <w:sz w:val="20"/>
        </w:rPr>
        <w:t xml:space="preserve">E-Mail: investor.relations@dxlg.com </w:t>
      </w:r>
    </w:p>
    <w:p>
      <w:pPr>
        <w:pStyle w:val="TextBody"/>
        <w:bidi w:val="0"/>
        <w:spacing w:before="480" w:after="0"/>
        <w:jc w:val="center"/>
        <w:rPr>
          <w:rFonts w:ascii="Times New Roman" w:hAnsi="Times New Roman"/>
          <w:b/>
          <w:sz w:val="20"/>
        </w:rPr>
      </w:pPr>
      <w:bookmarkStart w:id="90" w:name="tx76201_87"/>
      <w:bookmarkEnd w:id="90"/>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You may vote by submitting a proxy via the Internet or by telephone, as specified in the Internet and telephone voting instructions on your proxy card, returning your proxy card using the postage prepaid envelope provided, or attending the special meeting and voting at the meeting. If you have any questions about this proxy statement, the special meeting or the merger or need assistance with voting procedures, you should contact: </w:t>
      </w:r>
    </w:p>
    <w:p>
      <w:pPr>
        <w:pStyle w:val="TextBody"/>
        <w:bidi w:val="0"/>
        <w:spacing w:before="240" w:after="0"/>
        <w:jc w:val="center"/>
        <w:rPr>
          <w:rFonts w:ascii="Times New Roman" w:hAnsi="Times New Roman"/>
          <w:sz w:val="20"/>
        </w:rPr>
      </w:pPr>
      <w:r>
        <w:rPr>
          <w:rFonts w:ascii="Times New Roman" w:hAnsi="Times New Roman"/>
          <w:sz w:val="20"/>
        </w:rPr>
        <w:t xml:space="preserve">MacKenzie Partners, Inc. </w:t>
      </w:r>
    </w:p>
    <w:p>
      <w:pPr>
        <w:pStyle w:val="TextBody"/>
        <w:bidi w:val="0"/>
        <w:spacing w:before="0" w:after="0"/>
        <w:jc w:val="center"/>
        <w:rPr>
          <w:rFonts w:ascii="Times New Roman" w:hAnsi="Times New Roman"/>
          <w:sz w:val="20"/>
        </w:rPr>
      </w:pPr>
      <w:r>
        <w:rPr>
          <w:rFonts w:ascii="Times New Roman" w:hAnsi="Times New Roman"/>
          <w:sz w:val="20"/>
        </w:rPr>
        <w:t xml:space="preserve">7 Penn Plaza, Suite 503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center"/>
        <w:rPr>
          <w:rFonts w:ascii="Times New Roman" w:hAnsi="Times New Roman"/>
          <w:sz w:val="20"/>
        </w:rPr>
      </w:pPr>
      <w:r>
        <w:rPr>
          <w:rFonts w:ascii="Times New Roman" w:hAnsi="Times New Roman"/>
          <w:sz w:val="20"/>
        </w:rPr>
        <w:t xml:space="preserve">Tel (for stockholders): (800) 322-2885 </w:t>
      </w:r>
    </w:p>
    <w:p>
      <w:pPr>
        <w:pStyle w:val="TextBody"/>
        <w:bidi w:val="0"/>
        <w:spacing w:before="0" w:after="0"/>
        <w:jc w:val="center"/>
        <w:rPr>
          <w:rFonts w:ascii="Times New Roman" w:hAnsi="Times New Roman"/>
          <w:sz w:val="20"/>
        </w:rPr>
      </w:pPr>
      <w:r>
        <w:rPr>
          <w:rFonts w:ascii="Times New Roman" w:hAnsi="Times New Roman"/>
          <w:sz w:val="20"/>
        </w:rPr>
        <w:t xml:space="preserve">Tel (for banks or brokers): (212) 929-5500 </w:t>
      </w:r>
    </w:p>
    <w:p>
      <w:pPr>
        <w:pStyle w:val="TextBody"/>
        <w:bidi w:val="0"/>
        <w:spacing w:before="0" w:after="0"/>
        <w:jc w:val="center"/>
        <w:rPr>
          <w:rFonts w:ascii="Times New Roman" w:hAnsi="Times New Roman"/>
          <w:sz w:val="20"/>
        </w:rPr>
      </w:pPr>
      <w:r>
        <w:rPr>
          <w:rFonts w:ascii="Times New Roman" w:hAnsi="Times New Roman"/>
          <w:sz w:val="20"/>
        </w:rPr>
        <w:t xml:space="preserve">E-Mail: proxy@mackenziepartners.com </w:t>
      </w:r>
    </w:p>
    <w:p>
      <w:pPr>
        <w:pStyle w:val="TextBody"/>
        <w:bidi w:val="0"/>
        <w:spacing w:before="240" w:after="0"/>
        <w:jc w:val="left"/>
        <w:rPr>
          <w:rFonts w:ascii="Times New Roman" w:hAnsi="Times New Roman"/>
          <w:sz w:val="20"/>
        </w:rPr>
      </w:pPr>
      <w:r>
        <w:rPr>
          <w:rFonts w:ascii="Times New Roman" w:hAnsi="Times New Roman"/>
          <w:sz w:val="20"/>
        </w:rPr>
        <w:t xml:space="preserve">Please note, however, that if your shares are held of record by a brokerage firm, bank, trust or other nominee and you wish to vote at the special meeting, you must instruct the brokerage firm, bank, trust or other nominee how to vote your shares or obtain a proxy issued in your name from that record holder.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 </w:t>
      </w:r>
    </w:p>
    <w:p>
      <w:pPr>
        <w:pStyle w:val="TextBody"/>
        <w:bidi w:val="0"/>
        <w:spacing w:before="240" w:after="0"/>
        <w:jc w:val="left"/>
        <w:rPr>
          <w:rFonts w:ascii="Times New Roman" w:hAnsi="Times New Roman"/>
          <w:sz w:val="20"/>
        </w:rPr>
      </w:pPr>
      <w:r>
        <w:rPr>
          <w:rFonts w:ascii="Times New Roman" w:hAnsi="Times New Roman"/>
          <w:sz w:val="20"/>
        </w:rPr>
        <w:t xml:space="preserve">DXL HAS NOT AUTHORIZED ANYONE TO GIVE YOU ANY INFORMATION OR TO MAKE ANY REPRESENTATION ABOUT THE PROPOSED MERGER OR DXL THAT IS DIFFERENT FROM OR ADDS TO THE INFORMATION CONTAINED IN THIS PROXY STATEMENT OR IN THE DOCUMENTS DXL HAS PUBLICLY FILED WITH THE SEC. DXL IS NOT RESPONSIBLE FOR, AND CAN PROVIDE NO ASSURANCES AS TO THE RELIABILITY OF, ANY INFORMATION OTHER THAN THE INFORMATION CONTAINED OR INCORPORATED BY REFERENCE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 w:after="0"/>
        <w:jc w:val="center"/>
        <w:rPr>
          <w:rFonts w:ascii="Times New Roman" w:hAnsi="Times New Roman"/>
          <w:b/>
          <w:sz w:val="20"/>
        </w:rPr>
      </w:pPr>
      <w:bookmarkStart w:id="91" w:name="tx76201_88"/>
      <w:bookmarkEnd w:id="91"/>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3">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4">
              <w:r>
                <w:rPr>
                  <w:rStyle w:val="InternetLink"/>
                  <w:rFonts w:ascii="Times New Roman" w:hAnsi="Times New Roman"/>
                  <w:sz w:val="20"/>
                </w:rPr>
                <w:t>Consolidated Balance Sheets as of January 3, 2026 and December  28,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5">
              <w:r>
                <w:rPr>
                  <w:rStyle w:val="InternetLink"/>
                  <w:rFonts w:ascii="Times New Roman" w:hAnsi="Times New Roman"/>
                  <w:sz w:val="20"/>
                </w:rPr>
                <w:t>Consolidated Statements of Operations and Comprehensive (Loss) Income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6">
              <w:r>
                <w:rPr>
                  <w:rStyle w:val="InternetLink"/>
                  <w:rFonts w:ascii="Times New Roman" w:hAnsi="Times New Roman"/>
                  <w:sz w:val="20"/>
                </w:rPr>
                <w:t>Consolidated Statements of Convertible Preferred Stock and Stockholders’ (Deficit) Equity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7">
              <w:r>
                <w:rPr>
                  <w:rStyle w:val="InternetLink"/>
                  <w:rFonts w:ascii="Times New Roman" w:hAnsi="Times New Roman"/>
                  <w:sz w:val="20"/>
                </w:rPr>
                <w:t>Consolidated Statements of Cash Flows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8">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4">
              <w:r>
                <w:rPr>
                  <w:rStyle w:val="InternetLink"/>
                  <w:rFonts w:ascii="Times New Roman" w:hAnsi="Times New Roman"/>
                  <w:sz w:val="20"/>
                </w:rPr>
                <w:t>Condensed Consolidated Balance Sheets as of July 4, 2026 and January 3, 2026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5">
              <w:r>
                <w:rPr>
                  <w:rStyle w:val="InternetLink"/>
                  <w:rFonts w:ascii="Times New Roman" w:hAnsi="Times New Roman"/>
                  <w:sz w:val="20"/>
                </w:rPr>
                <w:t>Condensed Consolidated Statements of Operations and Comprehensive Loss for the Thirteen Weeks and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6">
              <w:r>
                <w:rPr>
                  <w:rStyle w:val="InternetLink"/>
                  <w:rFonts w:ascii="Times New Roman" w:hAnsi="Times New Roman"/>
                  <w:sz w:val="20"/>
                </w:rPr>
                <w:t>Condensed Consolidated Statements of Convertible Preferred Stock and Stockholders’ (Deficit) Equity for the Thirteen and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7">
              <w:r>
                <w:rPr>
                  <w:rStyle w:val="InternetLink"/>
                  <w:rFonts w:ascii="Times New Roman" w:hAnsi="Times New Roman"/>
                  <w:sz w:val="20"/>
                </w:rPr>
                <w:t>Condensed Consolidated Statements of Cash Flows for the Twenty-Six Weeks ended July 4, 2026 and June 28,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8">
              <w:r>
                <w:rPr>
                  <w:rStyle w:val="InternetLink"/>
                  <w:rFonts w:ascii="Times New Roman" w:hAnsi="Times New Roman"/>
                  <w:sz w:val="20"/>
                </w:rPr>
                <w:t>Notes to the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2" w:name="tx76201_93"/>
      <w:bookmarkEnd w:id="92"/>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To the Board of Directors of FBB Holdings I,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FBB Holdings I, Inc. and subsidiaries (the “Company”), which comprise the consolidated balance sheets as of January 3, 2026 and December 28, 2024, the related consolidated statements of operations and comprehensive (loss) income, convertible preferred stock and stockholders’ (deficit) equity, and cash flows for each of the three years in the period ended January 3, 2026, and the related notes to the consolidated financial statements (collectively referred to as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January 3, 2026 and December 28, 2024, and the results of its operations and its cash flows for each of the three years in the period ended January 3, 2026 in accordance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at January 3, 2026, the Company is not in compliance with certain covenants of its long-term loan agreement, does not have sufficient capital to repay such loans, if they become due, and has stated that substantial doubt exists about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April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3" w:name="tx76201_94"/>
      <w:bookmarkEnd w:id="93"/>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As of January 3, 2026 and December 28, 2024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8"/>
        <w:gridCol w:w="217"/>
        <w:gridCol w:w="153"/>
        <w:gridCol w:w="984"/>
        <w:gridCol w:w="155"/>
        <w:gridCol w:w="178"/>
        <w:gridCol w:w="198"/>
        <w:gridCol w:w="1224"/>
        <w:gridCol w:w="158"/>
      </w:tblGrid>
      <w:tr>
        <w:trPr/>
        <w:tc>
          <w:tcPr>
            <w:tcW w:w="6938"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38,308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4,096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5,580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117,174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123,611</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19,476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15,680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152,077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183,179</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31,884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34,682</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28,560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36,425</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131,064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139,651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10,108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495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570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17,859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27,632</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283"/>
              <w:jc w:val="left"/>
              <w:rPr>
                <w:b/>
              </w:rPr>
            </w:pPr>
            <w:r>
              <w:rPr>
                <w:b/>
              </w:rPr>
              <w:t>LIABILITIES, CONVERTIBLE PREFERRED STOCK AND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47,128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44,147</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$2,508 and $2,731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47,961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55,614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8,104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8,153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7,000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7,000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110,193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114,914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 (includes $0 and $178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3,618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2,311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(includes $203,710 and $205,347 to related parties, respectively)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245,857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247,833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23,572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31,396</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383,240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396,454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283"/>
              <w:jc w:val="left"/>
              <w:rPr/>
            </w:pPr>
            <w:r>
              <w:rPr/>
              <w:t>COMMITMENTS AND CONTINGENCIES (See Note 16)</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283"/>
              <w:jc w:val="left"/>
              <w:rPr/>
            </w:pPr>
            <w:r>
              <w:rPr/>
              <w:t>CONVERTIBLE PREFERRED STOCK:</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73 shares issued and outstanding at January 3, 2026 and December 28, 2024,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31,205</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1,174 shares issued and outstanding at January 3, 2026 and December 28, 2024)</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194,120</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(189,542</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(43,013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4,588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 EQUITY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4" w:name="tx76201_95"/>
      <w:bookmarkEnd w:id="94"/>
      <w:r>
        <w:rPr>
          <w:rFonts w:ascii="Times New Roman" w:hAnsi="Times New Roman"/>
          <w:b/>
          <w:sz w:val="20"/>
        </w:rPr>
        <w:t xml:space="preserve">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8"/>
        <w:gridCol w:w="257"/>
        <w:gridCol w:w="166"/>
        <w:gridCol w:w="959"/>
        <w:gridCol w:w="155"/>
        <w:gridCol w:w="210"/>
        <w:gridCol w:w="218"/>
        <w:gridCol w:w="1214"/>
        <w:gridCol w:w="155"/>
        <w:gridCol w:w="210"/>
        <w:gridCol w:w="218"/>
        <w:gridCol w:w="1214"/>
        <w:gridCol w:w="161"/>
      </w:tblGrid>
      <w:tr>
        <w:trPr/>
        <w:tc>
          <w:tcPr>
            <w:tcW w:w="5068"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6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805,097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918,590</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300,654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350,982</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504,443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567,608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406,227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445,802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490,299</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13,592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12,083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14,364</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4,816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3,275</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11,532</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 income</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46,558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48,138</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$31,503, $35,285, and $40,784 to related parties, respectively)</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48,112</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 (includes $0, $2,625, and $1,387 to related parties, respectively)</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1,674</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 (includes $178, $589 and $1,440 to related parties, respectivel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(214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(1,738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(48,685</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2,264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90</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(456</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546</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5" w:name="tx76201_96"/>
      <w:bookmarkEnd w:id="95"/>
      <w:r>
        <w:rPr>
          <w:rFonts w:ascii="Times New Roman" w:hAnsi="Times New Roman"/>
          <w:b/>
          <w:sz w:val="20"/>
        </w:rPr>
        <w:t xml:space="preserve">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2"/>
        <w:gridCol w:w="72"/>
        <w:gridCol w:w="96"/>
        <w:gridCol w:w="629"/>
        <w:gridCol w:w="155"/>
        <w:gridCol w:w="60"/>
        <w:gridCol w:w="155"/>
        <w:gridCol w:w="715"/>
        <w:gridCol w:w="162"/>
        <w:gridCol w:w="72"/>
        <w:gridCol w:w="77"/>
        <w:gridCol w:w="647"/>
        <w:gridCol w:w="162"/>
        <w:gridCol w:w="72"/>
        <w:gridCol w:w="300"/>
        <w:gridCol w:w="561"/>
        <w:gridCol w:w="155"/>
        <w:gridCol w:w="72"/>
        <w:gridCol w:w="163"/>
        <w:gridCol w:w="951"/>
        <w:gridCol w:w="155"/>
        <w:gridCol w:w="72"/>
        <w:gridCol w:w="199"/>
        <w:gridCol w:w="1276"/>
        <w:gridCol w:w="155"/>
        <w:gridCol w:w="72"/>
        <w:gridCol w:w="140"/>
        <w:gridCol w:w="762"/>
        <w:gridCol w:w="166"/>
      </w:tblGrid>
      <w:tr>
        <w:trPr/>
        <w:tc>
          <w:tcPr>
            <w:tcW w:w="193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99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114" w:type="dxa"/>
            <w:gridSpan w:val="2"/>
            <w:vMerge w:val="restart"/>
            <w:tcBorders/>
            <w:vAlign w:val="bottom"/>
          </w:tcPr>
          <w:p>
            <w:pPr>
              <w:pStyle w:val="TableContents"/>
              <w:bidi w:val="0"/>
              <w:spacing w:before="0" w:after="283"/>
              <w:jc w:val="center"/>
              <w:rPr>
                <w:b/>
              </w:rPr>
            </w:pPr>
            <w:r>
              <w:rPr>
                <w:b/>
              </w:rPr>
              <w:t>Additional</w:t>
              <w:br/>
              <w:t>Paid In</w:t>
              <w:br/>
              <w:t>Capital</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475" w:type="dxa"/>
            <w:gridSpan w:val="2"/>
            <w:vMerge w:val="restart"/>
            <w:tcBorders/>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902" w:type="dxa"/>
            <w:gridSpan w:val="2"/>
            <w:vMerge w:val="restart"/>
            <w:tcBorders/>
            <w:vAlign w:val="bottom"/>
          </w:tcPr>
          <w:p>
            <w:pPr>
              <w:pStyle w:val="TableContents"/>
              <w:bidi w:val="0"/>
              <w:spacing w:before="0" w:after="283"/>
              <w:jc w:val="center"/>
              <w:rPr>
                <w:b/>
              </w:rPr>
            </w:pPr>
            <w:r>
              <w:rPr>
                <w:b/>
              </w:rPr>
              <w:t>Total</w:t>
            </w:r>
          </w:p>
        </w:tc>
        <w:tc>
          <w:tcPr>
            <w:tcW w:w="166" w:type="dxa"/>
            <w:vMerge w:val="restart"/>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center"/>
              <w:rPr>
                <w:b/>
              </w:rPr>
            </w:pPr>
            <w:r>
              <w:rPr>
                <w:b/>
              </w:rPr>
              <w:t>Amount</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4" w:type="dxa"/>
            <w:gridSpan w:val="2"/>
            <w:tcBorders/>
            <w:vAlign w:val="bottom"/>
          </w:tcPr>
          <w:p>
            <w:pPr>
              <w:pStyle w:val="TableContents"/>
              <w:bidi w:val="0"/>
              <w:spacing w:before="0" w:after="283"/>
              <w:jc w:val="center"/>
              <w:rPr>
                <w:b/>
              </w:rPr>
            </w:pPr>
            <w:r>
              <w:rPr>
                <w:b/>
              </w:rPr>
              <w:t>Shares</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72" w:type="dxa"/>
            <w:vMerge w:val="continue"/>
            <w:tcBorders/>
            <w:vAlign w:val="bottom"/>
          </w:tcPr>
          <w:p>
            <w:pPr>
              <w:pStyle w:val="Normal"/>
              <w:bidi w:val="0"/>
              <w:jc w:val="left"/>
              <w:rPr/>
            </w:pPr>
            <w:r>
              <w:rPr/>
            </w:r>
          </w:p>
        </w:tc>
        <w:tc>
          <w:tcPr>
            <w:tcW w:w="1114"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147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902" w:type="dxa"/>
            <w:gridSpan w:val="2"/>
            <w:vMerge w:val="continue"/>
            <w:tcBorders/>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31, 2022</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31,026</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1,181</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195,131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(190,239</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4,902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($13.47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(600</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issuance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179</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7</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142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(8</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(942</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(942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546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546</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30, 2023</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31,205</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1,180</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194,331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(190,293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4,048</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($13.32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(709</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(6</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(212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1,460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1,460</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31,205</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1,174</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194,120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(189,542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4,588</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($9.99 per convertible preferred share)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(403</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Forfeitures</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(9,493</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(289</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9,494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9,493</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(56,691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21,712</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885</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203,614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(43,013</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6" w:name="tx76201_97"/>
      <w:bookmarkEnd w:id="96"/>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2"/>
        <w:gridCol w:w="259"/>
        <w:gridCol w:w="174"/>
        <w:gridCol w:w="944"/>
        <w:gridCol w:w="155"/>
        <w:gridCol w:w="209"/>
        <w:gridCol w:w="221"/>
        <w:gridCol w:w="1208"/>
        <w:gridCol w:w="155"/>
        <w:gridCol w:w="209"/>
        <w:gridCol w:w="221"/>
        <w:gridCol w:w="1208"/>
        <w:gridCol w:w="160"/>
      </w:tblGrid>
      <w:tr>
        <w:trPr/>
        <w:tc>
          <w:tcPr>
            <w:tcW w:w="5082"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(loss) income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44"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546</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income to net cash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14,364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sale of fixed assets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Amortization of operating right-of-use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8,242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8,745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9,190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property, plant, and equipment -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3,275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11,532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Deferred income taxes, net of valuation allowance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(9,943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debt issue costs (includes $4,358, $4,361 and $4,636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5,259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5,264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5,595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Loss on extinguishment of debt (includes $0, $2,625 and $1,387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1,674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 (includes $178, $589 and $1,440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expense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179</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equity-based compensation</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Changes in working capital:</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1,484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1,444</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6,437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29,952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51,910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2,981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(5,757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(10,529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Accrued expenses and other liabilities (includes ($224), ($947) and $3,532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(7,653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(9,329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(2,602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(8,250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(8,771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(9,221</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Other assets and liabilities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(2,107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11,520</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(11,183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36,423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77,338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INVESTING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Capital expenditures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(9,606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(8,235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Payment for acquisitions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(13,768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(8,875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(23,374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(17,110</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borrowings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48,382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Repayments of debt (includes $5,800, $43,293 and $22,537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(55,382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(52,250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(27,200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 of debt financing costs (includes $0, $0 and $126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(152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Dividends paid</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(988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(3,041</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 of common stock</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cash used in 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(53,450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(31,335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 IN CASH AND CASH EQUIVALENTS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(26,977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(40,401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28,893</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 — Beginning of year</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38,308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78,709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49,816</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 — End of year</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38,308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78,709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SUPPLEMENTAL CASH FLOW INFORMATION: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dividend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1,006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1,334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1,612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common stock forfeitures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forfeitures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97" w:name="tx76201_98"/>
            <w:bookmarkEnd w:id="97"/>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Footnote 3). The Company received a covenant waiver from its First Lien lenders that remains effective through the earlier of (i) consummation of the merger with DXL or (ii) termination of the merger agreement (but no later than September 11,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In such circumstances, the Company does not currently have sufficient liquidity to repay the outstanding balance of the First Lien.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$92 million of First Lien indebtedness through committed equity contributions and debt-to-equity conversions by certain First Lien debtholders and members of management, and (ii) an extension of the remaining term loan maturity to August 2029. Following the anticipated deleveraging, management expects the combined company to be in compliance with its financial covenants and to have sufficient liquidity to support operations for at least twelve months following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the First Lien credit agreement provides for potential covenant cures and includes recapitalization provisions under which lenders may convert outstanding indebtedness into equity; however, such actions are at the discretion of the lenders and are not within the Company’s control. </w:t>
      </w:r>
    </w:p>
    <w:p>
      <w:pPr>
        <w:pStyle w:val="TextBody"/>
        <w:bidi w:val="0"/>
        <w:spacing w:before="240" w:after="0"/>
        <w:jc w:val="left"/>
        <w:rPr>
          <w:rFonts w:ascii="Times New Roman" w:hAnsi="Times New Roman"/>
          <w:sz w:val="20"/>
        </w:rPr>
      </w:pPr>
      <w:r>
        <w:rPr>
          <w:rFonts w:ascii="Times New Roman" w:hAnsi="Times New Roman"/>
          <w:sz w:val="20"/>
        </w:rPr>
        <w:t xml:space="preserve">Because completion of the merger or any potential lender recapitalization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Reclassifications</w:t>
      </w:r>
      <w:r>
        <w:rPr>
          <w:rFonts w:ascii="Times New Roman" w:hAnsi="Times New Roman"/>
          <w:sz w:val="20"/>
        </w:rPr>
        <w:t xml:space="preserve">—Certain prior period amounts have been reclassified for consistency with the current period 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reclassified the following amounts in the Consolidated Balance Sheets: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7"/>
        <w:gridCol w:w="557"/>
        <w:gridCol w:w="195"/>
        <w:gridCol w:w="1137"/>
        <w:gridCol w:w="60"/>
        <w:gridCol w:w="557"/>
        <w:gridCol w:w="161"/>
        <w:gridCol w:w="928"/>
        <w:gridCol w:w="63"/>
      </w:tblGrid>
      <w:tr>
        <w:trPr/>
        <w:tc>
          <w:tcPr>
            <w:tcW w:w="4097"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3" w:type="dxa"/>
            <w:tcBorders/>
            <w:vAlign w:val="bottom"/>
          </w:tcPr>
          <w:p>
            <w:pPr>
              <w:pStyle w:val="TableContents"/>
              <w:bidi w:val="0"/>
              <w:spacing w:before="0" w:after="283"/>
              <w:jc w:val="left"/>
              <w:rPr/>
            </w:pPr>
            <w:r>
              <w:rPr/>
              <w:t> </w:t>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bidi w:val="0"/>
              <w:spacing w:before="0" w:after="283"/>
              <w:jc w:val="center"/>
              <w:rPr>
                <w:b/>
              </w:rPr>
            </w:pPr>
            <w:r>
              <w:rPr>
                <w:b/>
              </w:rPr>
              <w:t>As Reported</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Previously</w:t>
              <w:br/>
              <w:t>Reported</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5,580</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8,766</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123,611</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122,100</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15,680</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14,005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34,682</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24,728</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139,651</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149,605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55,614</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55,074</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540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amounts previously classified as Other current assets have been reclassified to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Prepaid catalog costs have been reclassified to Other current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related to estimated merchandise returns have been reclassified from Other current assets to Merchandise inventories.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Software has been reclassified from Intangible assets – net to Property, plant,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taxes payable have been reclassified to Accrued expenses and other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Operations and Comprehensive (Loss)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7"/>
        <w:gridCol w:w="248"/>
        <w:gridCol w:w="203"/>
        <w:gridCol w:w="1126"/>
        <w:gridCol w:w="155"/>
        <w:gridCol w:w="202"/>
        <w:gridCol w:w="161"/>
        <w:gridCol w:w="926"/>
        <w:gridCol w:w="60"/>
        <w:gridCol w:w="248"/>
        <w:gridCol w:w="203"/>
        <w:gridCol w:w="1126"/>
        <w:gridCol w:w="155"/>
        <w:gridCol w:w="202"/>
        <w:gridCol w:w="160"/>
        <w:gridCol w:w="926"/>
        <w:gridCol w:w="67"/>
      </w:tblGrid>
      <w:tr>
        <w:trPr/>
        <w:tc>
          <w:tcPr>
            <w:tcW w:w="403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67" w:type="dxa"/>
            <w:tcBorders/>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7" w:type="dxa"/>
            <w:gridSpan w:val="2"/>
            <w:tcBorders/>
            <w:vAlign w:val="bottom"/>
          </w:tcPr>
          <w:p>
            <w:pPr>
              <w:pStyle w:val="TableContents"/>
              <w:bidi w:val="0"/>
              <w:spacing w:before="0" w:after="283"/>
              <w:jc w:val="center"/>
              <w:rPr>
                <w:b/>
              </w:rPr>
            </w:pPr>
            <w:r>
              <w:rPr>
                <w:b/>
              </w:rPr>
              <w:t>Previously</w:t>
              <w:br/>
              <w:t>Reported</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6" w:type="dxa"/>
            <w:gridSpan w:val="2"/>
            <w:tcBorders/>
            <w:vAlign w:val="bottom"/>
          </w:tcPr>
          <w:p>
            <w:pPr>
              <w:pStyle w:val="TableContents"/>
              <w:bidi w:val="0"/>
              <w:spacing w:before="0" w:after="283"/>
              <w:jc w:val="center"/>
              <w:rPr>
                <w:b/>
              </w:rPr>
            </w:pPr>
            <w:r>
              <w:rPr>
                <w:b/>
              </w:rPr>
              <w:t>Previously</w:t>
              <w:br/>
              <w:t>Reported</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445,802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457,885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490,299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504,663</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14,364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14,807</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41,126</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48,112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46,374</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(711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(1,738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4"/>
        <w:gridCol w:w="354"/>
        <w:gridCol w:w="223"/>
        <w:gridCol w:w="1090"/>
        <w:gridCol w:w="155"/>
        <w:gridCol w:w="298"/>
        <w:gridCol w:w="185"/>
        <w:gridCol w:w="916"/>
        <w:gridCol w:w="155"/>
        <w:gridCol w:w="298"/>
        <w:gridCol w:w="223"/>
        <w:gridCol w:w="1090"/>
        <w:gridCol w:w="155"/>
        <w:gridCol w:w="297"/>
        <w:gridCol w:w="185"/>
        <w:gridCol w:w="916"/>
        <w:gridCol w:w="161"/>
      </w:tblGrid>
      <w:tr>
        <w:trPr/>
        <w:tc>
          <w:tcPr>
            <w:tcW w:w="3504"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8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14,807</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1,444</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3,650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9,722</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29,952</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29,853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51,910</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51,871</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 and payable</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5,443</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(9,329</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(8,800</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(2,602</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(3,672</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11,520</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(1,092</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28, 2024, reclassifications on the Consolidated Balance Sheets resulted in corresponding changes to line items within the Consolidated Statements of Cash Flows.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30, 2023, the Company reclassified a portion of the Impairment of intangible assets into Impairment of property, plant, and equipment – net. Additionally, reclassifications on the Consolidated Balance Sheets resulted in corresponding changes to line items within the Consolidated Statements of Cash Flows. </w:t>
            </w:r>
          </w:p>
        </w:tc>
      </w:tr>
    </w:tbl>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Fiscal year 2025 ended on January 3, 2026 and reflected a 53-week period. Fiscal years 2024 and 2023 ended on December 28, 2024 and December 30, 2023 respectively, and each reflected a 52-week period. References to years in the consolidated financial statements and notes relate to fiscal years rather than calendar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t>
      </w:r>
    </w:p>
    <w:p>
      <w:pPr>
        <w:pStyle w:val="TextBody"/>
        <w:bidi w:val="0"/>
        <w:spacing w:before="240" w:after="0"/>
        <w:jc w:val="left"/>
        <w:rPr>
          <w:rFonts w:ascii="Times New Roman" w:hAnsi="Times New Roman"/>
          <w:sz w:val="20"/>
        </w:rPr>
      </w:pPr>
      <w:r>
        <w:rPr>
          <w:rFonts w:ascii="Times New Roman" w:hAnsi="Times New Roman"/>
          <w:b/>
          <w:sz w:val="20"/>
        </w:rPr>
        <w:t>Acquisitions</w:t>
      </w:r>
      <w:r>
        <w:rPr>
          <w:rFonts w:ascii="Times New Roman" w:hAnsi="Times New Roman"/>
          <w:sz w:val="20"/>
        </w:rPr>
        <w:t xml:space="preserve">— 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and assets. If the assets in a transaction include an input and a substantive process that together significantly contribute to the ability to create outputs, the transaction is treated as an acquisition of a business. </w:t>
      </w:r>
    </w:p>
    <w:p>
      <w:pPr>
        <w:pStyle w:val="TextBody"/>
        <w:bidi w:val="0"/>
        <w:spacing w:before="240" w:after="0"/>
        <w:jc w:val="left"/>
        <w:rPr>
          <w:rFonts w:ascii="Times New Roman" w:hAnsi="Times New Roman"/>
          <w:sz w:val="20"/>
        </w:rPr>
      </w:pPr>
      <w:r>
        <w:rPr>
          <w:rFonts w:ascii="Times New Roman" w:hAnsi="Times New Roman"/>
          <w:sz w:val="20"/>
        </w:rPr>
        <w:t xml:space="preserve">In transactions accounted for as asset acquisitions, the cost of an asset acquisition, including transaction costs, are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w:t>
      </w:r>
    </w:p>
    <w:p>
      <w:pPr>
        <w:pStyle w:val="TextBody"/>
        <w:bidi w:val="0"/>
        <w:spacing w:before="24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—The Company considers all highly liquid investments with an original maturity of three months or less to be cash equivalents. The Company also considers receivables from financial institutions related to credit card purchases to be cash equivalents due to the high credit quality and short settlement period, which generally settle within two to four business days. </w:t>
      </w:r>
    </w:p>
    <w:p>
      <w:pPr>
        <w:pStyle w:val="TextBody"/>
        <w:bidi w:val="0"/>
        <w:spacing w:before="240" w:after="0"/>
        <w:jc w:val="left"/>
        <w:rPr>
          <w:rFonts w:ascii="Times New Roman" w:hAnsi="Times New Roman"/>
          <w:sz w:val="20"/>
        </w:rPr>
      </w:pPr>
      <w:r>
        <w:rPr>
          <w:rFonts w:ascii="Times New Roman" w:hAnsi="Times New Roman"/>
          <w:b/>
          <w:sz w:val="20"/>
        </w:rPr>
        <w:t>Merchandise Inventories</w:t>
      </w:r>
      <w:r>
        <w:rPr>
          <w:rFonts w:ascii="Times New Roman" w:hAnsi="Times New Roman"/>
          <w:sz w:val="20"/>
        </w:rPr>
        <w:t xml:space="preserve">—Merchandise inventory consists of purchased finished goods and is valued at the lower of cost or net realizable value, with cost determined using a standard cost method and relieved using a first-in first-out basis. We reduce the value of our inventory to its estimated net realizable value where cost exceeds the estimated future selling price. </w:t>
      </w:r>
    </w:p>
    <w:p>
      <w:pPr>
        <w:pStyle w:val="TextBody"/>
        <w:bidi w:val="0"/>
        <w:spacing w:before="240" w:after="0"/>
        <w:jc w:val="left"/>
        <w:rPr>
          <w:rFonts w:ascii="Times New Roman" w:hAnsi="Times New Roman"/>
          <w:sz w:val="20"/>
        </w:rPr>
      </w:pPr>
      <w:r>
        <w:rPr>
          <w:rFonts w:ascii="Times New Roman" w:hAnsi="Times New Roman"/>
          <w:b/>
          <w:sz w:val="20"/>
        </w:rPr>
        <w:t>Prepaid Catalog Costs</w:t>
      </w:r>
      <w:r>
        <w:rPr>
          <w:rFonts w:ascii="Times New Roman" w:hAnsi="Times New Roman"/>
          <w:sz w:val="20"/>
        </w:rPr>
        <w:t xml:space="preserve">—Prepaid catalog costs consist of catalog production that have not yet been received by the customer and prepaid paper inventory used in catalog production and are recorded in Other current assets on our Consolidated Balance Sheets. Prepaid catalog costs are expensed based on the in-home date. </w:t>
      </w:r>
    </w:p>
    <w:p>
      <w:pPr>
        <w:pStyle w:val="TextBody"/>
        <w:bidi w:val="0"/>
        <w:spacing w:before="240" w:after="0"/>
        <w:jc w:val="left"/>
        <w:rPr>
          <w:rFonts w:ascii="Times New Roman" w:hAnsi="Times New Roman"/>
          <w:sz w:val="20"/>
        </w:rPr>
      </w:pPr>
      <w:r>
        <w:rPr>
          <w:rFonts w:ascii="Times New Roman" w:hAnsi="Times New Roman"/>
          <w:b/>
          <w:sz w:val="20"/>
        </w:rPr>
        <w:t>Advertising Costs</w:t>
      </w:r>
      <w:r>
        <w:rPr>
          <w:rFonts w:ascii="Times New Roman" w:hAnsi="Times New Roman"/>
          <w:sz w:val="20"/>
        </w:rPr>
        <w:t xml:space="preserve">—Advertising costs for certain direct response mail and media campaigns are expensed based on the in-home date or when they are otherwise presented to the customer. Other advertising costs are expensed as incurred. Advertising costs are recorded in Selling, general, and administrative expenses and were $228,000, $271,300 and $311,352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Cloud Computing Arrangements</w:t>
      </w:r>
      <w:r>
        <w:rPr>
          <w:rFonts w:ascii="Times New Roman" w:hAnsi="Times New Roman"/>
          <w:sz w:val="20"/>
        </w:rPr>
        <w:t xml:space="preserve">—Costs incurred to implement cloud computing arrangements hosted by third-party vendors are capitalized when incurred during the application development phase and amortized on a straight-line basis over the contractual term, plus any reasonably certain renewal periods, of the cloud computing arrangement and are included in Selling, general, and administrative expenses. Capitalized amounts related to such arrangements are recorded within Other current assets on our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Fair Value of Financial Instruments</w:t>
      </w:r>
      <w:r>
        <w:rPr>
          <w:rFonts w:ascii="Times New Roman" w:hAnsi="Times New Roman"/>
          <w:sz w:val="20"/>
        </w:rPr>
        <w:t xml:space="preserve">—Accounting Standards Codification (“ASC”) Topic 825, </w:t>
      </w:r>
      <w:r>
        <w:rPr>
          <w:rFonts w:ascii="Times New Roman" w:hAnsi="Times New Roman"/>
          <w:i/>
          <w:sz w:val="20"/>
        </w:rPr>
        <w:t xml:space="preserve">Financial Instruments </w:t>
      </w:r>
      <w:r>
        <w:rPr>
          <w:rFonts w:ascii="Times New Roman" w:hAnsi="Times New Roman"/>
          <w:sz w:val="20"/>
        </w:rPr>
        <w:t xml:space="preserve">requires disclosure of the fair value of certain financial instruments. ASC Topic 820, </w:t>
      </w:r>
      <w:r>
        <w:rPr>
          <w:rFonts w:ascii="Times New Roman" w:hAnsi="Times New Roman"/>
          <w:i/>
          <w:sz w:val="20"/>
        </w:rPr>
        <w:t>Fair Value Measurements and Disclosures</w:t>
      </w:r>
      <w:r>
        <w:rPr>
          <w:rFonts w:ascii="Times New Roman" w:hAnsi="Times New Roman"/>
          <w:sz w:val="20"/>
        </w:rPr>
        <w:t xml:space="preserve"> defines fair value, establishes a framework for measuring fair value and enhances disclosures about fair value measurements. </w:t>
      </w:r>
    </w:p>
    <w:p>
      <w:pPr>
        <w:pStyle w:val="TextBody"/>
        <w:bidi w:val="0"/>
        <w:spacing w:before="240" w:after="0"/>
        <w:jc w:val="left"/>
        <w:rPr>
          <w:rFonts w:ascii="Times New Roman" w:hAnsi="Times New Roman"/>
          <w:sz w:val="20"/>
        </w:rPr>
      </w:pPr>
      <w:r>
        <w:rPr>
          <w:rFonts w:ascii="Times New Roman" w:hAnsi="Times New Roman"/>
          <w:sz w:val="20"/>
        </w:rPr>
        <w:t xml:space="preserve">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 </w:t>
      </w:r>
    </w:p>
    <w:p>
      <w:pPr>
        <w:pStyle w:val="TextBody"/>
        <w:bidi w:val="0"/>
        <w:spacing w:before="12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the fair value of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See Note 18, for information regarding the fair value of certain financial assets. </w:t>
      </w:r>
    </w:p>
    <w:p>
      <w:pPr>
        <w:pStyle w:val="TextBody"/>
        <w:bidi w:val="0"/>
        <w:spacing w:before="240" w:after="0"/>
        <w:jc w:val="left"/>
        <w:rPr>
          <w:rFonts w:ascii="Times New Roman" w:hAnsi="Times New Roman"/>
          <w:sz w:val="20"/>
        </w:rPr>
      </w:pPr>
      <w:r>
        <w:rPr>
          <w:rFonts w:ascii="Times New Roman" w:hAnsi="Times New Roman"/>
          <w:b/>
          <w:sz w:val="20"/>
        </w:rPr>
        <w:t>Operating Leases</w:t>
      </w:r>
      <w:r>
        <w:rPr>
          <w:rFonts w:ascii="Times New Roman" w:hAnsi="Times New Roman"/>
          <w:sz w:val="20"/>
        </w:rPr>
        <w:t xml:space="preserve">—We determine if an arrangement is a lease at inception. We account for lease agreements as either operating or finance leases depending on certain defined criteria. Operating leases are recognized in Operating lease right-of-use (“ROU”) assets, Short-term operating lease liabilities, and Long-term operating lease liabilities on our consolidated balance sheets. The Company does not have any Finance leases. Lease liabilities are recognized based on the present value of the future minimum lease payments over the lease term at commencement date. Operating lease ROU assets are based on the lease liability adjusted for prepaid rent, deferred rent, and tenant allowances received from certain of the Company’s landlords. As most of our leases do not provide an implicit rate, we use our incremental borrowing rate based on the information available at commencement date in determining the present value of future payments. We recognize lease costs on a straight-line basis over the lease term without regard to deferred payment terms. Our lease terms may include options to extend or terminate the lease, and we adjust our measurement of the lease when it is reasonably certain that we will exercise that option. Operating lease liabilities are amortized based upon the effective interest method. Operating ROU assets are amortized based upon straight-line expense less interest on the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lease agreements may contain variable costs such as common area maintenance, operating expenses or other costs. Variable lease costs are expensed as incurred on the consolidated statements of operations. To the extent that these charges are fixed within the lease or increase based upon an index or a rate, these lease components are included in the measurement of the lease liability. The Company’s lease agreements generally do not contain any residual value guarantees or restrictive covenants. The Company elected the short-term lease recognition which allows Companies to exclude leases with a term of 12 months or less from the balance sheet. We also elected the practical expedient to not separate lease and non-lease components for our leases. </w:t>
      </w:r>
    </w:p>
    <w:p>
      <w:pPr>
        <w:pStyle w:val="TextBody"/>
        <w:bidi w:val="0"/>
        <w:spacing w:before="240" w:after="0"/>
        <w:jc w:val="left"/>
        <w:rPr>
          <w:rFonts w:ascii="Times New Roman" w:hAnsi="Times New Roman"/>
          <w:sz w:val="20"/>
        </w:rPr>
      </w:pPr>
      <w:r>
        <w:rPr>
          <w:rFonts w:ascii="Times New Roman" w:hAnsi="Times New Roman"/>
          <w:sz w:val="20"/>
        </w:rPr>
        <w:t xml:space="preserve">Operating ROU assets are reviewed for impairment whenever events or changes in circumstances indicate that the carrying amount of the assets may not be recoverable. If the estimated undiscounted future cash flows related to the Operating ROU assets are less than the carrying value, the Company recognizes a loss equal to the difference between the carrying value and the fair value. </w:t>
      </w:r>
    </w:p>
    <w:p>
      <w:pPr>
        <w:pStyle w:val="TextBody"/>
        <w:bidi w:val="0"/>
        <w:spacing w:before="240" w:after="0"/>
        <w:jc w:val="left"/>
        <w:rPr>
          <w:rFonts w:ascii="Times New Roman" w:hAnsi="Times New Roman"/>
          <w:sz w:val="20"/>
        </w:rPr>
      </w:pPr>
      <w:r>
        <w:rPr>
          <w:rFonts w:ascii="Times New Roman" w:hAnsi="Times New Roman"/>
          <w:b/>
          <w:sz w:val="20"/>
        </w:rPr>
        <w:t>Property, Plant, and Equipment Net</w:t>
      </w:r>
      <w:r>
        <w:rPr>
          <w:rFonts w:ascii="Times New Roman" w:hAnsi="Times New Roman"/>
          <w:sz w:val="20"/>
        </w:rPr>
        <w:t xml:space="preserve">—Property, plant, and equipment are stated at cost less accumulated depreciation and amortization. Depreciation and amortization of property, plant, and equipment is computed on a straight-line basis over the estimated useful lives of the related assets, which range from 5 to 30 years for buildings and improvements, and 3 to 10 years for other property and equipment and is included in Selling, general and administrative expenses, on the Consolidated Statements of Operations and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The Company also has leasehold improvements which are amortized over the lesser of 15 years or the life of the lease, including renewal periods, if reasonably assured. Repairs and maintenance are expensed as incurred. Costs incurred to develop internally developed software for internal use are capitalized and amortized over the estimated useful life of the software, which ranges from 3 to 5 years. Costs related to the design or maintenance of internally developed software is expensed as incurred. Additions and improvements which extend service lives are capitalized.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reviews its long-lived assets for impairment whenever events or changes in circumstances indicate that the carrying value of an asset may not be recoverable. An impairment loss is recognized when estimated future cash flows expected to result from the use of the asset and its eventual disposition is less than its carrying amount. When impairment is identified, the carrying amount of the asset is reduced to its estimated fair value. 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Certain software was impaired in 2023 resulting in an immaterial impairment and are recorded in Impairment of property, plant, and equipment – net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b/>
          <w:sz w:val="20"/>
        </w:rPr>
        <w:t>Intangible Assets - net</w:t>
      </w:r>
      <w:r>
        <w:rPr>
          <w:rFonts w:ascii="Times New Roman" w:hAnsi="Times New Roman"/>
          <w:sz w:val="20"/>
        </w:rPr>
        <w:t xml:space="preserve">—Intangible assets are recorded at their fair market values at the date of acquisition and finite-lived intangibles are amortized over their estimated useful lives.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indefinite-lived intangible assets consist of our tradenames and are evaluated for impairment annually similarly to goodwill. When evaluating for impairment,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impairment evaluation for the Company’s indefinite-lived intangible assets involves comparing the estimated fair value of the assets to the carrying amounts, to determine if fair value is lower and a write-down required. If the carrying amount of the asset exceeds its estimated fair value, an impairment charge is recognized in an amount equal to the excess. The fair value of these assets is determined using the relief from royalty method, which is a form of the income approach. The estimates and assumptions used in the determination of the fair value of each tradename included their respective projected revenue growth, long-term growth rate, the royalty rate and discount rate. See Note 8 for additional discussion of the Company’s annual impairment test of indefinite-lived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finite-lived intangible assets consist of the value of customer lists which are amortized over three years. </w:t>
      </w:r>
    </w:p>
    <w:p>
      <w:pPr>
        <w:pStyle w:val="TextBody"/>
        <w:bidi w:val="0"/>
        <w:spacing w:before="240" w:after="0"/>
        <w:jc w:val="left"/>
        <w:rPr>
          <w:rFonts w:ascii="Times New Roman" w:hAnsi="Times New Roman"/>
          <w:sz w:val="20"/>
        </w:rPr>
      </w:pPr>
      <w:r>
        <w:rPr>
          <w:rFonts w:ascii="Times New Roman" w:hAnsi="Times New Roman"/>
          <w:b/>
          <w:sz w:val="20"/>
        </w:rPr>
        <w:t>Goodwill</w:t>
      </w:r>
      <w:r>
        <w:rPr>
          <w:rFonts w:ascii="Times New Roman" w:hAnsi="Times New Roman"/>
          <w:sz w:val="20"/>
        </w:rPr>
        <w:t xml:space="preserve">—Goodwill is the cost of an acquisition in excess of the fair value of acquired assets and liabilities, and is recorded as an asset on our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The Company evaluates goodwill for impairment as of the fourth quarter. Determination of the fair value of a reporting unit is based on management’s assessment, considering independent third-party appraisals when necessary. Furthermore, this determination is judgmental in nature and often involves the use of significant estimates and assumptions, which include projected future cash flows, discount rates, growth rates and determination of appropriate market comparables and recent transactions. These estimates and assumptions could have a significant impact on whether or not an impairment charge is recognized and the amount of any such charge. We also evaluate goodwill for impairment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2025, the Company determined there were circumstances that indicated an impairment may have occurred, including a decline in the Company’s net sales and declining margins, and performed a quantitative goodwill assessment. As a result, the Company recognized an impairment charge to goodwill of $10,108 for the year ended January 3, 2026. The Company elected a qualitative assessment for our fiscal fourth quarter 2024 goodwill impairment testing and determined that it was more likely than not that the fair value of the reporting unit was greater than its carrying amount, and as a result, no impairment for goodwill was required for the year ended December 28, 2024. See Note 9 for additional discussion of the Company’s annual impairment test. </w:t>
      </w:r>
    </w:p>
    <w:p>
      <w:pPr>
        <w:pStyle w:val="TextBody"/>
        <w:bidi w:val="0"/>
        <w:spacing w:before="240" w:after="0"/>
        <w:jc w:val="left"/>
        <w:rPr>
          <w:rFonts w:ascii="Times New Roman" w:hAnsi="Times New Roman"/>
          <w:sz w:val="20"/>
        </w:rPr>
      </w:pPr>
      <w:r>
        <w:rPr>
          <w:rFonts w:ascii="Times New Roman" w:hAnsi="Times New Roman"/>
          <w:b/>
          <w:sz w:val="20"/>
        </w:rPr>
        <w:t>Convertible Preferred Stock</w:t>
      </w:r>
      <w:r>
        <w:rPr>
          <w:rFonts w:ascii="Times New Roman" w:hAnsi="Times New Roman"/>
          <w:sz w:val="20"/>
        </w:rPr>
        <w:t xml:space="preserve">— In prior years, the Convertible Preferred Stock was classified within permanent equity and has been reclassified to temporary equity in the periods presented herein as the preferred stock can be redeemed upon a Deemed Liquidation Event which includes, amongst other items, a change in control which includes the consummation of a merger, reorganization, and certain other events as defined within Preferred Stockholders Agreement. As a Deemed Liquidation Event is outside of the Company’s control, the Convertible Preferred Stock is classified as temporary equity. It is generally not probable that a Deemed Liquidation Event will occur until the transaction has been consummated, because such transaction requires the agreement of a third party and substantive contingencies are associated with the transaction. Therefore, the Convertible Preferred Stock does not require subsequent remeasurement since it is not currently redeemable or probably of becoming redeemable at issuance. </w:t>
      </w:r>
    </w:p>
    <w:p>
      <w:pPr>
        <w:pStyle w:val="TextBody"/>
        <w:bidi w:val="0"/>
        <w:spacing w:before="24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—The Company generally recognizes revenue from internet, phone and mail sales upon shipment of the product. Revenue recognition occurs at a point in time, when performance obligations under the terms of a customer purchase order are satisfied. See Note 4 for additional discussion of our revenue recognition policies as well as additional disclosures on revenue from contracts with customers. </w:t>
      </w:r>
    </w:p>
    <w:p>
      <w:pPr>
        <w:pStyle w:val="TextBody"/>
        <w:bidi w:val="0"/>
        <w:spacing w:before="240" w:after="0"/>
        <w:jc w:val="left"/>
        <w:rPr>
          <w:rFonts w:ascii="Times New Roman" w:hAnsi="Times New Roman"/>
          <w:sz w:val="20"/>
        </w:rPr>
      </w:pPr>
      <w:r>
        <w:rPr>
          <w:rFonts w:ascii="Times New Roman" w:hAnsi="Times New Roman"/>
          <w:b/>
          <w:sz w:val="20"/>
        </w:rPr>
        <w:t>Cost of Merchandise Sold</w:t>
      </w:r>
      <w:r>
        <w:rPr>
          <w:rFonts w:ascii="Times New Roman" w:hAnsi="Times New Roman"/>
          <w:sz w:val="20"/>
        </w:rPr>
        <w:t xml:space="preserve">—Cost of merchandise sold consists of the merchandise, merchandise acquisition costs (primarily commissions and import fees), sourcing costs, and freight to the distribution centers. These costs are determined to be directly or indirectly incurred in bringing inventory available for sale. Additionally, promotional free gift expense and the direct costs associated with shipping goods to customers through outbound carriers are recorded as a component of Cost of merchandise sold. Depreciation and amortization are not considered components of Costs of merchandise sold and are included in Depreciation and Amortization in the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b/>
          <w:sz w:val="20"/>
        </w:rPr>
        <w:t>Selling, General, and Administrative Expenses</w:t>
      </w:r>
      <w:r>
        <w:rPr>
          <w:rFonts w:ascii="Times New Roman" w:hAnsi="Times New Roman"/>
          <w:sz w:val="20"/>
        </w:rPr>
        <w:t xml:space="preserve">—Selling, general, and administrative expenses consist of compensation and benefit-related costs for operation and administrative personnel. Selling, general, and administrative expenses also include costs for advertising and marketing, information technology, administrative facilities, insurance, legal, and administrative services. Costs associated with preparing the merchandise for shipping, such as picking, packing, warehousing and order charges (“handling costs”) are also recorded as a component of Selling, general, and administrative expenses. Handling costs were $50,121, $50,375 and $56,984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Deferred income tax assets and liabilities are recognized for the estimated future tax consequences attributable to temporary differences between the financial statement carrying amounts of existing assets and liabilities and their respective tax basis. These assets and liabilities are measured using enacted tax rates expected to apply to taxable income in the years in which the temporary differences are expected to reverse. The Company evaluates the recoverability of deferred tax assets by assessing the likelihood of future profitability and available tax planning strategies that could be implemented to realize the deferred tax assets. The Company records a valuation allowance when it is determined that it is more likely than not that some portion (or all) of the deferred tax asset will not be realized. The valuation allowance is based on the Company’s best estimate of future taxable income and the amount of deferred taxes ultimately realizable. Future events could change management’s assessment.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records tax benefits for uncertain tax positions based upon management’s evaluation of the information available at the reporting date. To be recognized in the consolidated financial statements, a tax benefit must be at least more likely than not of being sustained based on technical merits. The benefit for positions meeting the recognition threshold is measured as the largest benefit more likely than not of being realized upon ultimate settlement with a taxing authority that has full knowledge of all relevant information. As of January 3, 2026, the Company’s federal and various state income tax returns for 2019 through 2024 are subject to examination by the applicable tax authorities. </w:t>
      </w:r>
    </w:p>
    <w:p>
      <w:pPr>
        <w:pStyle w:val="TextBody"/>
        <w:bidi w:val="0"/>
        <w:spacing w:before="240" w:after="0"/>
        <w:jc w:val="left"/>
        <w:rPr>
          <w:rFonts w:ascii="Times New Roman" w:hAnsi="Times New Roman"/>
          <w:sz w:val="20"/>
        </w:rPr>
      </w:pPr>
      <w:r>
        <w:rPr>
          <w:rFonts w:ascii="Times New Roman" w:hAnsi="Times New Roman"/>
          <w:b/>
          <w:sz w:val="20"/>
        </w:rPr>
        <w:t>Equity-Based Compensation</w:t>
      </w:r>
      <w:r>
        <w:rPr>
          <w:rFonts w:ascii="Times New Roman" w:hAnsi="Times New Roman"/>
          <w:sz w:val="20"/>
        </w:rPr>
        <w:t xml:space="preserve">— The Management Incentive Plan (“MIP”) provides for the grant of Restricted Stock Awards of the Company. The Company recognizes the cost resulting from equity-based compensation transactions at their grant date fair value. Equity-based compensation expense is recognized for the portion of the award that is ultimately expected to vest. The Company accounts for forfeitures as they occur rather than estimating future forfeitures. </w:t>
      </w:r>
    </w:p>
    <w:p>
      <w:pPr>
        <w:pStyle w:val="TextBody"/>
        <w:bidi w:val="0"/>
        <w:spacing w:before="240" w:after="0"/>
        <w:jc w:val="left"/>
        <w:rPr>
          <w:rFonts w:ascii="Times New Roman" w:hAnsi="Times New Roman"/>
          <w:sz w:val="20"/>
        </w:rPr>
      </w:pPr>
      <w:r>
        <w:rPr>
          <w:rFonts w:ascii="Times New Roman" w:hAnsi="Times New Roman"/>
          <w:b/>
          <w:sz w:val="20"/>
        </w:rPr>
        <w:t>Related Parties</w:t>
      </w:r>
      <w:r>
        <w:rPr>
          <w:rFonts w:ascii="Times New Roman" w:hAnsi="Times New Roman"/>
          <w:sz w:val="20"/>
        </w:rPr>
        <w:t xml:space="preserve">—Related parties are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board members and other parties with which the Company may deal with if one party controls or can significantly influence the management or operating policies of the other to an extent that one of the transacting parties might be prevented from fully pursuing its own separate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The amendments in this update provide increased transparency about income tax information through improvements to income tax disclosures primarily related to the rate reconciliation and income taxes paid information. This update also includes certain other amendments to improve the effectiveness of income tax disclosures. We prospectively adopted ASU 2023-09 in 2025, see Note 15.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Divine Merger Sub I, Inc., a Delaware corporation and wholly owned direct subsidiary of Destination XL Group, Inc. (“DXL”), and the Company, entered into an Agreement and Plan of Merger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$92,000 in exchange for DXL Common Stock. Additionally, all outstanding preferred stock of the Company will be converted to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during the second quarter of fiscal 2026, is subject to customary closing conditions, including approval by DXL stockholders. Costs incurred in connection with this Merger, primarily related to professional service fees, of $4,816, were included in Transaction-related expenses on the Consolidated Statements of Operations and Comprehensive (Loss) Income for fiscal 2025. </w:t>
      </w:r>
    </w:p>
    <w:p>
      <w:pPr>
        <w:pStyle w:val="TextBody"/>
        <w:bidi w:val="0"/>
        <w:spacing w:before="360" w:after="0"/>
        <w:jc w:val="left"/>
        <w:rPr>
          <w:rFonts w:ascii="Times New Roman" w:hAnsi="Times New Roman"/>
          <w:b/>
          <w:sz w:val="20"/>
        </w:rPr>
      </w:pPr>
      <w:r>
        <w:rPr>
          <w:rFonts w:ascii="Times New Roman" w:hAnsi="Times New Roman"/>
          <w:b/>
          <w:sz w:val="20"/>
        </w:rPr>
        <w:t xml:space="preserve">2024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 acquired the assets and some liabilities of Dia &amp; Co. The Dia Shop marketplace joined our new digital mall, which we created in 2023 and greatly expanded our new mall brand offerings – as our Dia Shop site indicates “over 100 brands, over 1,000 styles”. In addition, the Dia Style business and platform brought us a subscription box styling capability we intend to leverage with our existing, classic mall customer base. The acquisition was accounted for as a business combination under GAAP. </w:t>
      </w:r>
    </w:p>
    <w:p>
      <w:pPr>
        <w:pStyle w:val="TextBody"/>
        <w:bidi w:val="0"/>
        <w:spacing w:before="240" w:after="0"/>
        <w:jc w:val="left"/>
        <w:rPr>
          <w:rFonts w:ascii="Times New Roman" w:hAnsi="Times New Roman"/>
          <w:sz w:val="20"/>
        </w:rPr>
      </w:pPr>
      <w:r>
        <w:rPr>
          <w:rFonts w:ascii="Times New Roman" w:hAnsi="Times New Roman"/>
          <w:sz w:val="20"/>
        </w:rPr>
        <w:t xml:space="preserve">In July 2024, the Company acquired the assets and some liabilities of Avenue, which presented a unique opportunity to expand our offerings to our classic, digital mall customers as well as introduces our classic mall and new mall customers to Avenue. Similar to our 2020 acquisition of Catherines, Avenue brings a legacy brick and mortar brand awareness which similarly we plan to leverage. Avenue was accounted for as an asset acquisition and included transaction costs of $1,827 in its calculation of the purchase price. Together, these acquisitions totaled $13,768. The acquisitions were immaterial individually and in the aggregate. </w:t>
      </w:r>
    </w:p>
    <w:p>
      <w:pPr>
        <w:pStyle w:val="TextBody"/>
        <w:bidi w:val="0"/>
        <w:spacing w:before="360" w:after="0"/>
        <w:jc w:val="left"/>
        <w:rPr>
          <w:rFonts w:ascii="Times New Roman" w:hAnsi="Times New Roman"/>
          <w:b/>
          <w:sz w:val="20"/>
        </w:rPr>
      </w:pPr>
      <w:r>
        <w:rPr>
          <w:rFonts w:ascii="Times New Roman" w:hAnsi="Times New Roman"/>
          <w:b/>
          <w:sz w:val="20"/>
        </w:rPr>
        <w:t xml:space="preserve">2023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May 2023, the Company acquired the assets of ELOQUII, a digitally native vertical brand that offers size-inclusive fashion and on-trend apparel. That was followed by the acquisition of the assets of CUUP in July 2023, a digitally native size-inclusive intimates brand that aims to disrupt the category by creating intimates that are made to accentuate customers’ natural form and bring confidence, comfort and stylish support. These two acquisitions, accounted for as business combinations under GAAP, were acquired in the amount of $8,875, were moved to our new digital mall. The acquisitions were immaterial individually and in the aggregate.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Accounting Policy and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Product sales to customers, including amounts billed to customers for shipping fees are included in Net sales on the Consolidated Statements of Operations and Comprehensive (Loss) Income. This occurs at the time of shipment when control of the promised goods or services is transferred to the customer, in the amount that reflects the consideration the Company expects to be entitled to in exchange for those goods or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related to shipping and handling that are billed to customers are recorded in Net sales, and the related costs are recorded in Cost of merchandise sold,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sells merchandise directly to customers primarily via its e-Commerce platform, telephone orders, and through the use of third party websites. As such, 99% of the Company’s revenue is from shipped sales and shipping revenue which is recognized at the point of shipment. The remaining 1% of sales comes from gift card breakage, marketing our credit card program, and breakage from loyalty programs, which are recognized over time which is consistent with prior periods. </w:t>
      </w:r>
    </w:p>
    <w:p>
      <w:pPr>
        <w:pStyle w:val="TextBody"/>
        <w:bidi w:val="0"/>
        <w:spacing w:before="240" w:after="0"/>
        <w:jc w:val="left"/>
        <w:rPr>
          <w:rFonts w:ascii="Times New Roman" w:hAnsi="Times New Roman"/>
          <w:sz w:val="20"/>
        </w:rPr>
      </w:pPr>
      <w:r>
        <w:rPr>
          <w:rFonts w:ascii="Times New Roman" w:hAnsi="Times New Roman"/>
          <w:sz w:val="20"/>
        </w:rPr>
        <w:t xml:space="preserve">Gift cards issued by the Company are recorded as a deferred liability until they are redeemed, at which point revenue is recognized. Gift cards do not have expiration dates. Gift card breakage is included in Net sales in the accompanying Consolidated Statements of Operations and Comprehensive (Loss) Income and was $9,246, $11,904 and $14,525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an agreement with a credit card issuer in connection with our private label credit cards whereby we receive cash incentives and reimbursements in exchange for promised services, such as marketing the credit card program to customers. The Company has identified separate performance obligations related to our private label credit card agreement that includes both providing a license and an obligation to redeem loyalty points issued under the loyalty program. The Company maintains customer loyalty programs associated with our private label credit cards which customers earn points towards rewards for qualifying purchases. Upon reaching specified point values, customers are issued a certificate. Points earned and certificates expire after a period of time. Our obligation to provide a license is satisfied when the subsequent sale or usage occurs and our obligation to redeem loyalty points is deferred until those loyalty points and certificates are redeemed. The Company received a signing bonus from our private label credit card issuer which is recognized over the life of the contract. Net sales are recognized over time as we transfer promised services throughout the contract term.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Price and Payment Terms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the amount of consideration we expect to receive from our customers and is reduced by any stated promotional discounts at the time of purchase. The transaction price may be variable due to terms that permit customers to exchange or return products for a refund. The implicit contract with the customer reflected in the transaction receipt states the final terms of the sale, including the description, quantity, and price of each product purchased. The customer agrees to a stated price in the contract that does not vary over the term of the contract and may include revenue to offset shipping costs. Sales tax collected from customers and remitted to taxing authorities is excluded from Net sales and is included as part of Accrued expenses and other liabilities on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Returns and Refunds </w:t>
      </w:r>
    </w:p>
    <w:p>
      <w:pPr>
        <w:pStyle w:val="TextBody"/>
        <w:bidi w:val="0"/>
        <w:spacing w:before="120" w:after="0"/>
        <w:jc w:val="left"/>
        <w:rPr>
          <w:rFonts w:ascii="Times New Roman" w:hAnsi="Times New Roman"/>
          <w:sz w:val="20"/>
        </w:rPr>
      </w:pPr>
      <w:r>
        <w:rPr>
          <w:rFonts w:ascii="Times New Roman" w:hAnsi="Times New Roman"/>
          <w:sz w:val="20"/>
        </w:rPr>
        <w:t xml:space="preserve">The standard terms and conditions of a customer purchase order include general rights of return and product warranty provisions related to nonconforming merchandise. Depending on the circumstances, the merchandise is either replaced or a refund is issued. Such warranties do not represent a separate performance obligation. The Company records a reserve for estimated merchandise returns based on prior customer return patterns and various other assumptions, which is recorded in Accrued expenses and other liabilities on our Consolidated Balance Sheets and was $5,822 and $6,422 as of January 3, 2026 and December 28, 2024, respectively. The asset related to anticipated returned merchandise is included in Merchandise inventories on the Consolidated Balance Sheets and was $1,293 and $1,511 as of January 3, 2026 and December 28,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income for unredeemed gift cards, referred to as gift card breakage, in proportion to the anticipated redemptions and when the Company determines that it does not have a legal obligation to remit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the unredeemed gift card to the relevant jurisdiction as unclaimed or abandoned property. We expect the revenue associated with these liabilities to be recognized in proportion to the pattern of customer redemptions within two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received signing bonuses from its private label credit card issuer in 2025, 2018 and 2015, which are deferred and recognized in Net Sales on a straight line basis over the life of each contract.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defers a portion of merchandise sales related to the Company’s loyalty programs based on the estimated stand-alone selling price of the points earned and certificates issued. This deferred revenue is recognized in Net sales on the Consolidated Statements of Operations and Comprehensive (Loss) Income as certificates are redeemed or expire. The deferred revenue related to our loyalty programs is not material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93"/>
        <w:gridCol w:w="510"/>
        <w:gridCol w:w="223"/>
        <w:gridCol w:w="895"/>
        <w:gridCol w:w="60"/>
        <w:gridCol w:w="510"/>
        <w:gridCol w:w="286"/>
        <w:gridCol w:w="1146"/>
        <w:gridCol w:w="60"/>
        <w:gridCol w:w="510"/>
        <w:gridCol w:w="286"/>
        <w:gridCol w:w="1146"/>
        <w:gridCol w:w="63"/>
      </w:tblGrid>
      <w:tr>
        <w:trPr/>
        <w:tc>
          <w:tcPr>
            <w:tcW w:w="3693"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93"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3"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51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3,477</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3,944</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6,620</w:t>
            </w:r>
          </w:p>
        </w:tc>
        <w:tc>
          <w:tcPr>
            <w:tcW w:w="63"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5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2,708</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prior period contact liabilities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3"/>
        <w:gridCol w:w="482"/>
        <w:gridCol w:w="223"/>
        <w:gridCol w:w="896"/>
        <w:gridCol w:w="60"/>
        <w:gridCol w:w="482"/>
        <w:gridCol w:w="286"/>
        <w:gridCol w:w="1146"/>
        <w:gridCol w:w="60"/>
        <w:gridCol w:w="482"/>
        <w:gridCol w:w="286"/>
        <w:gridCol w:w="1146"/>
        <w:gridCol w:w="66"/>
      </w:tblGrid>
      <w:tr>
        <w:trPr/>
        <w:tc>
          <w:tcPr>
            <w:tcW w:w="3773"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73"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6"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redemptions and gift card breakage</w:t>
            </w:r>
          </w:p>
        </w:tc>
        <w:tc>
          <w:tcPr>
            <w:tcW w:w="48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1,866</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3,870</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5,911</w:t>
            </w:r>
          </w:p>
        </w:tc>
        <w:tc>
          <w:tcPr>
            <w:tcW w:w="66"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8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years ended January 3, 2026, December 28, 2024 and December 30, 2023, respectively.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7"/>
        <w:gridCol w:w="193"/>
        <w:gridCol w:w="140"/>
        <w:gridCol w:w="853"/>
        <w:gridCol w:w="60"/>
        <w:gridCol w:w="60"/>
        <w:gridCol w:w="60"/>
        <w:gridCol w:w="607"/>
        <w:gridCol w:w="322"/>
        <w:gridCol w:w="143"/>
        <w:gridCol w:w="140"/>
        <w:gridCol w:w="900"/>
        <w:gridCol w:w="60"/>
        <w:gridCol w:w="146"/>
        <w:gridCol w:w="60"/>
        <w:gridCol w:w="606"/>
        <w:gridCol w:w="275"/>
        <w:gridCol w:w="143"/>
        <w:gridCol w:w="140"/>
        <w:gridCol w:w="900"/>
        <w:gridCol w:w="60"/>
        <w:gridCol w:w="146"/>
        <w:gridCol w:w="60"/>
        <w:gridCol w:w="607"/>
        <w:gridCol w:w="287"/>
      </w:tblGrid>
      <w:tr>
        <w:trPr/>
        <w:tc>
          <w:tcPr>
            <w:tcW w:w="3237"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r>
      <w:tr>
        <w:trPr/>
        <w:tc>
          <w:tcPr>
            <w:tcW w:w="3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81.7</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81.8</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80.8</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13.7</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13.1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13.5</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4.6</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5.1</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5.7</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287" w:type="dxa"/>
            <w:tcBorders/>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$8,370, $12,983 and $14,999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$914, $1,539 and $2,038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 $597 and $688 of net sales for the years ended January 3, 2026, December 28, 2024 and December 30, 2023, respectively, relate to sales recognized over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other current assets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6"/>
        <w:gridCol w:w="480"/>
        <w:gridCol w:w="201"/>
        <w:gridCol w:w="987"/>
        <w:gridCol w:w="60"/>
        <w:gridCol w:w="480"/>
        <w:gridCol w:w="242"/>
        <w:gridCol w:w="1284"/>
        <w:gridCol w:w="65"/>
      </w:tblGrid>
      <w:tr>
        <w:trPr/>
        <w:tc>
          <w:tcPr>
            <w:tcW w:w="3956"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3,874</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3,914</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Catalog paper inventory</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4,129</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4,852</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assets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5,011</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5,749</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3,427</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3,035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1,165</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current assets</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19,476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15,680</w:t>
            </w:r>
          </w:p>
        </w:tc>
        <w:tc>
          <w:tcPr>
            <w:tcW w:w="65" w:type="dxa"/>
            <w:tcBorders/>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offices, warehouse space, and equipment leased under non-cancelable operating leasing arrangements which expire at various dates through 2031. If the lease contains a renewal period at the Company’s option, the renewal period is included in the lease term if determined the option is reasonably certain to be exercised. </w:t>
      </w:r>
    </w:p>
    <w:p>
      <w:pPr>
        <w:pStyle w:val="TextBody"/>
        <w:bidi w:val="0"/>
        <w:spacing w:before="240" w:after="0"/>
        <w:jc w:val="left"/>
        <w:rPr>
          <w:rFonts w:ascii="Times New Roman" w:hAnsi="Times New Roman"/>
          <w:sz w:val="20"/>
        </w:rPr>
      </w:pPr>
      <w:r>
        <w:rPr>
          <w:rFonts w:ascii="Times New Roman" w:hAnsi="Times New Roman"/>
          <w:sz w:val="20"/>
        </w:rPr>
        <w:t xml:space="preserve">Some of the Company’s leases contain real estate taxes, common area maintenance, and similar items that are billed as pass-through charges from its landlords. These payments are not included in the measurement of the lease liability but are recognized as variable lease cost in the period incurred.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discount rate as of January 3, 2026 and December 28, 2024 was 5.7% and 5.6%, respectively. The rate implicit in the lease is not readily determinable in the lease agreements; therefore, the Company estimated the incremental borrowing rate, at the commencement date of each lease, which is the rate of interest it would have to borrow on a collateralized basis over a similar term with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expense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35"/>
        <w:gridCol w:w="394"/>
        <w:gridCol w:w="190"/>
        <w:gridCol w:w="934"/>
        <w:gridCol w:w="60"/>
        <w:gridCol w:w="394"/>
        <w:gridCol w:w="241"/>
        <w:gridCol w:w="1183"/>
        <w:gridCol w:w="60"/>
        <w:gridCol w:w="394"/>
        <w:gridCol w:w="241"/>
        <w:gridCol w:w="1183"/>
        <w:gridCol w:w="163"/>
      </w:tblGrid>
      <w:tr>
        <w:trPr/>
        <w:tc>
          <w:tcPr>
            <w:tcW w:w="313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3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9,858</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9,993</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9,994</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1,405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1,345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1,282</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(365</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11,263</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11,338</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10,911</w:t>
            </w:r>
          </w:p>
        </w:tc>
        <w:tc>
          <w:tcPr>
            <w:tcW w:w="163" w:type="dxa"/>
            <w:tcBorders/>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operating cash flow information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74"/>
        <w:gridCol w:w="381"/>
        <w:gridCol w:w="226"/>
        <w:gridCol w:w="904"/>
        <w:gridCol w:w="60"/>
        <w:gridCol w:w="381"/>
        <w:gridCol w:w="241"/>
        <w:gridCol w:w="1179"/>
        <w:gridCol w:w="60"/>
        <w:gridCol w:w="381"/>
        <w:gridCol w:w="241"/>
        <w:gridCol w:w="1179"/>
        <w:gridCol w:w="65"/>
      </w:tblGrid>
      <w:tr>
        <w:trPr/>
        <w:tc>
          <w:tcPr>
            <w:tcW w:w="3274"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7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5" w:type="dxa"/>
            <w:tcBorders/>
            <w:vAlign w:val="bottom"/>
          </w:tcPr>
          <w:p>
            <w:pPr>
              <w:pStyle w:val="TableContents"/>
              <w:bidi w:val="0"/>
              <w:spacing w:before="0" w:after="283"/>
              <w:jc w:val="left"/>
              <w:rPr/>
            </w:pPr>
            <w:r>
              <w:rPr/>
              <w:t> </w:t>
            </w:r>
          </w:p>
        </w:tc>
      </w:tr>
      <w:tr>
        <w:trPr/>
        <w:tc>
          <w:tcPr>
            <w:tcW w:w="3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included in the measurement of operating lease liabilities</w:t>
            </w:r>
          </w:p>
        </w:tc>
        <w:tc>
          <w:tcPr>
            <w:tcW w:w="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9,866</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10,026</w:t>
            </w:r>
          </w:p>
        </w:tc>
        <w:tc>
          <w:tcPr>
            <w:tcW w:w="65" w:type="dxa"/>
            <w:tcBorders/>
            <w:shd w:fill="CCEEFF" w:val="clear"/>
            <w:vAlign w:val="bottom"/>
          </w:tcPr>
          <w:p>
            <w:pPr>
              <w:pStyle w:val="TableContents"/>
              <w:bidi w:val="0"/>
              <w:spacing w:before="0" w:after="283"/>
              <w:jc w:val="left"/>
              <w:rPr/>
            </w:pPr>
            <w:r>
              <w:rPr/>
              <w:t> </w:t>
            </w:r>
          </w:p>
        </w:tc>
      </w:tr>
      <w:tr>
        <w:trPr/>
        <w:tc>
          <w:tcPr>
            <w:tcW w:w="327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new operating lease liabilities</w:t>
            </w:r>
          </w:p>
        </w:tc>
        <w:tc>
          <w:tcPr>
            <w:tcW w:w="3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377</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1,563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Maturity of lease liabilities under our non-cancellable operating leases as of January 3, 2026,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41"/>
        <w:gridCol w:w="476"/>
        <w:gridCol w:w="145"/>
        <w:gridCol w:w="819"/>
        <w:gridCol w:w="158"/>
      </w:tblGrid>
      <w:tr>
        <w:trPr/>
        <w:tc>
          <w:tcPr>
            <w:tcW w:w="5341"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1" w:type="dxa"/>
            <w:tcBorders/>
            <w:vAlign w:val="bottom"/>
          </w:tcPr>
          <w:p>
            <w:pPr>
              <w:pStyle w:val="TableContents"/>
              <w:bidi w:val="0"/>
              <w:spacing w:before="0" w:after="283"/>
              <w:jc w:val="left"/>
              <w:rPr>
                <w:b/>
              </w:rPr>
            </w:pPr>
            <w:r>
              <w:rPr>
                <w:b/>
              </w:rPr>
              <w:t>Fiscal Years</w:t>
            </w:r>
          </w:p>
        </w:tc>
        <w:tc>
          <w:tcPr>
            <w:tcW w:w="47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10,350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8,533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8,113</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8,003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7,689</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2,562</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45,250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(13,574</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31,676</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remaining lease term is 4.9 years, 5.7 years and 6.6 years as of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were no executed leases in which the Company did not have control of the underlying asset.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as of January 3, 2026 and December 28, 2024,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3"/>
        <w:gridCol w:w="464"/>
        <w:gridCol w:w="176"/>
        <w:gridCol w:w="975"/>
        <w:gridCol w:w="60"/>
        <w:gridCol w:w="464"/>
        <w:gridCol w:w="210"/>
        <w:gridCol w:w="1268"/>
        <w:gridCol w:w="65"/>
      </w:tblGrid>
      <w:tr>
        <w:trPr/>
        <w:tc>
          <w:tcPr>
            <w:tcW w:w="4073"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73"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building, and improvements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30,486</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29,689</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Technical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21,085</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18,266</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6,457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6,392</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Internal Software</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50,278</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45,674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1,185</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1,526</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109,491</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101,547</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77,607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66,865</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net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31,884</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34,682</w:t>
            </w:r>
          </w:p>
        </w:tc>
        <w:tc>
          <w:tcPr>
            <w:tcW w:w="65" w:type="dxa"/>
            <w:tcBorders/>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for property, plant, and equipment was $10,862, $9,459 and $9,508 for the years ended January 3, 2026,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Company’s intangible assets other than tradename and goodwill as of January 3, 2026 and December 28,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78,766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2,285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78,766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2,285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128,779</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131,064</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76,036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5,015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76,036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5,015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134,636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139,651</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year ended January 3, 2026, based on a combination of factors, predominantly driven by the reduction of demand of certain of the Company’s brand products, the Company concluded that the carrying value of its tradenames exceeded their fair values and recorded a non-cash intangible asset impairment charge of $5,857. Based on the results of the Company’s annual impairment testing of its indefinite-lived intangible assets for the year ended December 28, 2024, no impairment charges were deemed necessary. In the year ended December 30, 2023, based on a combination of factors, predominantly driven by the reduction of customer demand for one of the Company’s brand products, the Company concluded that the carrying value of one of its tradenames exceeded their fair values and recorded a non-cash intangible asset impairment charge of $11,532. </w:t>
      </w:r>
    </w:p>
    <w:p>
      <w:pPr>
        <w:pStyle w:val="TextBody"/>
        <w:bidi w:val="0"/>
        <w:spacing w:before="240" w:after="0"/>
        <w:jc w:val="left"/>
        <w:rPr>
          <w:rFonts w:ascii="Times New Roman" w:hAnsi="Times New Roman"/>
          <w:sz w:val="20"/>
        </w:rPr>
      </w:pPr>
      <w:r>
        <w:rPr>
          <w:rFonts w:ascii="Times New Roman" w:hAnsi="Times New Roman"/>
          <w:sz w:val="20"/>
        </w:rPr>
        <w:t xml:space="preserve">Finite-lived intangible assets are amortized on a straight-line method over their expected lives, except customer lists which were amortized on an accelerated method. The Company recorded amortization expense of $2,730, $2,624 and $4,856 for the years ended January 3, 2026, December 28, 2024 and December 30, 2023, respectively. The estimated aggregated future amortization expense for all amortizable intangibles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75"/>
        <w:gridCol w:w="438"/>
        <w:gridCol w:w="140"/>
        <w:gridCol w:w="623"/>
        <w:gridCol w:w="63"/>
      </w:tblGrid>
      <w:tr>
        <w:trPr/>
        <w:tc>
          <w:tcPr>
            <w:tcW w:w="567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1,852</w:t>
            </w:r>
          </w:p>
        </w:tc>
        <w:tc>
          <w:tcPr>
            <w:tcW w:w="63" w:type="dxa"/>
            <w:tcBorders/>
            <w:vAlign w:val="bottom"/>
          </w:tcPr>
          <w:p>
            <w:pPr>
              <w:pStyle w:val="TableContents"/>
              <w:bidi w:val="0"/>
              <w:spacing w:before="0" w:after="283"/>
              <w:jc w:val="left"/>
              <w:rPr/>
            </w:pPr>
            <w:r>
              <w:rPr/>
              <w:t> </w:t>
            </w:r>
          </w:p>
        </w:tc>
      </w:tr>
      <w:tr>
        <w:trPr/>
        <w:tc>
          <w:tcPr>
            <w:tcW w:w="5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434</w:t>
            </w:r>
          </w:p>
        </w:tc>
        <w:tc>
          <w:tcPr>
            <w:tcW w:w="63"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2,285</w:t>
            </w:r>
          </w:p>
        </w:tc>
        <w:tc>
          <w:tcPr>
            <w:tcW w:w="63"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changes in the carrying amount of goodwill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8"/>
        <w:gridCol w:w="462"/>
        <w:gridCol w:w="147"/>
        <w:gridCol w:w="831"/>
        <w:gridCol w:w="161"/>
      </w:tblGrid>
      <w:tr>
        <w:trPr/>
        <w:tc>
          <w:tcPr>
            <w:tcW w:w="5338"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40,215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9,378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in fiscal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578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40,793</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(30,837</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9,956</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Additions in fiscal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152</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10,108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 loss in fiscal 2025</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(10,108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40,945</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January 3, 2026, the Company recorded an impairment charge of $10,108 in order to adjust carrying value to estimated fair value. No impairment charge was recorded for the year ended December 28, 2024 or December 30, 2023, respectively. See Note 2 for more information about our annual impairment test of goodwill.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accrued expenses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3"/>
        <w:gridCol w:w="454"/>
        <w:gridCol w:w="201"/>
        <w:gridCol w:w="986"/>
        <w:gridCol w:w="60"/>
        <w:gridCol w:w="454"/>
        <w:gridCol w:w="243"/>
        <w:gridCol w:w="1281"/>
        <w:gridCol w:w="63"/>
      </w:tblGrid>
      <w:tr>
        <w:trPr/>
        <w:tc>
          <w:tcPr>
            <w:tcW w:w="4013"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13"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cards and customer credits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4,705</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5,095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6,402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8,014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tax liabilities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5,608</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9,357</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Advertising</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9,524</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9,487</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9,009</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9,595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Returns reserve</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5,822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6,422</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2,260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2,592</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(includes $2,508 and $2,731 to related parties, respectively)</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3,031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3,296</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1,756</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liabilities</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47,961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55,614</w:t>
            </w:r>
          </w:p>
        </w:tc>
        <w:tc>
          <w:tcPr>
            <w:tcW w:w="63"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January 3, 2026 and December 28, 2024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00"/>
        <w:gridCol w:w="423"/>
        <w:gridCol w:w="177"/>
        <w:gridCol w:w="1028"/>
        <w:gridCol w:w="155"/>
        <w:gridCol w:w="423"/>
        <w:gridCol w:w="212"/>
        <w:gridCol w:w="1277"/>
        <w:gridCol w:w="160"/>
      </w:tblGrid>
      <w:tr>
        <w:trPr/>
        <w:tc>
          <w:tcPr>
            <w:tcW w:w="390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$217,293 and $223,093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262,250</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269,250</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$7,783 and $11,946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(9,393</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(14,417</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252,857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254,833</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(7,000</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$203,710 and $205,347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245,857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247,833</w:t>
            </w:r>
          </w:p>
        </w:tc>
        <w:tc>
          <w:tcPr>
            <w:tcW w:w="160"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Key Debt Terms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key debt features as of January 3,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97"/>
        <w:gridCol w:w="410"/>
        <w:gridCol w:w="129"/>
        <w:gridCol w:w="1295"/>
        <w:gridCol w:w="278"/>
        <w:gridCol w:w="315"/>
        <w:gridCol w:w="60"/>
        <w:gridCol w:w="1328"/>
        <w:gridCol w:w="60"/>
        <w:gridCol w:w="410"/>
        <w:gridCol w:w="251"/>
        <w:gridCol w:w="574"/>
        <w:gridCol w:w="65"/>
      </w:tblGrid>
      <w:tr>
        <w:trPr/>
        <w:tc>
          <w:tcPr>
            <w:tcW w:w="3397"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Priority</w:t>
            </w:r>
          </w:p>
        </w:tc>
        <w:tc>
          <w:tcPr>
            <w:tcW w:w="65" w:type="dxa"/>
            <w:tcBorders/>
            <w:vAlign w:val="bottom"/>
          </w:tcPr>
          <w:p>
            <w:pPr>
              <w:pStyle w:val="TableContents"/>
              <w:bidi w:val="0"/>
              <w:spacing w:before="0" w:after="283"/>
              <w:jc w:val="left"/>
              <w:rPr/>
            </w:pPr>
            <w:r>
              <w:rPr/>
              <w:t> </w:t>
            </w:r>
          </w:p>
        </w:tc>
      </w:tr>
      <w:tr>
        <w:trPr/>
        <w:tc>
          <w:tcPr>
            <w:tcW w:w="3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1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7.25</w:t>
            </w:r>
          </w:p>
        </w:tc>
        <w:tc>
          <w:tcPr>
            <w:tcW w:w="278"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May 2027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w:t>
            </w:r>
          </w:p>
        </w:tc>
        <w:tc>
          <w:tcPr>
            <w:tcW w:w="65" w:type="dxa"/>
            <w:tcBorders/>
            <w:shd w:fill="CCEEFF" w:val="clear"/>
            <w:vAlign w:val="bottom"/>
          </w:tcPr>
          <w:p>
            <w:pPr>
              <w:pStyle w:val="TableContents"/>
              <w:bidi w:val="0"/>
              <w:spacing w:before="0" w:after="283"/>
              <w:jc w:val="left"/>
              <w:rPr/>
            </w:pPr>
            <w:r>
              <w:rPr/>
              <w:t> </w:t>
            </w:r>
          </w:p>
        </w:tc>
      </w:tr>
      <w:tr>
        <w:trPr/>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w:t>
            </w:r>
          </w:p>
        </w:tc>
        <w:tc>
          <w:tcPr>
            <w:tcW w:w="41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11.47</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August 2027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January 3, 2026, the borrowing base for the ABL Facility was $120,000 and availability under the ABL Facility was $66,864, which reflects capacity of $71,805 less $4,941 of outstanding letters of credit and $0 outstanding borrowings under the revolving credit line.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the Borrower with the right to request additional commitments under this facility, subject to customary conditions. </w:t>
      </w:r>
    </w:p>
    <w:p>
      <w:pPr>
        <w:pStyle w:val="TextBody"/>
        <w:bidi w:val="0"/>
        <w:spacing w:before="240" w:after="0"/>
        <w:jc w:val="left"/>
        <w:rPr>
          <w:rFonts w:ascii="Times New Roman" w:hAnsi="Times New Roman"/>
          <w:sz w:val="20"/>
        </w:rPr>
      </w:pPr>
      <w:r>
        <w:rPr>
          <w:rFonts w:ascii="Times New Roman" w:hAnsi="Times New Roman"/>
          <w:i/>
          <w:sz w:val="20"/>
        </w:rPr>
        <w:t>Interest</w:t>
      </w:r>
      <w:r>
        <w:rPr>
          <w:rFonts w:ascii="Times New Roman" w:hAnsi="Times New Roman"/>
          <w:sz w:val="20"/>
        </w:rPr>
        <w:t xml:space="preserve"> </w:t>
      </w:r>
      <w:r>
        <w:rPr>
          <w:rFonts w:ascii="Times New Roman" w:hAnsi="Times New Roman"/>
          <w:i/>
          <w:sz w:val="20"/>
        </w:rPr>
        <w:t xml:space="preserve">Rate and Fees. </w:t>
      </w:r>
      <w:r>
        <w:rPr>
          <w:rFonts w:ascii="Times New Roman" w:hAnsi="Times New Roman"/>
          <w:sz w:val="20"/>
        </w:rPr>
        <w:t xml:space="preserve">Borrowings under the ABL Facility bear interest at a rate per annum equal to, at the Borrower’s option, either (a) a base rate determined by reference to the greatest of (1) the prime rate, (2) the Federal Funds rate plus 0.50% and (3) a SOFR Rate plus 1.00% or (b) a SOFR rate plus an applicable rate. The applicable rate is subject to adjustment each fiscal quarter, based on excess availability and ranges from 0.50% to 1.00% for loans bearing interest at the base rate and 1.50% to 2.00% for loans bearing interest at the SOFR Rate. </w:t>
      </w:r>
    </w:p>
    <w:p>
      <w:pPr>
        <w:pStyle w:val="TextBody"/>
        <w:bidi w:val="0"/>
        <w:spacing w:before="240" w:after="0"/>
        <w:jc w:val="left"/>
        <w:rPr>
          <w:rFonts w:ascii="Times New Roman" w:hAnsi="Times New Roman"/>
          <w:sz w:val="20"/>
        </w:rPr>
      </w:pPr>
      <w:r>
        <w:rPr>
          <w:rFonts w:ascii="Times New Roman" w:hAnsi="Times New Roman"/>
          <w:sz w:val="20"/>
        </w:rPr>
        <w:t xml:space="preserve">The Borrower is required to pay a commitment fee in respect of the unutilized commitments under the ABL Facility of 0.250% to 0.375% per annum, depending on usage under the facility. The Borrower must also pay customary letter of credit fees and agency fees. </w:t>
      </w:r>
    </w:p>
    <w:p>
      <w:pPr>
        <w:pStyle w:val="TextBody"/>
        <w:bidi w:val="0"/>
        <w:spacing w:before="240" w:after="0"/>
        <w:jc w:val="left"/>
        <w:rPr>
          <w:rFonts w:ascii="Times New Roman" w:hAnsi="Times New Roman"/>
          <w:sz w:val="20"/>
        </w:rPr>
      </w:pPr>
      <w:r>
        <w:rPr>
          <w:rFonts w:ascii="Times New Roman" w:hAnsi="Times New Roman"/>
          <w:i/>
          <w:sz w:val="20"/>
        </w:rPr>
        <w:t xml:space="preserve">Amortization. </w:t>
      </w:r>
      <w:r>
        <w:rPr>
          <w:rFonts w:ascii="Times New Roman" w:hAnsi="Times New Roman"/>
          <w:sz w:val="20"/>
        </w:rPr>
        <w:t xml:space="preserve">There is no scheduled amortization under the ABL Facility.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ABL Facility are unconditionally guaranteed by the Borrower and substantially all of its existing 100%-owned domestic subsidiaries and will be required to be guaranteed by certain of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 xml:space="preserve">Certain Covenants and Events of Default. </w:t>
      </w:r>
      <w:r>
        <w:rPr>
          <w:rFonts w:ascii="Times New Roman" w:hAnsi="Times New Roman"/>
          <w:sz w:val="20"/>
        </w:rPr>
        <w:t xml:space="preserve">The ABL Facility contains certain customary covenants that, among other things and subject to certain exceptions, restrict the Borrower’s ability and the ability of its subsidiaries to incur liens; make investments, loans and acquisitions; incur additional indebtedness; consolidate, merge or liquidate; dispose of assets; pay dividends on capital stock or redeem, repurchase or retire capital stock or certain other junior lien indebtedness; prepay indebtedness; alter the business conducted; engage in transactions with affiliates; and create restrictions on the payment of dividends or other amounts from restricted subsidiaries or the ability to incur liens on the Borrower’s assets.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ABL Facility requires the Borrower to maintain a Fixed Charge Coverage Ratio (as defined in the ABL Facility) of at least 1.0 to 1.0. The ABL Facility also contains certain customary representations and warranties, affirmative covenants and provisions relating to events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January 3, 2026 and December 28, 2024, approximately 82.9% and 82.9%, respectively, of the Company’s institutional debt holders also hold an equity interest in the Company, have representation on the Board of Directors, or otherwise exert significant influence over the Company. </w:t>
      </w:r>
    </w:p>
    <w:p>
      <w:pPr>
        <w:pStyle w:val="TextBody"/>
        <w:bidi w:val="0"/>
        <w:spacing w:before="240" w:after="0"/>
        <w:jc w:val="left"/>
        <w:rPr>
          <w:rFonts w:ascii="Times New Roman" w:hAnsi="Times New Roman"/>
          <w:sz w:val="20"/>
        </w:rPr>
      </w:pPr>
      <w:r>
        <w:rPr>
          <w:rFonts w:ascii="Times New Roman" w:hAnsi="Times New Roman"/>
          <w:i/>
          <w:sz w:val="20"/>
        </w:rPr>
        <w:t xml:space="preserve">Interest Rate and Fees. </w:t>
      </w:r>
      <w:r>
        <w:rPr>
          <w:rFonts w:ascii="Times New Roman" w:hAnsi="Times New Roman"/>
          <w:sz w:val="20"/>
        </w:rPr>
        <w:t xml:space="preserve">Borrowings under the First Lien bear interest at a rate per annum equal to, at the Borrower’s option, either (a) a base rate determined by reference to the highest of (1) the Prime Rate, (2) the Federal Funds rate plus 0.50%, (3) adjusted term SOFR for one month plus 1.00%, and (4) 2.00% or (b) SOFR rate plus an applicable rate of 7.50%. The base rate and the SOFR Rate are subject to a floor of 1.00%. </w:t>
      </w:r>
    </w:p>
    <w:p>
      <w:pPr>
        <w:pStyle w:val="TextBody"/>
        <w:bidi w:val="0"/>
        <w:spacing w:before="240" w:after="0"/>
        <w:jc w:val="left"/>
        <w:rPr>
          <w:rFonts w:ascii="Times New Roman" w:hAnsi="Times New Roman"/>
          <w:sz w:val="20"/>
        </w:rPr>
      </w:pPr>
      <w:r>
        <w:rPr>
          <w:rFonts w:ascii="Times New Roman" w:hAnsi="Times New Roman"/>
          <w:i/>
          <w:sz w:val="20"/>
        </w:rPr>
        <w:t>Amortization</w:t>
      </w:r>
      <w:r>
        <w:rPr>
          <w:rFonts w:ascii="Times New Roman" w:hAnsi="Times New Roman"/>
          <w:sz w:val="20"/>
        </w:rPr>
        <w:t xml:space="preserve">. The Borrower is required to make scheduled quarterly payments of $1,750, plus an annual payment equal to (a). 75% of the excess cash flow for the immediately preceding fiscal year in which indebtedness to adjusted EBITDA ratio is greater than or equal to 2.50 :1.00; or (b) 50 % of the excess cash flow for the immediately preceding fiscal year in which the funded indebtedness to adjusted EBITDA Ratio is less than 2.50 :1.00, less voluntary prepayments, with final payment at maturity.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First Lien are unconditionally guaranteed by the Borrower and substantially all of its existing 100%-owned domestic subsidiaries and will be required to be guaranteed by certain of any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Certain</w:t>
      </w:r>
      <w:r>
        <w:rPr>
          <w:rFonts w:ascii="Times New Roman" w:hAnsi="Times New Roman"/>
          <w:sz w:val="20"/>
        </w:rPr>
        <w:t xml:space="preserve"> </w:t>
      </w:r>
      <w:r>
        <w:rPr>
          <w:rFonts w:ascii="Times New Roman" w:hAnsi="Times New Roman"/>
          <w:i/>
          <w:sz w:val="20"/>
        </w:rPr>
        <w:t>Covenants</w:t>
      </w:r>
      <w:r>
        <w:rPr>
          <w:rFonts w:ascii="Times New Roman" w:hAnsi="Times New Roman"/>
          <w:sz w:val="20"/>
        </w:rPr>
        <w:t xml:space="preserve"> </w:t>
      </w:r>
      <w:r>
        <w:rPr>
          <w:rFonts w:ascii="Times New Roman" w:hAnsi="Times New Roman"/>
          <w:i/>
          <w:sz w:val="20"/>
        </w:rPr>
        <w:t>and Events</w:t>
      </w:r>
      <w:r>
        <w:rPr>
          <w:rFonts w:ascii="Times New Roman" w:hAnsi="Times New Roman"/>
          <w:sz w:val="20"/>
        </w:rPr>
        <w:t xml:space="preserve"> </w:t>
      </w:r>
      <w:r>
        <w:rPr>
          <w:rFonts w:ascii="Times New Roman" w:hAnsi="Times New Roman"/>
          <w:i/>
          <w:sz w:val="20"/>
        </w:rPr>
        <w:t>of Default.</w:t>
      </w:r>
      <w:r>
        <w:rPr>
          <w:rFonts w:ascii="Times New Roman" w:hAnsi="Times New Roman"/>
          <w:sz w:val="20"/>
        </w:rPr>
        <w:t xml:space="preserve"> The First Lien contains certain customary covenants that, among other things and subject to certain exceptions, restrict the ability of the Company and its subsidiaries to incur liens; make investments, loans and acquisitions; incur additional indebtedness; consolidate, merge or liquidate; dispose of assets; pay dividends on its capital stock or redeem, repurchase or retire the capital stock or certain other junior lien indebtedness; alter the business the Borrower conducts; engage in transactions with its affiliates; and create restrictions on the payment of dividends or other amounts from its restricted subsidiaries or the ability to incur liens on the assets. The First Lien requires the Borrower not to exceed a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also contains certain customary representations and warranties, affirmative covenants and provisions relating to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maturity table for debt obligations as of January 3,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2026 (includes $ 5,800 to related parties)</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7,000</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 (includes $ 211,493 to related parties)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255,250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262,250</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issuance costs and original issue discount are amortized over the respective terms of the ABL Facility and First Lien and recorded as a component of Interest Expense, net, in the accompanying Consolidated Statements of Operations and Comprehensive (Loss)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interest paid was $33,179, $38,443 and $43,717, for the years ended January 3, 2026, December 28, 2024 and December 30, 2023, respectively. Of total cash paid, $27,369, $31,853 and $36,223 for the years ended January 3, 2026, December 28, 2024 and December 30, 2023, respectively, relates to cash interest paid to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2025. The holders of the Preferred Stock were entitled to the following rights: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January 3, 2026 and December 28, 2024 is $13,229 and $19,460, respectively. During fiscal 2025, 24 shares of Preferred Stock were forfeited by departing holders, resulting in a reduction to the carrying value of Convertible Preferred Stock of $9,493 and a corresponding increase to Additional paid-in capital. As of January 3, 2026 and December 28, 2024,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$730, $974 and $985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January 3, 2026 and December 28, 2024,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Incentive Plan (“MIP”) provides for the grant of Restricted Stock Awards (“RSA’s”) of the Company. In addition, the MIP provides for recipients to receive anti-dilution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Company’s MIP provides for the grant of RSA’s of the Company. RSA’s generally consist of two components, time-based (“Time-Based Shares”) and performance-based (“Performance-Based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Time-Based shares generally vest over four years of continuous service. For Time-Based Shares, noncash RSA expense is calculated based on the grant-date fair value of the Shares and is recognized in expense straight-line over the service period. All Time-Based shares vested as of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Performance-Based Shares generally vest either on the achievement of certain predefined levels of EBITDA, or the date of a Liquidation Event in which Total Enterprise Value exceeds certain predefined hurdles. Compensation expense for Performance-Based Shares is recognized when it is probable that the performance condition will be achieved. All EBITDA and Total Enterprise Values hurdles from Shares issued from 2020 and prior were achieved prior to 2022 resulting in full vesting of those Performance-Based Shares and therefore no incremental expense was incurred during either fiscal year 2025, 2024, or 2023. All Performance-Based Shares granted from 2021 through 2025 vest on the achievement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Due to the terms of the agreement with each RSA holder and each parties’ respective rights thereunder, the Awards are accounted for as a substantive class of equity. The aggregate number of RSA’s authorized for issuance against the MIP was 161 and 161 on January 3, 2026 and December 28,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Performance-Based Share awards and activity of the Shares for the year ended January 3,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8"/>
        <w:gridCol w:w="484"/>
        <w:gridCol w:w="154"/>
        <w:gridCol w:w="1006"/>
        <w:gridCol w:w="155"/>
        <w:gridCol w:w="484"/>
        <w:gridCol w:w="214"/>
        <w:gridCol w:w="1161"/>
        <w:gridCol w:w="159"/>
      </w:tblGrid>
      <w:tr>
        <w:trPr/>
        <w:tc>
          <w:tcPr>
            <w:tcW w:w="3938"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8"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Fair</w:t>
              <w:br/>
              <w:t>Value per</w:t>
              <w:br/>
              <w:t>Share</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28, 2024</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170.01</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31.30</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(142.88</w:t>
            </w:r>
          </w:p>
        </w:tc>
        <w:tc>
          <w:tcPr>
            <w:tcW w:w="159" w:type="dxa"/>
            <w:tcBorders/>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3, 2026</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166.36</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recognized expense of $0, $1 and $142 related to RSA’s in the years ended January 3, 2026, December 28, 2024 and December 30, 2023, respectively, and is recorded in Selling, General, and Administrative Expenses. For the years ended January 3, 2026, December 28, 2024 and December 30, 2023, the Company recognized a corresponding tax expense of $0, $0 and $183,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RSA’s was estimated on the date of grant using the Black-Scholes based option valuation model that used the following assumptions. Expected volatility was estimated based on the leverage adjusted historical volatility of certain of our peer companies over a historical term commensurate with the remaining expected holding period. Expected dividend yield is zero percent as the Company does not anticipate paying future dividends. The risk-free rate was based on the U.S. Treasury yield curve in effect at the time of the grant.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used in the Black-Scholes option-pricing model to estimate fair value of Awards granted, which requires the input of both subjective and objective assumptions,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99"/>
        <w:gridCol w:w="392"/>
        <w:gridCol w:w="60"/>
        <w:gridCol w:w="445"/>
        <w:gridCol w:w="299"/>
        <w:gridCol w:w="282"/>
        <w:gridCol w:w="60"/>
        <w:gridCol w:w="445"/>
        <w:gridCol w:w="299"/>
        <w:gridCol w:w="282"/>
        <w:gridCol w:w="60"/>
        <w:gridCol w:w="445"/>
        <w:gridCol w:w="304"/>
      </w:tblGrid>
      <w:tr>
        <w:trPr/>
        <w:tc>
          <w:tcPr>
            <w:tcW w:w="5199"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19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dividends</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3.5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4.3</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4.5</w:t>
            </w:r>
          </w:p>
        </w:tc>
        <w:tc>
          <w:tcPr>
            <w:tcW w:w="30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was $0 of RSA compensation expense expected to be recognized in future periods related to unvested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RETIREMENT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currently sponsors a defined contribution retirement savings plan which is available to certain employees who meet the eligibility requirements. Eligible employees may contribute a percentage of their annual compensation, subject to certain limitations under the Internal Revenue Code. The Company may, at its discretion, make matching contributions, which vest immediately. The Company’s expense under this Retirement Plan was $1,012, $938 and $869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Certain employees of the Company are eligible for the Company’s Deferred Compensation Plan, a nonqualified plan. The Company has amended the Deferred Compensation Plan and no longer allows for new participants or allows existing participants to contribute to the plan. The participants earn interest based upon the 10-Year U.S. Treasury Note rate. Expenses associated with the plan for the years ended January 3, 2026, December 28, 2024 and December 30, 2023 were not material. The Company’s liabilities under this plan were $47 and $672 as of January 3, 2026 and December 28, 2024, respectively, and is included in other non-current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a multi-employer plan, The Legacy Plan of the National Retirement Fund (Employer Identification Number 13-6130178), that provides benefits for its union employees. As of January 3, 2026 and December 28, 2024, the multi-employer plan was in critical status as the plan is projected to have an accumulated funding deficiency within nine years. The Company paid a surcharge of 10% for the year ended January 3, 2026 and is required to pay a 10% surcharge for each succeeding year thereafter in which the plan is in critical status. The Company’s expenses for this plan were $617, $588 and $560 for the years ended January 3, 2026, December 28, 2024 and December 30, 2023, respectively. There was a collective bargaining agreement effective from February 28, 2021 through February 29, 2024. In March 2024, and Company entered into a new collective agreement with the union that expires on February 28, 2027. Additional information regarding the plan for the years ended January 3, 2026, December 28, 2024 and December 30, 2023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40"/>
        <w:gridCol w:w="461"/>
        <w:gridCol w:w="140"/>
        <w:gridCol w:w="380"/>
        <w:gridCol w:w="276"/>
        <w:gridCol w:w="391"/>
        <w:gridCol w:w="141"/>
        <w:gridCol w:w="380"/>
        <w:gridCol w:w="275"/>
        <w:gridCol w:w="392"/>
        <w:gridCol w:w="140"/>
        <w:gridCol w:w="380"/>
        <w:gridCol w:w="276"/>
      </w:tblGrid>
      <w:tr>
        <w:trPr/>
        <w:tc>
          <w:tcPr>
            <w:tcW w:w="4940"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contributions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617</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588</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560</w:t>
            </w:r>
          </w:p>
        </w:tc>
        <w:tc>
          <w:tcPr>
            <w:tcW w:w="276" w:type="dxa"/>
            <w:tcBorders/>
            <w:shd w:fill="CCEEFF" w:val="clear"/>
            <w:vAlign w:val="bottom"/>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Are Company’s contributions more than 5% of the total contributions?</w:t>
            </w:r>
          </w:p>
        </w:tc>
        <w:tc>
          <w:tcPr>
            <w:tcW w:w="4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Funded Status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96</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92</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4, 2025, President Trump signed into law the One Big Beautiful Bill Act (the “OBBB”). The OBBB made key elements of the Tax Cuts and Jobs Act permanent, including 100% bonus depreciation, domestic research cost expensing and the business interest expense limitation. Accounting Standards Codification Topic No. 740, “Income Taxes”, requires that we recognize the effects of changes in tax rates and laws in the period in which the legislation is enacted. Consequently, our Fiscal 2025 results reflect an increase in deferred tax expense, primarily due to the impact of the 100% bonus depreciation, offset by reductions in our current tax expense. Enactment of the OBBB did not have a material impact on our financial statements, including our Fiscal 2025 effective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 for income taxes for the years ended January 3, 2026, December 28, 2024 and December 30, 2023 consists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9"/>
        <w:gridCol w:w="402"/>
        <w:gridCol w:w="217"/>
        <w:gridCol w:w="1013"/>
        <w:gridCol w:w="155"/>
        <w:gridCol w:w="402"/>
        <w:gridCol w:w="260"/>
        <w:gridCol w:w="1163"/>
        <w:gridCol w:w="155"/>
        <w:gridCol w:w="402"/>
        <w:gridCol w:w="260"/>
        <w:gridCol w:w="1162"/>
        <w:gridCol w:w="162"/>
      </w:tblGrid>
      <w:tr>
        <w:trPr/>
        <w:tc>
          <w:tcPr>
            <w:tcW w:w="281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9"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w:t>
              <w:br/>
              <w:t>2026</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28,</w:t>
              <w:br/>
              <w:t>2024</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30,</w:t>
              <w:br/>
              <w:t>2023</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(2,209</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3,677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8,883</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604</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 provision</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(1,767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4,115</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9,487</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8,542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(3,363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(9,168</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1,231</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(775</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(9,943</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tax expense (benefit)</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(456</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had no foreign operating income or taxes.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 between the statutory federal income tax rate and the effective income tax rate as applied for the year ended January 3, 2026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0"/>
        <w:gridCol w:w="356"/>
        <w:gridCol w:w="140"/>
        <w:gridCol w:w="756"/>
        <w:gridCol w:w="164"/>
        <w:gridCol w:w="356"/>
        <w:gridCol w:w="60"/>
        <w:gridCol w:w="530"/>
        <w:gridCol w:w="363"/>
      </w:tblGrid>
      <w:tr>
        <w:trPr/>
        <w:tc>
          <w:tcPr>
            <w:tcW w:w="503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0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 2026</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(10,224</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21.0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 (1)</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1,581</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(3.2</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(0.0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17,865</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(36.7</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(1,205</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2.5</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(27</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0.1</w:t>
            </w:r>
          </w:p>
        </w:tc>
        <w:tc>
          <w:tcPr>
            <w:tcW w:w="363"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8,006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(16.4</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and local taxes in New York and Texas make up the majority (greater than 50 percent) of this category.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prior to the adoption of ASU 2023-09, the reconciliation between the statutory federal income tax rate and the effective income tax rate as applied for the years ended December 28, 2024 and December 30, 2023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04"/>
        <w:gridCol w:w="233"/>
        <w:gridCol w:w="199"/>
        <w:gridCol w:w="690"/>
        <w:gridCol w:w="277"/>
        <w:gridCol w:w="321"/>
        <w:gridCol w:w="85"/>
        <w:gridCol w:w="630"/>
        <w:gridCol w:w="324"/>
        <w:gridCol w:w="233"/>
        <w:gridCol w:w="174"/>
        <w:gridCol w:w="575"/>
        <w:gridCol w:w="253"/>
        <w:gridCol w:w="302"/>
        <w:gridCol w:w="74"/>
        <w:gridCol w:w="817"/>
        <w:gridCol w:w="397"/>
      </w:tblGrid>
      <w:tr>
        <w:trPr/>
        <w:tc>
          <w:tcPr>
            <w:tcW w:w="3804"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r>
      <w:tr>
        <w:trPr/>
        <w:tc>
          <w:tcPr>
            <w:tcW w:w="380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475</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21.0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19</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21.0</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388</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17.1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(135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(150.0</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qualified transportation fringe benefit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50</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2.2</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55</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61.1</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(149</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(6.6</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(365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(405.6</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Disallowed meals and entertainment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16</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0.8</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17.9</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(12</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(51</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(56.7</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prior year’s return</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32</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1.4</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WOTC wage reduction</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804</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35.5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(456</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(506.7</w:t>
            </w:r>
          </w:p>
        </w:tc>
        <w:tc>
          <w:tcPr>
            <w:tcW w:w="397" w:type="dxa"/>
            <w:tcBorders/>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 components of deferred tax assets (liabilities) as of January 3, 2026 and December 28,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47"/>
        <w:gridCol w:w="451"/>
        <w:gridCol w:w="174"/>
        <w:gridCol w:w="975"/>
        <w:gridCol w:w="155"/>
        <w:gridCol w:w="451"/>
        <w:gridCol w:w="221"/>
        <w:gridCol w:w="1222"/>
        <w:gridCol w:w="159"/>
      </w:tblGrid>
      <w:tr>
        <w:trPr/>
        <w:tc>
          <w:tcPr>
            <w:tcW w:w="3947"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7"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reserves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2,339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3,885</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Depreciation/amortization and basis differences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14,932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12,551</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163(j)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14,754</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730</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6,210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36</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obligation</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7,062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8,806</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50,188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Total 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31,221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(2,396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(1,967</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(4,598</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(3,110</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Lease right of use asset</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(6,368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(8,111</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(13,362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(13,188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17,859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27,632</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If these estimates and related assumptions change in the future, the Company may be required to record additional valuation allowances against its deferred tax assets and its effective tax rate may increase which could result in a material adverse impact on the Company’s Consolidated Balance Sheets and Consolidated Statements of Operations and Comprehensive (Loss) Income. Valuation allowances are applied against certain deferred income tax assets where the Company has assessed that the realization of such assets does not meet the “more likely than not” criteria.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deferred tax assets for disallowed interest carryforwards of $18,967 and $14,754 as of January 3, 2026 and December 28, 2024, respectively. The Company also recorded federal and state net operating loss carryforwards of $6,210 and $0 as of January 3, 2026 and December 28, 2024, respectively. The company believes that it is more likely than not that a portion of its deferred tax assets will not be realized and has recorded a valuation allowance of $18,967 against its disallowed interest carryforward for the period ending January 3, 2026. The company did not record a valuation allowance for the year ending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After evaluating open tax years, the Company has concluded no uncertain tax positions require recognition in the financial statements. This assessment is not expected to change materially in the next 12 months, and no related interest or penalties have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income taxes paid during the year ending January 3, 2026, net of refunds, by jurisdiction.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1"/>
        <w:gridCol w:w="587"/>
        <w:gridCol w:w="226"/>
        <w:gridCol w:w="961"/>
        <w:gridCol w:w="64"/>
      </w:tblGrid>
      <w:tr>
        <w:trPr/>
        <w:tc>
          <w:tcPr>
            <w:tcW w:w="51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4" w:type="dxa"/>
            <w:tcBorders/>
            <w:vAlign w:val="bottom"/>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2,000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132</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taxes paid</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2,200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previously disclosed, prior to the adoption of ASU 2023-09, the Company’s income tax cash payments were $4,645 and $4,044 for the years ending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January 3, 2026 and December 28, 2024, the Company has outstanding letters of credit of $4,941 and $4,981,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January 3, 2026 and December 28, 2024, 82.9% and 82.9%, respectively, of our First Lien was owned by equity shareholders. Cash interest paid on the First Lien attributable to related parties was $27,369, $31,853 and $36,223 for the years ended January 3, 2026, December 28, 2024 and December 30, 2023, respectively, representing 82.9% of total cash interest paid. See Note 11. Additionally, at January 3, 2026 and December 28, 2024, 82.9% and 82.9%, respectively, of the Company’s outstanding warrants are owned by equity shareholders or held by board members and are classified as Other non-current liabilities on the Consolidated Balance Sheets.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for one share of Common Stock at an exercise price of $722.70 per share. The Warrant Agreement contains customary anti-dilution adjustments including, but not limited to, cash dividends, reorganizations, and business combination transactions. All warrants remain outstanding as of January 3, 2026 and December 28, 2024. The fair value of the warrants was $0 and $215 as of January 3, 2026 and December 28, 2024, respectively, and was recorded in Other Non-Current Liabilities. The change in fair value of the warrants is included in Gain on fair value adjustment of warrants in the accompanying Consolidated Statements of Operations and Comprehensive (Loss) Income and was a gain of $215, $711 and $1,738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years ended January 3, 2026, December 28, 2024 and December 30, 2023 except in connection with the impairment of software, the impairment of Tradenames and the impairment of Goodwill. The categorization of the framework to price these assets is within Level 3 due to the subjective nature of unobservable inputs. Refer to Note 2, Note 8 and Note 9 for discussion of the impairment of software, the impairment of Tradenames and the impairment of Goodwill,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Financial</w:t>
      </w:r>
      <w:r>
        <w:rPr>
          <w:rFonts w:ascii="Times New Roman" w:hAnsi="Times New Roman"/>
          <w:sz w:val="20"/>
        </w:rPr>
        <w:t xml:space="preserve"> </w:t>
      </w:r>
      <w:r>
        <w:rPr>
          <w:rFonts w:ascii="Times New Roman" w:hAnsi="Times New Roman"/>
          <w:b/>
          <w:sz w:val="20"/>
        </w:rPr>
        <w:t>Instruments</w:t>
      </w:r>
      <w:r>
        <w:rPr>
          <w:rFonts w:ascii="Times New Roman" w:hAnsi="Times New Roman"/>
          <w:sz w:val="20"/>
        </w:rPr>
        <w:t xml:space="preserve"> </w:t>
      </w:r>
      <w:r>
        <w:rPr>
          <w:rFonts w:ascii="Times New Roman" w:hAnsi="Times New Roman"/>
          <w:b/>
          <w:sz w:val="20"/>
        </w:rPr>
        <w:t>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and liabilities measured at fair value in the accompanying consolidated balance sheets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517"/>
        <w:gridCol w:w="238"/>
        <w:gridCol w:w="437"/>
        <w:gridCol w:w="1196"/>
        <w:gridCol w:w="60"/>
        <w:gridCol w:w="238"/>
        <w:gridCol w:w="457"/>
        <w:gridCol w:w="1251"/>
        <w:gridCol w:w="60"/>
        <w:gridCol w:w="238"/>
        <w:gridCol w:w="510"/>
        <w:gridCol w:w="1391"/>
        <w:gridCol w:w="60"/>
        <w:gridCol w:w="238"/>
        <w:gridCol w:w="385"/>
        <w:gridCol w:w="1044"/>
        <w:gridCol w:w="68"/>
      </w:tblGrid>
      <w:tr>
        <w:trPr/>
        <w:tc>
          <w:tcPr>
            <w:tcW w:w="1517"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517"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Unadjusted</w:t>
              <w:br/>
              <w:t>Quoted Prices in</w:t>
              <w:br/>
              <w:t>Active Markets</w:t>
              <w:br/>
              <w:t>for Identical</w:t>
              <w:br/>
              <w:t>Assets and</w:t>
              <w:br/>
              <w:t>Liabilities</w:t>
              <w:br/>
              <w:t>(Level 1)</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 Inputs</w:t>
              <w:br/>
              <w:t>(Level 2)</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pPr>
            <w:r>
              <w:rPr>
                <w:b/>
              </w:rPr>
              <w:t>Unobservable</w:t>
              <w:br/>
              <w:t>Inputs</w:t>
            </w:r>
            <w:r>
              <w:rPr/>
              <w:br/>
            </w:r>
            <w:r>
              <w:rPr>
                <w:b/>
              </w:rPr>
              <w:t>(Level 3)</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3, 2026</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28, 2024</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215</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20, 2026, the U.S. Supreme Court ruled that certain tariffs imposed by the current administration under the International Emergency Economic Powers Act (“IEEPA”) were unlawful. Following the ruling, the current administration indicated it would discontinue collection of such IEEPA-based duties and announced its intent to impose additional tariffs under other statutory authorities, including newly announced temporary global tariffs in addition to existing non-IEEPA tariffs. The availability, timing, and amount of any potential refunds of previously paid IEEPA-related duties remain uncertain and may depend on further legal, regulatory, and administrative processes. The duration, scope, and rates of existing and newly announced tariff measures, as well as the potential for modifications, suspensions, or additional retaliatory actions, are also uncertain and could affect the Company’s operations, supply chain, and cost structure. The Company is monitoring these developments and assessing their potential impact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reflect management’s evaluation of the subsequent events through April 1, 2026, the date the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8" w:name="fin76201_104"/>
      <w:bookmarkEnd w:id="98"/>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77"/>
        <w:gridCol w:w="221"/>
        <w:gridCol w:w="140"/>
        <w:gridCol w:w="879"/>
        <w:gridCol w:w="164"/>
        <w:gridCol w:w="187"/>
        <w:gridCol w:w="163"/>
        <w:gridCol w:w="1005"/>
        <w:gridCol w:w="169"/>
      </w:tblGrid>
      <w:tr>
        <w:trPr/>
        <w:tc>
          <w:tcPr>
            <w:tcW w:w="7277"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27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pPr>
            <w:r>
              <w:rPr>
                <w:b/>
              </w:rPr>
              <w:t>July 4,</w:t>
            </w:r>
            <w:r>
              <w:rPr/>
              <w:br/>
            </w:r>
            <w:r>
              <w:rPr>
                <w:b/>
              </w:rPr>
              <w:t>2026</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3,194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11,331</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6,531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4,096</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114,818</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117,174</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21,940</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19,476</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146,483</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152,077</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31,514</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31,884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24,675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28,560</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129,836</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131,064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1,303</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495</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14,833</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17,859</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348,644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361,939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w:t>
            </w:r>
          </w:p>
          <w:p>
            <w:pPr>
              <w:pStyle w:val="TableContents"/>
              <w:bidi w:val="0"/>
              <w:spacing w:before="0" w:after="20"/>
              <w:jc w:val="left"/>
              <w:rPr>
                <w:rFonts w:ascii="Times New Roman" w:hAnsi="Times New Roman"/>
                <w:b/>
                <w:sz w:val="20"/>
              </w:rPr>
            </w:pPr>
            <w:r>
              <w:rPr>
                <w:rFonts w:ascii="Times New Roman" w:hAnsi="Times New Roman"/>
                <w:b/>
                <w:sz w:val="20"/>
              </w:rPr>
              <w:t>STOCKHOLDERS’ DEFICIT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49,580</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47,128</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$2,872 and $2,508 to related parties,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40,255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47,961</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7,451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8,104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34,039</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7,000</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131,325</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110,193</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2,945</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3,618</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(includes $203,026 and $203,710 to related parties, respectively)</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245,031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245,857</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20,212</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23,572</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399,513</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383,240</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283"/>
              <w:jc w:val="left"/>
              <w:rPr/>
            </w:pPr>
            <w:r>
              <w:rPr/>
              <w:t>COMMITMENTS AND CONTINGENCIES (See Note 9)</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277" w:type="dxa"/>
            <w:tcBorders/>
          </w:tcPr>
          <w:p>
            <w:pPr>
              <w:pStyle w:val="TableContents"/>
              <w:bidi w:val="0"/>
              <w:spacing w:before="0" w:after="283"/>
              <w:jc w:val="left"/>
              <w:rPr/>
            </w:pPr>
            <w:r>
              <w:rPr/>
              <w:t>CONVERTIBLE PREFERRED STOCK:</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49 shares issued and outstanding at July 4, 2026 and January 3, 2026, respectively)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21,712</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21,712</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885 shares issued and outstanding at July 4, 2026 and January 3, 2026)</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203,614</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203,614</w:t>
            </w:r>
          </w:p>
        </w:tc>
        <w:tc>
          <w:tcPr>
            <w:tcW w:w="169" w:type="dxa"/>
            <w:tcBorders/>
            <w:vAlign w:val="bottom"/>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(276,204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(246,636</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(72,581</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(43,013</w:t>
            </w:r>
          </w:p>
        </w:tc>
        <w:tc>
          <w:tcPr>
            <w:tcW w:w="169" w:type="dxa"/>
            <w:tcBorders/>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348,644</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361,939</w:t>
            </w:r>
          </w:p>
        </w:tc>
        <w:tc>
          <w:tcPr>
            <w:tcW w:w="169" w:type="dxa"/>
            <w:tcBorders/>
            <w:shd w:fill="CCEEFF" w:val="clear"/>
            <w:vAlign w:val="bottom"/>
          </w:tcPr>
          <w:p>
            <w:pPr>
              <w:pStyle w:val="TableContents"/>
              <w:bidi w:val="0"/>
              <w:spacing w:before="0" w:after="283"/>
              <w:jc w:val="left"/>
              <w:rPr/>
            </w:pPr>
            <w:r>
              <w:rPr/>
              <w:t> </w:t>
            </w:r>
          </w:p>
        </w:tc>
      </w:tr>
      <w:tr>
        <w:trPr/>
        <w:tc>
          <w:tcPr>
            <w:tcW w:w="7277"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9" w:name="fin76201_105"/>
      <w:bookmarkEnd w:id="99"/>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7"/>
        <w:gridCol w:w="196"/>
        <w:gridCol w:w="140"/>
        <w:gridCol w:w="806"/>
        <w:gridCol w:w="155"/>
        <w:gridCol w:w="152"/>
        <w:gridCol w:w="140"/>
        <w:gridCol w:w="806"/>
        <w:gridCol w:w="60"/>
        <w:gridCol w:w="196"/>
        <w:gridCol w:w="177"/>
        <w:gridCol w:w="1019"/>
        <w:gridCol w:w="198"/>
        <w:gridCol w:w="164"/>
        <w:gridCol w:w="177"/>
        <w:gridCol w:w="1022"/>
        <w:gridCol w:w="160"/>
      </w:tblGrid>
      <w:tr>
        <w:trPr/>
        <w:tc>
          <w:tcPr>
            <w:tcW w:w="463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3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Thirteen Weeks Ended</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7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Twenty-Six Weeks Ended</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 xml:space="preserve">2025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2025</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160,575</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191,098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311,749</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360,580</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59,446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72,589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121,676</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138,234</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101,129</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118,509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190,073</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222,346</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89,280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103,470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184,833</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206,979</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2,993</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3,378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6,146</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6,750</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580</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2,283</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23</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5,857</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8,276</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11,641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(3,189</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2,737</w:t>
            </w:r>
          </w:p>
        </w:tc>
        <w:tc>
          <w:tcPr>
            <w:tcW w:w="160" w:type="dxa"/>
            <w:tcBorders/>
            <w:vAlign w:val="bottom"/>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$8,393, $7,582, $17,308 and $15,545 to related parties, respectively</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10,967</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9,420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22,299</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19,145</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(2,691</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2,221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(25,488</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(16,408</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438</w:t>
            </w:r>
          </w:p>
        </w:tc>
        <w:tc>
          <w:tcPr>
            <w:tcW w:w="15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285</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4,147</w:t>
            </w:r>
          </w:p>
        </w:tc>
        <w:tc>
          <w:tcPr>
            <w:tcW w:w="19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(2,107</w:t>
            </w:r>
          </w:p>
        </w:tc>
        <w:tc>
          <w:tcPr>
            <w:tcW w:w="160" w:type="dxa"/>
            <w:tcBorders/>
            <w:shd w:fill="CCEEFF" w:val="clear"/>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37"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(3,129</w:t>
            </w:r>
          </w:p>
        </w:tc>
        <w:tc>
          <w:tcPr>
            <w:tcW w:w="15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1,936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(29,635</w:t>
            </w:r>
          </w:p>
        </w:tc>
        <w:tc>
          <w:tcPr>
            <w:tcW w:w="19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(14,301</w:t>
            </w:r>
          </w:p>
        </w:tc>
        <w:tc>
          <w:tcPr>
            <w:tcW w:w="160" w:type="dxa"/>
            <w:tcBorders/>
            <w:vAlign w:val="bottom"/>
          </w:tcPr>
          <w:p>
            <w:pPr>
              <w:pStyle w:val="TableContents"/>
              <w:bidi w:val="0"/>
              <w:spacing w:before="0" w:after="283"/>
              <w:jc w:val="left"/>
              <w:rPr/>
            </w:pPr>
            <w:r>
              <w:rPr/>
              <w:t>) </w:t>
            </w:r>
          </w:p>
        </w:tc>
      </w:tr>
      <w:tr>
        <w:trPr/>
        <w:tc>
          <w:tcPr>
            <w:tcW w:w="4637"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98"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0" w:name="fin76201_106"/>
      <w:bookmarkEnd w:id="100"/>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66"/>
        <w:gridCol w:w="143"/>
        <w:gridCol w:w="133"/>
        <w:gridCol w:w="582"/>
        <w:gridCol w:w="60"/>
        <w:gridCol w:w="71"/>
        <w:gridCol w:w="140"/>
        <w:gridCol w:w="949"/>
        <w:gridCol w:w="71"/>
        <w:gridCol w:w="160"/>
        <w:gridCol w:w="68"/>
        <w:gridCol w:w="642"/>
        <w:gridCol w:w="60"/>
        <w:gridCol w:w="142"/>
        <w:gridCol w:w="190"/>
        <w:gridCol w:w="686"/>
        <w:gridCol w:w="60"/>
        <w:gridCol w:w="143"/>
        <w:gridCol w:w="140"/>
        <w:gridCol w:w="1060"/>
        <w:gridCol w:w="60"/>
        <w:gridCol w:w="143"/>
        <w:gridCol w:w="140"/>
        <w:gridCol w:w="1129"/>
        <w:gridCol w:w="155"/>
        <w:gridCol w:w="88"/>
        <w:gridCol w:w="140"/>
        <w:gridCol w:w="1018"/>
        <w:gridCol w:w="166"/>
      </w:tblGrid>
      <w:tr>
        <w:trPr/>
        <w:tc>
          <w:tcPr>
            <w:tcW w:w="166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w:t>
              <w:b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6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6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Amount</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3" w:type="dxa"/>
            <w:vMerge w:val="continue"/>
            <w:tcBorders/>
            <w:vAlign w:val="bottom"/>
          </w:tcPr>
          <w:p>
            <w:pPr>
              <w:pStyle w:val="Normal"/>
              <w:bidi w:val="0"/>
              <w:jc w:val="left"/>
              <w:rPr/>
            </w:pPr>
            <w:r>
              <w:rPr/>
            </w:r>
          </w:p>
        </w:tc>
        <w:tc>
          <w:tcPr>
            <w:tcW w:w="12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3" w:type="dxa"/>
            <w:vMerge w:val="continue"/>
            <w:tcBorders/>
            <w:vAlign w:val="bottom"/>
          </w:tcPr>
          <w:p>
            <w:pPr>
              <w:pStyle w:val="Normal"/>
              <w:bidi w:val="0"/>
              <w:jc w:val="left"/>
              <w:rPr/>
            </w:pPr>
            <w:r>
              <w:rPr/>
            </w:r>
          </w:p>
        </w:tc>
        <w:tc>
          <w:tcPr>
            <w:tcW w:w="126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21,712</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203,614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(246,636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(43,013</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30</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(26,506</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(26,506</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BALANCE—April 4, 2026</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21,712</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885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203,614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(273,112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(69,489</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37</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(3,129</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(3,129</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BALANCE—July 4, 2026</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r>
              <w:rPr/>
              <w:t>21,712</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r>
              <w:rPr/>
              <w:t>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 </w:t>
            </w:r>
            <w:r>
              <w:rPr/>
              <w:t>203,614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 </w:t>
            </w:r>
            <w:r>
              <w:rPr/>
              <w:t>(276,204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 </w:t>
            </w:r>
            <w:r>
              <w:rPr/>
              <w:t>(72,581</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rHeight w:val="240" w:hRule="atLeast"/>
        </w:trPr>
        <w:tc>
          <w:tcPr>
            <w:tcW w:w="1666" w:type="dxa"/>
            <w:tcBorders/>
            <w:vAlign w:val="center"/>
          </w:tcPr>
          <w:p>
            <w:pPr>
              <w:pStyle w:val="TableContents"/>
              <w:bidi w:val="0"/>
              <w:spacing w:before="0" w:after="283"/>
              <w:jc w:val="left"/>
              <w:rPr>
                <w:sz w:val="4"/>
                <w:szCs w:val="4"/>
              </w:rPr>
            </w:pPr>
            <w:r>
              <w:rPr>
                <w:sz w:val="4"/>
                <w:szCs w:val="4"/>
              </w:rPr>
            </w:r>
          </w:p>
        </w:tc>
        <w:tc>
          <w:tcPr>
            <w:tcW w:w="918" w:type="dxa"/>
            <w:gridSpan w:val="4"/>
            <w:tcBorders/>
            <w:vAlign w:val="center"/>
          </w:tcPr>
          <w:p>
            <w:pPr>
              <w:pStyle w:val="TableContents"/>
              <w:bidi w:val="0"/>
              <w:spacing w:before="0" w:after="283"/>
              <w:jc w:val="left"/>
              <w:rPr>
                <w:sz w:val="4"/>
                <w:szCs w:val="4"/>
              </w:rPr>
            </w:pPr>
            <w:r>
              <w:rPr>
                <w:sz w:val="4"/>
                <w:szCs w:val="4"/>
              </w:rPr>
            </w:r>
          </w:p>
        </w:tc>
        <w:tc>
          <w:tcPr>
            <w:tcW w:w="1231" w:type="dxa"/>
            <w:gridSpan w:val="4"/>
            <w:tcBorders/>
            <w:vAlign w:val="center"/>
          </w:tcPr>
          <w:p>
            <w:pPr>
              <w:pStyle w:val="TableContents"/>
              <w:bidi w:val="0"/>
              <w:spacing w:before="0" w:after="283"/>
              <w:jc w:val="left"/>
              <w:rPr>
                <w:sz w:val="4"/>
                <w:szCs w:val="4"/>
              </w:rPr>
            </w:pPr>
            <w:r>
              <w:rPr>
                <w:sz w:val="4"/>
                <w:szCs w:val="4"/>
              </w:rPr>
            </w:r>
          </w:p>
        </w:tc>
        <w:tc>
          <w:tcPr>
            <w:tcW w:w="930" w:type="dxa"/>
            <w:gridSpan w:val="4"/>
            <w:tcBorders/>
            <w:vAlign w:val="center"/>
          </w:tcPr>
          <w:p>
            <w:pPr>
              <w:pStyle w:val="TableContents"/>
              <w:bidi w:val="0"/>
              <w:spacing w:before="0" w:after="283"/>
              <w:jc w:val="left"/>
              <w:rPr>
                <w:sz w:val="4"/>
                <w:szCs w:val="4"/>
              </w:rPr>
            </w:pPr>
            <w:r>
              <w:rPr>
                <w:sz w:val="4"/>
                <w:szCs w:val="4"/>
              </w:rPr>
            </w:r>
          </w:p>
        </w:tc>
        <w:tc>
          <w:tcPr>
            <w:tcW w:w="1078" w:type="dxa"/>
            <w:gridSpan w:val="4"/>
            <w:tcBorders/>
            <w:vAlign w:val="center"/>
          </w:tcPr>
          <w:p>
            <w:pPr>
              <w:pStyle w:val="TableContents"/>
              <w:bidi w:val="0"/>
              <w:spacing w:before="0" w:after="283"/>
              <w:jc w:val="left"/>
              <w:rPr>
                <w:sz w:val="4"/>
                <w:szCs w:val="4"/>
              </w:rPr>
            </w:pPr>
            <w:r>
              <w:rPr>
                <w:sz w:val="4"/>
                <w:szCs w:val="4"/>
              </w:rPr>
            </w:r>
          </w:p>
        </w:tc>
        <w:tc>
          <w:tcPr>
            <w:tcW w:w="1403" w:type="dxa"/>
            <w:gridSpan w:val="4"/>
            <w:tcBorders/>
            <w:vAlign w:val="center"/>
          </w:tcPr>
          <w:p>
            <w:pPr>
              <w:pStyle w:val="TableContents"/>
              <w:bidi w:val="0"/>
              <w:spacing w:before="0" w:after="283"/>
              <w:jc w:val="left"/>
              <w:rPr>
                <w:sz w:val="4"/>
                <w:szCs w:val="4"/>
              </w:rPr>
            </w:pPr>
            <w:r>
              <w:rPr>
                <w:sz w:val="4"/>
                <w:szCs w:val="4"/>
              </w:rPr>
            </w:r>
          </w:p>
        </w:tc>
        <w:tc>
          <w:tcPr>
            <w:tcW w:w="1567" w:type="dxa"/>
            <w:gridSpan w:val="4"/>
            <w:tcBorders/>
            <w:vAlign w:val="center"/>
          </w:tcPr>
          <w:p>
            <w:pPr>
              <w:pStyle w:val="TableContents"/>
              <w:bidi w:val="0"/>
              <w:spacing w:before="0" w:after="283"/>
              <w:jc w:val="left"/>
              <w:rPr>
                <w:sz w:val="4"/>
                <w:szCs w:val="4"/>
              </w:rPr>
            </w:pPr>
            <w:r>
              <w:rPr>
                <w:sz w:val="4"/>
                <w:szCs w:val="4"/>
              </w:rPr>
            </w:r>
          </w:p>
        </w:tc>
        <w:tc>
          <w:tcPr>
            <w:tcW w:w="1412" w:type="dxa"/>
            <w:gridSpan w:val="4"/>
            <w:tcBorders/>
            <w:vAlign w:val="center"/>
          </w:tcPr>
          <w:p>
            <w:pPr>
              <w:pStyle w:val="TableContents"/>
              <w:bidi w:val="0"/>
              <w:spacing w:before="0" w:after="283"/>
              <w:jc w:val="left"/>
              <w:rPr>
                <w:sz w:val="4"/>
                <w:szCs w:val="4"/>
              </w:rPr>
            </w:pPr>
            <w:r>
              <w:rPr>
                <w:sz w:val="4"/>
                <w:szCs w:val="4"/>
              </w:rPr>
            </w:r>
          </w:p>
        </w:tc>
      </w:tr>
      <w:tr>
        <w:trPr/>
        <w:tc>
          <w:tcPr>
            <w:tcW w:w="1666"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06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00"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b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43" w:type="dxa"/>
            <w:vMerge w:val="restart"/>
            <w:tcBorders/>
            <w:vAlign w:val="bottom"/>
          </w:tcPr>
          <w:p>
            <w:pPr>
              <w:pStyle w:val="TableContents"/>
              <w:bidi w:val="0"/>
              <w:spacing w:before="0" w:after="283"/>
              <w:jc w:val="left"/>
              <w:rPr/>
            </w:pPr>
            <w:r>
              <w:rPr/>
              <w:t>  </w:t>
            </w:r>
          </w:p>
        </w:tc>
        <w:tc>
          <w:tcPr>
            <w:tcW w:w="1269"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Amount</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3" w:type="dxa"/>
            <w:vMerge w:val="continue"/>
            <w:tcBorders/>
            <w:vAlign w:val="bottom"/>
          </w:tcPr>
          <w:p>
            <w:pPr>
              <w:pStyle w:val="Normal"/>
              <w:bidi w:val="0"/>
              <w:jc w:val="left"/>
              <w:rPr/>
            </w:pPr>
            <w:r>
              <w:rPr/>
            </w:r>
          </w:p>
        </w:tc>
        <w:tc>
          <w:tcPr>
            <w:tcW w:w="120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3" w:type="dxa"/>
            <w:vMerge w:val="continue"/>
            <w:tcBorders/>
            <w:vAlign w:val="bottom"/>
          </w:tcPr>
          <w:p>
            <w:pPr>
              <w:pStyle w:val="Normal"/>
              <w:bidi w:val="0"/>
              <w:jc w:val="left"/>
              <w:rPr/>
            </w:pPr>
            <w:r>
              <w:rPr/>
            </w:r>
          </w:p>
        </w:tc>
        <w:tc>
          <w:tcPr>
            <w:tcW w:w="1269"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88" w:type="dxa"/>
            <w:tcBorders/>
            <w:vAlign w:val="bottom"/>
          </w:tcPr>
          <w:p>
            <w:pPr>
              <w:pStyle w:val="TableContents"/>
              <w:bidi w:val="0"/>
              <w:spacing w:before="0" w:after="283"/>
              <w:jc w:val="left"/>
              <w:rPr/>
            </w:pPr>
            <w:r>
              <w:rPr/>
              <w:t> </w:t>
            </w:r>
          </w:p>
        </w:tc>
        <w:tc>
          <w:tcPr>
            <w:tcW w:w="1158" w:type="dxa"/>
            <w:gridSpan w:val="2"/>
            <w:tcBorders/>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31,205</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194,120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(189,542</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4,588</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(243</w:t>
            </w:r>
          </w:p>
        </w:tc>
        <w:tc>
          <w:tcPr>
            <w:tcW w:w="166" w:type="dxa"/>
            <w:tcBorders/>
            <w:vAlign w:val="bottom"/>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(16,237</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(16,237</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BALANCE—March 29, 2025</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31,205</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1,174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6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194,120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9" w:type="dxa"/>
            <w:tcBorders/>
            <w:vAlign w:val="bottom"/>
          </w:tcPr>
          <w:p>
            <w:pPr>
              <w:pStyle w:val="TableContents"/>
              <w:bidi w:val="0"/>
              <w:spacing w:before="0" w:after="283"/>
              <w:jc w:val="right"/>
              <w:rPr/>
            </w:pPr>
            <w:r>
              <w:rPr/>
              <w:t>(206,022</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(11,892</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5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(244</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1,936</w:t>
            </w:r>
          </w:p>
        </w:tc>
        <w:tc>
          <w:tcPr>
            <w:tcW w:w="155"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1,936</w:t>
            </w:r>
          </w:p>
        </w:tc>
        <w:tc>
          <w:tcPr>
            <w:tcW w:w="166" w:type="dxa"/>
            <w:tcBorders/>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5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BALANCE—June 28, 2025</w:t>
            </w:r>
          </w:p>
        </w:tc>
        <w:tc>
          <w:tcPr>
            <w:tcW w:w="143"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 </w:t>
            </w:r>
            <w:r>
              <w:rPr/>
              <w:t>31,205</w:t>
            </w:r>
          </w:p>
        </w:tc>
        <w:tc>
          <w:tcPr>
            <w:tcW w:w="71"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686" w:type="dxa"/>
            <w:tcBorders/>
            <w:shd w:fill="CCEEFF" w:val="clear"/>
            <w:vAlign w:val="bottom"/>
          </w:tcPr>
          <w:p>
            <w:pPr>
              <w:pStyle w:val="TableContents"/>
              <w:bidi w:val="0"/>
              <w:spacing w:before="0" w:after="283"/>
              <w:jc w:val="right"/>
              <w:rPr/>
            </w:pPr>
            <w:r>
              <w:rPr/>
              <w:t> </w:t>
            </w:r>
            <w:r>
              <w:rPr/>
              <w:t>10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 </w:t>
            </w:r>
            <w:r>
              <w:rPr/>
              <w:t>194,120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9" w:type="dxa"/>
            <w:tcBorders/>
            <w:shd w:fill="CCEEFF" w:val="clear"/>
            <w:vAlign w:val="bottom"/>
          </w:tcPr>
          <w:p>
            <w:pPr>
              <w:pStyle w:val="TableContents"/>
              <w:bidi w:val="0"/>
              <w:spacing w:before="0" w:after="283"/>
              <w:jc w:val="right"/>
              <w:rPr/>
            </w:pPr>
            <w:r>
              <w:rPr/>
              <w:t> </w:t>
            </w:r>
            <w:r>
              <w:rPr/>
              <w:t>(204,330</w:t>
            </w:r>
          </w:p>
        </w:tc>
        <w:tc>
          <w:tcPr>
            <w:tcW w:w="155"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8" w:type="dxa"/>
            <w:tcBorders/>
            <w:shd w:fill="CCEEFF" w:val="clear"/>
            <w:vAlign w:val="bottom"/>
          </w:tcPr>
          <w:p>
            <w:pPr>
              <w:pStyle w:val="TableContents"/>
              <w:bidi w:val="0"/>
              <w:spacing w:before="0" w:after="283"/>
              <w:jc w:val="right"/>
              <w:rPr/>
            </w:pPr>
            <w:r>
              <w:rPr/>
              <w:t> </w:t>
            </w:r>
            <w:r>
              <w:rPr/>
              <w:t>(10,200</w:t>
            </w:r>
          </w:p>
        </w:tc>
        <w:tc>
          <w:tcPr>
            <w:tcW w:w="166" w:type="dxa"/>
            <w:tcBorders/>
            <w:shd w:fill="CCEEFF" w:val="clear"/>
            <w:vAlign w:val="bottom"/>
          </w:tcPr>
          <w:p>
            <w:pPr>
              <w:pStyle w:val="TableContents"/>
              <w:bidi w:val="0"/>
              <w:spacing w:before="0" w:after="283"/>
              <w:jc w:val="left"/>
              <w:rPr/>
            </w:pPr>
            <w:r>
              <w:rPr/>
              <w:t>) </w:t>
            </w:r>
          </w:p>
        </w:tc>
      </w:tr>
      <w:tr>
        <w:trPr/>
        <w:tc>
          <w:tcPr>
            <w:tcW w:w="166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5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71" w:type="dxa"/>
            <w:tcBorders>
              <w:right w:val="single" w:sz="2" w:space="0" w:color="000000"/>
            </w:tcBorders>
            <w:tcMar>
              <w:right w:w="28" w:type="dxa"/>
            </w:tcMar>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6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1" w:name="fin76201_107"/>
      <w:bookmarkEnd w:id="101"/>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5"/>
        <w:gridCol w:w="300"/>
        <w:gridCol w:w="175"/>
        <w:gridCol w:w="1100"/>
        <w:gridCol w:w="203"/>
        <w:gridCol w:w="123"/>
        <w:gridCol w:w="175"/>
        <w:gridCol w:w="1000"/>
        <w:gridCol w:w="254"/>
      </w:tblGrid>
      <w:tr>
        <w:trPr/>
        <w:tc>
          <w:tcPr>
            <w:tcW w:w="6875"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Twenty-Six Weeks Ended</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75" w:type="dxa"/>
            <w:gridSpan w:val="2"/>
            <w:tcBorders>
              <w:bottom w:val="single" w:sz="8" w:space="0" w:color="000000"/>
            </w:tcBorders>
            <w:tcMar>
              <w:bottom w:w="28" w:type="dxa"/>
            </w:tcMar>
            <w:vAlign w:val="bottom"/>
          </w:tcPr>
          <w:p>
            <w:pPr>
              <w:pStyle w:val="TableContents"/>
              <w:bidi w:val="0"/>
              <w:spacing w:before="0" w:after="283"/>
              <w:jc w:val="center"/>
              <w:rPr/>
            </w:pPr>
            <w:r>
              <w:rPr>
                <w:b/>
              </w:rPr>
              <w:t>July 4,</w:t>
            </w:r>
            <w:r>
              <w:rPr/>
              <w:br/>
            </w:r>
            <w:r>
              <w:rPr>
                <w:b/>
              </w:rPr>
              <w:t>2026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June 28,</w:t>
            </w:r>
            <w:r>
              <w:rPr/>
              <w:br/>
            </w:r>
            <w:r>
              <w:rPr>
                <w:b/>
              </w:rPr>
              <w:t>2025</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(29,635</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(14,301</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6,146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6,750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right-of-use assets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3,885</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4,138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5,857</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 of valuation allowance</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3,026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(2,608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issue costs (includes $2,216 and $2,014 to related parties, respectively)</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2,792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2,549</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working capital:</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(2,435</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935</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2,356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8,581</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2,016</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(2,756</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$364 and ($372) to related parties, respectively)</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(7,706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(11,220</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(4,013</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(4,142</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(3,996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(2,711</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(27,564</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(8,928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(4,112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(4,408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(4,112</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(4,408</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borrowings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123,967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debt (includes $2,900 and $2,900 to related parties, respectively)</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(100,428</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(3,500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(487</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23,539</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(3,987</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rHeight w:val="60" w:hRule="atLeast"/>
        </w:trPr>
        <w:tc>
          <w:tcPr>
            <w:tcW w:w="6875"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CASH AND CASH EQUIVALENTS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(8,137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(17,323</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period</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11,331</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38,308</w:t>
            </w:r>
          </w:p>
        </w:tc>
        <w:tc>
          <w:tcPr>
            <w:tcW w:w="254" w:type="dxa"/>
            <w:tcBorders/>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 End of period</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3,194</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20,985</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r>
      <w:tr>
        <w:trPr>
          <w:trHeight w:val="60" w:hRule="atLeast"/>
        </w:trPr>
        <w:tc>
          <w:tcPr>
            <w:tcW w:w="6875"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552" w:type="dxa"/>
            <w:gridSpan w:val="4"/>
            <w:tcBorders/>
            <w:vAlign w:val="center"/>
          </w:tcPr>
          <w:p>
            <w:pPr>
              <w:pStyle w:val="TableContents"/>
              <w:bidi w:val="0"/>
              <w:spacing w:before="0" w:after="283"/>
              <w:jc w:val="left"/>
              <w:rPr>
                <w:sz w:val="4"/>
                <w:szCs w:val="4"/>
              </w:rPr>
            </w:pPr>
            <w:r>
              <w:rPr>
                <w:sz w:val="4"/>
                <w:szCs w:val="4"/>
              </w:rPr>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18,677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16,784</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222</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2,230</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 in accounts payable</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436</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117</w:t>
            </w:r>
          </w:p>
        </w:tc>
        <w:tc>
          <w:tcPr>
            <w:tcW w:w="254" w:type="dxa"/>
            <w:tcBorders/>
            <w:shd w:fill="CCEEFF" w:val="clear"/>
            <w:vAlign w:val="bottom"/>
          </w:tcPr>
          <w:p>
            <w:pPr>
              <w:pStyle w:val="TableContents"/>
              <w:bidi w:val="0"/>
              <w:spacing w:before="0" w:after="283"/>
              <w:jc w:val="left"/>
              <w:rPr/>
            </w:pPr>
            <w:r>
              <w:rPr/>
              <w:t> </w:t>
            </w:r>
          </w:p>
        </w:tc>
      </w:tr>
      <w:tr>
        <w:trPr/>
        <w:tc>
          <w:tcPr>
            <w:tcW w:w="6875" w:type="dxa"/>
            <w:tcBorders/>
          </w:tcPr>
          <w:p>
            <w:pPr>
              <w:pStyle w:val="TableContents"/>
              <w:bidi w:val="0"/>
              <w:spacing w:before="0" w:after="0"/>
              <w:jc w:val="left"/>
              <w:rPr>
                <w:rFonts w:ascii="Times New Roman" w:hAnsi="Times New Roman"/>
                <w:sz w:val="20"/>
              </w:rPr>
            </w:pPr>
            <w:r>
              <w:rPr>
                <w:rFonts w:ascii="Times New Roman" w:hAnsi="Times New Roman"/>
                <w:sz w:val="20"/>
              </w:rPr>
              <w:t>Non-cash dividend payable</w:t>
            </w:r>
          </w:p>
        </w:tc>
        <w:tc>
          <w:tcPr>
            <w:tcW w:w="30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939</w:t>
            </w:r>
          </w:p>
        </w:tc>
        <w:tc>
          <w:tcPr>
            <w:tcW w:w="20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1,334</w:t>
            </w:r>
          </w:p>
        </w:tc>
        <w:tc>
          <w:tcPr>
            <w:tcW w:w="254" w:type="dxa"/>
            <w:tcBorders/>
            <w:vAlign w:val="bottom"/>
          </w:tcPr>
          <w:p>
            <w:pPr>
              <w:pStyle w:val="TableContents"/>
              <w:bidi w:val="0"/>
              <w:spacing w:before="0" w:after="283"/>
              <w:jc w:val="left"/>
              <w:rPr/>
            </w:pPr>
            <w:r>
              <w:rPr/>
              <w:t> </w:t>
            </w:r>
          </w:p>
        </w:tc>
      </w:tr>
      <w:tr>
        <w:trPr/>
        <w:tc>
          <w:tcPr>
            <w:tcW w:w="68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dividend forfeitures</w:t>
            </w:r>
          </w:p>
        </w:tc>
        <w:tc>
          <w:tcPr>
            <w:tcW w:w="30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67</w:t>
            </w:r>
          </w:p>
        </w:tc>
        <w:tc>
          <w:tcPr>
            <w:tcW w:w="20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02" w:name="fin76201_108"/>
            <w:bookmarkEnd w:id="102"/>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In the opinion of management of the Company, the information reflects all adjustments, consisting of normal recurring adjustments, which are necessary for a fair statement of the interim periods presented. The preparation of condensed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Company’s business has historically been seasonal in nature, and the results of the interim periods presented are not necessarily indicative of the results to be expected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These condensed consolidated financial statements do not include all disclosures associated with annual financial statements and, accordingly, should be read in conjunction with the notes to the Company’s audited Consolidated Financial Statements for the fiscal year ended January 3, 2026.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Note 2). The Company received a covenant waiver from its First Lien lenders that remains effective through the earlier of (i) consummation of the merger with DXL or (ii) termination of the merger agreement (but no later than October 30,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Additionally, as disclosed in Note 6, the Company has $27,039 of borrowings outstanding on the senior secured asset-based revolving credit facility (the “ABL Facility”) and has $258,750 of borrowings outstanding on the First Lien as of July 4, 2026 which are scheduled to mature in May 2027 and August 2027, respectively. The Company does not expect to have sufficient liquidity to repay the outstanding balance of the First Lien or ABL Facility.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$107 million of First Lien indebtedness through committed equity contributions and debt-to-equity conversions by certain First Lien debtholders and members of management, and (ii) an extension of the remaining term loan maturity to August 2029. Additionally, in connection with the Merger, the Company and DXL have entered into a commitment agreement with Bank of America, N.A., providing a $150 million ABL Facility that matures in May 2029. Following the anticipated deleveraging, management expects the combined company to be in compliance with its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covenants and to have sufficient liquidity to support operations for at least twelve months following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management plans to renegotiate with current lenders regarding the recapitalization provisions in which lenders may convert outstanding indebtedness into equity and to extend the maturity date of the First Lien to August 2029 which in turn extends the ABL Facility maturity date to the earliest of December 2027 or 91 days prior to the expiration of the First Lien. </w:t>
      </w:r>
    </w:p>
    <w:p>
      <w:pPr>
        <w:pStyle w:val="TextBody"/>
        <w:bidi w:val="0"/>
        <w:spacing w:before="240" w:after="0"/>
        <w:jc w:val="left"/>
        <w:rPr>
          <w:rFonts w:ascii="Times New Roman" w:hAnsi="Times New Roman"/>
          <w:sz w:val="20"/>
        </w:rPr>
      </w:pPr>
      <w:r>
        <w:rPr>
          <w:rFonts w:ascii="Times New Roman" w:hAnsi="Times New Roman"/>
          <w:sz w:val="20"/>
        </w:rPr>
        <w:t xml:space="preserve">Because completion of the merger, any potential lender recapitalization, and extension of the ABL Facility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condensed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References to the fiscal quarters ended July 4, 2026 and June 28, 2025 refer to the thirteen week and twenty-six week periods ended on those dates. </w:t>
      </w:r>
    </w:p>
    <w:p>
      <w:pPr>
        <w:pStyle w:val="TextBody"/>
        <w:bidi w:val="0"/>
        <w:spacing w:before="240" w:after="0"/>
        <w:jc w:val="left"/>
        <w:rPr>
          <w:rFonts w:ascii="Times New Roman" w:hAnsi="Times New Roman"/>
          <w:sz w:val="20"/>
        </w:rPr>
      </w:pPr>
      <w:r>
        <w:rPr>
          <w:rFonts w:ascii="Times New Roman" w:hAnsi="Times New Roman"/>
          <w:b/>
          <w:sz w:val="20"/>
        </w:rPr>
        <w:t>Changes in Laws and Regulations</w:t>
      </w:r>
      <w:r>
        <w:rPr>
          <w:rFonts w:ascii="Times New Roman" w:hAnsi="Times New Roman"/>
          <w:sz w:val="20"/>
        </w:rPr>
        <w:t xml:space="preserve">—On February 20, 2026, the U.S. Supreme Court ruled that U.S. tariffs imposed under the International Emergency Economic Powers Act (“IEEPA”) on goods imported into the U.S. were unauthorized. During the second quarter of fiscal 2026, the Company deemed recovery of those tariffs to be probable. Accordingly, the Company recognized a benefit of $5,254 in Cost of sales within the Condensed Consolidated Statements of Operations and Comprehensive (Loss) Income for the recovery of IEEPA tariffs paid, largely offsetting the impact of the IEEPA tariffs recognized during fiscal 2025. As of July 4, 2026, the Company received $2,757 of the accepted claims and recorded $2,497 of the outstanding IEEPA tariff receivable reflected in Other current assets on the Company’s Condensed Consolidated Balance Sheets. Subsequent to July 4, 2026, the Company received an additional $972 IEEPA tariff refund receivable.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Our significant accounting policies are detailed in </w:t>
      </w:r>
      <w:r>
        <w:rPr>
          <w:rFonts w:ascii="Times New Roman" w:hAnsi="Times New Roman"/>
          <w:i/>
          <w:sz w:val="20"/>
        </w:rPr>
        <w:t xml:space="preserve">Note 2. Summary of Significant Accounting Policies </w:t>
      </w:r>
      <w:r>
        <w:rPr>
          <w:rFonts w:ascii="Times New Roman" w:hAnsi="Times New Roman"/>
          <w:sz w:val="20"/>
        </w:rPr>
        <w:t xml:space="preserve">of the Audited Consolidated Financial Statements for the year ended January 3, 2026. There have been no significant changes to these policies that have had a material impact on the Unaudited Condensed Consolidated Financial Statements and the accompanying disclosure notes for the twenty-six weeks ended July 4, 2026.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On December 11, 2025, Divine Merger Sub I, Inc., a Delaware corporation and wholly owned direct subsidiary of Destination XL Group, Inc. (“DXL”), and the Company, entered into an Agreement and Plan of Merger (the “Merger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$107,000 in exchange for DXL Common Stock. Additionally, all outstanding preferred stock of the Company will be converted to DXL Common Stock. In connection with the Merger, the Company and DXL have entered into a commitment agreement with Bank of America, N.A., providing a $150 million ABL, including a $50 million accordion and $20 million sub-limit for letters of credit (the “New ABL”), bearing an interest rate of SOFR plus 1.25 percent to 1.50 percent.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prior to the October 30, 2026 expiration, is subject to customary closing conditions, including approval by DXL stockholders. Costs incurred in connection with this Merger, primarily related to professional service fees, of $580 and $20, were included in Transaction-related expenses on the Condensed Consolidated Statements of Operations and Comprehensive (Loss) Income for the thirteen weeks ended July 4, 2026 and June 28, 2025, respectively. Costs incurred in connection with this Merger, primarily related to professional service fees, of $2,283 and $23, were included in Transaction-related expenses on the Condensed Consolidated Statements of Operations and Comprehensive (Loss) Income for the twenty-six weeks ended July 4, 2026 and June 28, 2025,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4"/>
        <w:gridCol w:w="371"/>
        <w:gridCol w:w="156"/>
        <w:gridCol w:w="769"/>
        <w:gridCol w:w="60"/>
        <w:gridCol w:w="371"/>
        <w:gridCol w:w="192"/>
        <w:gridCol w:w="1058"/>
        <w:gridCol w:w="64"/>
      </w:tblGrid>
      <w:tr>
        <w:trPr/>
        <w:tc>
          <w:tcPr>
            <w:tcW w:w="4714"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14"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4" w:type="dxa"/>
            <w:tcBorders/>
            <w:vAlign w:val="bottom"/>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37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769" w:type="dxa"/>
            <w:tcBorders/>
            <w:shd w:fill="CCEEFF" w:val="clear"/>
            <w:vAlign w:val="bottom"/>
          </w:tcPr>
          <w:p>
            <w:pPr>
              <w:pStyle w:val="TableContents"/>
              <w:bidi w:val="0"/>
              <w:spacing w:before="0" w:after="283"/>
              <w:jc w:val="right"/>
              <w:rPr/>
            </w:pPr>
            <w:r>
              <w:rPr/>
              <w:t> </w:t>
            </w:r>
            <w:r>
              <w:rPr/>
              <w:t>3,841</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 </w:t>
            </w:r>
            <w:r>
              <w:rPr/>
              <w:t>3,477</w:t>
            </w:r>
          </w:p>
        </w:tc>
        <w:tc>
          <w:tcPr>
            <w:tcW w:w="64" w:type="dxa"/>
            <w:tcBorders/>
            <w:shd w:fill="CCEEFF" w:val="clear"/>
            <w:vAlign w:val="bottom"/>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37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2,458</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2,708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for the thirteen weeks ended July 4, 2026 and June 28, 2025,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56"/>
        <w:gridCol w:w="377"/>
        <w:gridCol w:w="145"/>
        <w:gridCol w:w="718"/>
        <w:gridCol w:w="60"/>
        <w:gridCol w:w="377"/>
        <w:gridCol w:w="151"/>
        <w:gridCol w:w="807"/>
        <w:gridCol w:w="64"/>
      </w:tblGrid>
      <w:tr>
        <w:trPr/>
        <w:tc>
          <w:tcPr>
            <w:tcW w:w="5056"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64" w:type="dxa"/>
            <w:tcBorders/>
            <w:vAlign w:val="bottom"/>
          </w:tcPr>
          <w:p>
            <w:pPr>
              <w:pStyle w:val="TableContents"/>
              <w:bidi w:val="0"/>
              <w:spacing w:before="0" w:after="283"/>
              <w:jc w:val="left"/>
              <w:rPr/>
            </w:pPr>
            <w:r>
              <w:rPr/>
              <w:t> </w:t>
            </w:r>
          </w:p>
        </w:tc>
      </w:tr>
      <w:tr>
        <w:trPr/>
        <w:tc>
          <w:tcPr>
            <w:tcW w:w="5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37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 </w:t>
            </w:r>
            <w:r>
              <w:rPr/>
              <w:t>1,860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 </w:t>
            </w:r>
            <w:r>
              <w:rPr/>
              <w:t>2,428</w:t>
            </w:r>
          </w:p>
        </w:tc>
        <w:tc>
          <w:tcPr>
            <w:tcW w:w="64" w:type="dxa"/>
            <w:tcBorders/>
            <w:shd w:fill="CCEEFF" w:val="clear"/>
            <w:vAlign w:val="bottom"/>
          </w:tcPr>
          <w:p>
            <w:pPr>
              <w:pStyle w:val="TableContents"/>
              <w:bidi w:val="0"/>
              <w:spacing w:before="0" w:after="283"/>
              <w:jc w:val="left"/>
              <w:rPr/>
            </w:pPr>
            <w:r>
              <w:rPr/>
              <w:t> </w:t>
            </w:r>
          </w:p>
        </w:tc>
      </w:tr>
      <w:tr>
        <w:trPr/>
        <w:tc>
          <w:tcPr>
            <w:tcW w:w="5056"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37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for the twenty-six weeks ended July 4, 2026 and June 28, 2025, respectively.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97"/>
        <w:gridCol w:w="425"/>
        <w:gridCol w:w="152"/>
        <w:gridCol w:w="890"/>
        <w:gridCol w:w="60"/>
        <w:gridCol w:w="425"/>
        <w:gridCol w:w="176"/>
        <w:gridCol w:w="764"/>
        <w:gridCol w:w="66"/>
      </w:tblGrid>
      <w:tr>
        <w:trPr/>
        <w:tc>
          <w:tcPr>
            <w:tcW w:w="4797"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28,</w:t>
              <w:br/>
              <w:t>2025</w:t>
            </w:r>
          </w:p>
        </w:tc>
        <w:tc>
          <w:tcPr>
            <w:tcW w:w="66" w:type="dxa"/>
            <w:tcBorders/>
            <w:vAlign w:val="bottom"/>
          </w:tcPr>
          <w:p>
            <w:pPr>
              <w:pStyle w:val="TableContents"/>
              <w:bidi w:val="0"/>
              <w:spacing w:before="0" w:after="283"/>
              <w:jc w:val="left"/>
              <w:rPr/>
            </w:pPr>
            <w:r>
              <w:rPr/>
              <w:t> </w:t>
            </w:r>
          </w:p>
        </w:tc>
      </w:tr>
      <w:tr>
        <w:trPr/>
        <w:tc>
          <w:tcPr>
            <w:tcW w:w="4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42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 </w:t>
            </w:r>
            <w:r>
              <w:rPr/>
              <w:t>4,115</w:t>
            </w:r>
          </w:p>
        </w:tc>
        <w:tc>
          <w:tcPr>
            <w:tcW w:w="60"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64" w:type="dxa"/>
            <w:tcBorders/>
            <w:shd w:fill="CCEEFF" w:val="clear"/>
            <w:vAlign w:val="bottom"/>
          </w:tcPr>
          <w:p>
            <w:pPr>
              <w:pStyle w:val="TableContents"/>
              <w:bidi w:val="0"/>
              <w:spacing w:before="0" w:after="283"/>
              <w:jc w:val="right"/>
              <w:rPr/>
            </w:pPr>
            <w:r>
              <w:rPr/>
              <w:t>5,121</w:t>
            </w:r>
          </w:p>
        </w:tc>
        <w:tc>
          <w:tcPr>
            <w:tcW w:w="66" w:type="dxa"/>
            <w:tcBorders/>
            <w:shd w:fill="CCEEFF" w:val="clear"/>
            <w:vAlign w:val="bottom"/>
          </w:tcPr>
          <w:p>
            <w:pPr>
              <w:pStyle w:val="TableContents"/>
              <w:bidi w:val="0"/>
              <w:spacing w:before="0" w:after="283"/>
              <w:jc w:val="left"/>
              <w:rPr/>
            </w:pPr>
            <w:r>
              <w:rPr/>
              <w:t> </w:t>
            </w:r>
          </w:p>
        </w:tc>
      </w:tr>
      <w:tr>
        <w:trPr/>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2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250</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14</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thirteen weeks ended July 4, 2026 and June 28,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133,706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160,893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84.2</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19,612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12.2</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21,873</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11.4</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7,257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8,332</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160,575</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191,098</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$1,760 and $2,193 of net sales for the thirteen weeks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$178 and $198 of net sales for the thirteen weeks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 and $50 of net sales for the thirteen weeks July 4, 2026 and June 28, 2025, respectively, relate to sales recognized over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twenty-six weeks ended July 4, 2026 and June 28,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July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28,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259,263</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83.3</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300,799</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83.5</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38,341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12.3</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44,141</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12.2</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14,145</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4.4</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15,640</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4.3</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311,749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360,580</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$3,804 and $4,515 of net sales for the twenty-six weeks ended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 and $475 of net sales for the twenty-six weeks ended July 4, 2026 and June 28,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$122 and $143 of net sales for the twenty-six weeks ended July 4, 2026 and June 28, 2025, respectively, relate to sales recognized over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thirteen weeks ended July 4, 2026 and June 28, 2025, no impairment charges were deemed necessary of the Company’s indefinite-lived intangible assets. In the first thirteen weeks of the twenty-six weeks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June 28, 2025, based on a combination of factors, predominantly driven by the reduction of demand of certain of the Company’s brands, the Company concluded that the carrying value of certain tradenames exceeded their fair values and recorded a non-cash intangible asset impairment charge of $5,857.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is the cost of an acquisition in excess of the fair value of acquired assets and liabilities and is recorded as an asset on our Condensed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We also evaluate goodwill for impairment to the extent 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Goodwill was fully impaired as of January 3,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July 4, 2026 and January 3, 2026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9"/>
        <w:gridCol w:w="353"/>
        <w:gridCol w:w="148"/>
        <w:gridCol w:w="864"/>
        <w:gridCol w:w="158"/>
        <w:gridCol w:w="353"/>
        <w:gridCol w:w="166"/>
        <w:gridCol w:w="1019"/>
        <w:gridCol w:w="165"/>
      </w:tblGrid>
      <w:tr>
        <w:trPr/>
        <w:tc>
          <w:tcPr>
            <w:tcW w:w="452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4,</w:t>
              <w:br/>
              <w:t>2026</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27,039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$214,393 and $217,293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258,750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262,250</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$5,567 and $7,783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(6,719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(9,393</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279,070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252,857</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(34,039</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(7,000</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$203,026 and $203,710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245,031</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245,857</w:t>
            </w:r>
          </w:p>
        </w:tc>
        <w:tc>
          <w:tcPr>
            <w:tcW w:w="165"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July 4, 2026, the borrowing base for the ABL Facility was $77,442 and availability under the ABL Facility was $47,413, which reflects capacity of $77,442 less $2,990 of outstanding letters of credit and $27,039 outstanding borrowings under the revolving credit 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July 4, 2026 and January 3, 2026, approximately 82.9% and 82.9%, respectively, of the Company’s institutional First Lien debt holders also hold an equity interest in the Company, have representation on the Board of Directors, or otherwise exert significant influence over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July 4, 2026. The holders of the Preferred Stock were entitled to the following rights: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July 4, 2026, January 3, 2026 and June 28, 2025 is $13,562, $13,229 and $19,460, respectively. As of July 4, 2026 and June 28, 2025,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$0 and $244 for the thirteen weeks ended July 4, 2026 and June 28,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July 4, 2026 and June 28, 2025,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provision for income taxes for interim periods is based on an estimate of the annual effective tax rate adjusted to reflect the impact of discrete items. Management judgment is required in projecting ordinary income to estimate the Company’s annual effective tax rate. The effective tax rate for the thirteen weeks ended July 4, 2026 was (16.28%), compared to 12.83% for the thirteen weeks ended June 28, 2025. The effective tax rate for the twenty-six weeks ended July 4, 2026 was (16.27%), compared to 12.84% for the twenty-six weeks ended June 28, 2025.The shift to a negative effective tax rate in the thirteen and twenty-six weeks of 2026 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9.</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July 4, 2026 and June 28, 2025 the Company has outstanding letters of credit of $2,990 and $4,941,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July 4, 2026 and January 3, 2026, 82.9% and 82.9%, respectively, of our First Lien was owned by equity shareholders. Cash interest paid on the First Lien attributable to related parties for the twenty-six weeks ended July 4, 2026 and June 28, 2025 was $14,728 and $13,906, respectively, representing 82.9% and 82.9%, respectively, of total cash interest paid on the First Lien. Additionally, at July 4, 2026 and January 3, 2026, 82.9% and 82.9%, respectively, of the Company’s outstanding warrants are owned by equity shareholders, have representation on the Board of Directors, or otherwise exert significant influence over the Company and are classified as Other non-current liabilities on the Condensed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has an outstanding loan receivable from a member of management in the amount of approximately $0.9 million recorded in Other non-current assets and Other current assets on the balance sheet as of July 4, 2026 and January 3,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one share of Common Stock at an exercise price of $722.70 per share. The Warrant Agreement contains customary anti-dilution adjustments including, but not limited to, cash dividends, reorganizations, and business combination transactions. All warrants remain outstanding as of July 4, 2026 and January 3, 2026. The fair value of the warrants was $0 and $0 as of July 4, 2026 and January 3, 2026, respectively. There was no change in fair value of the warrants for the thirteen and twenty-six weeks ended July 4, 2026 and June 28, 2025,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thirteen and twenty-six weeks ended July 4, 2026 and June 28, 2025 except in connection with the impairment of Tradenames. The categorization of the framework to price these assets is within Level 3 due to the subjective nature of unobservable inputs. Refer to Note 4 for discussion of the impairment of Tradenames. </w:t>
      </w:r>
    </w:p>
    <w:p>
      <w:pPr>
        <w:pStyle w:val="TextBody"/>
        <w:bidi w:val="0"/>
        <w:spacing w:before="240" w:after="0"/>
        <w:jc w:val="left"/>
        <w:rPr>
          <w:rFonts w:ascii="Times New Roman" w:hAnsi="Times New Roman"/>
          <w:sz w:val="20"/>
        </w:rPr>
      </w:pPr>
      <w:r>
        <w:rPr>
          <w:rFonts w:ascii="Times New Roman" w:hAnsi="Times New Roman"/>
          <w:b/>
          <w:sz w:val="20"/>
        </w:rPr>
        <w:t>Financial Instruments 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reflect management’s evaluation of the subsequent events through September 2, 2026, the date the condensed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03" w:name="tx76201_89"/>
      <w:bookmarkEnd w:id="103"/>
      <w:r>
        <w:rPr>
          <w:rFonts w:ascii="Times New Roman" w:hAnsi="Times New Roman"/>
          <w:b/>
          <w:sz w:val="20"/>
        </w:rPr>
        <w:t xml:space="preserve">ANNEX A </w:t>
      </w:r>
    </w:p>
    <w:p>
      <w:pPr>
        <w:pStyle w:val="TextBody"/>
        <w:bidi w:val="0"/>
        <w:spacing w:before="120" w:after="0"/>
        <w:jc w:val="right"/>
        <w:rPr>
          <w:rFonts w:ascii="Times New Roman" w:hAnsi="Times New Roman"/>
          <w:sz w:val="20"/>
        </w:rPr>
      </w:pPr>
      <w:r>
        <w:rPr>
          <w:rFonts w:ascii="Times New Roman" w:hAnsi="Times New Roman"/>
          <w:sz w:val="20"/>
        </w:rPr>
        <w:t xml:space="preserve">Execution Copy </w:t>
      </w:r>
    </w:p>
    <w:p>
      <w:pPr>
        <w:pStyle w:val="TextBody"/>
        <w:bidi w:val="0"/>
        <w:spacing w:before="120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0" w:after="0"/>
        <w:jc w:val="center"/>
        <w:rPr>
          <w:rFonts w:ascii="Times New Roman" w:hAnsi="Times New Roman"/>
          <w:sz w:val="20"/>
        </w:rPr>
      </w:pPr>
      <w:r>
        <w:rPr>
          <w:rFonts w:ascii="Times New Roman" w:hAnsi="Times New Roman"/>
          <w:sz w:val="20"/>
        </w:rPr>
        <w:t xml:space="preserve">Dated as of December 11,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
              <w:r>
                <w:rPr>
                  <w:rStyle w:val="InternetLink"/>
                  <w:rFonts w:ascii="Times New Roman" w:hAnsi="Times New Roman"/>
                  <w:b/>
                  <w:sz w:val="20"/>
                </w:rPr>
                <w:t xml:space="preserve">ARTICLE I </w:t>
              </w:r>
            </w:hyperlink>
            <w:hyperlink w:anchor="anxa76201_1">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
              <w:r>
                <w:rPr>
                  <w:rStyle w:val="InternetLink"/>
                  <w:rFonts w:ascii="Times New Roman" w:hAnsi="Times New Roman"/>
                  <w:sz w:val="20"/>
                </w:rPr>
                <w:t>Closing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
              <w:r>
                <w:rPr>
                  <w:rStyle w:val="InternetLink"/>
                  <w:rFonts w:ascii="Times New Roman" w:hAnsi="Times New Roman"/>
                  <w:sz w:val="20"/>
                </w:rPr>
                <w:t>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
              <w:r>
                <w:rPr>
                  <w:rStyle w:val="InternetLink"/>
                  <w:rFonts w:ascii="Times New Roman" w:hAnsi="Times New Roman"/>
                  <w:sz w:val="20"/>
                </w:rPr>
                <w:t>Effects of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
              <w:r>
                <w:rPr>
                  <w:rStyle w:val="InternetLink"/>
                  <w:rFonts w:ascii="Times New Roman" w:hAnsi="Times New Roman"/>
                  <w:sz w:val="20"/>
                </w:rPr>
                <w:t>Organizational Documents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
              <w:r>
                <w:rPr>
                  <w:rStyle w:val="InternetLink"/>
                  <w:rFonts w:ascii="Times New Roman" w:hAnsi="Times New Roman"/>
                  <w:sz w:val="20"/>
                </w:rPr>
                <w:t>Directors and Officers of the Surviving Company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8">
              <w:r>
                <w:rPr>
                  <w:rStyle w:val="InternetLink"/>
                  <w:rFonts w:ascii="Times New Roman" w:hAnsi="Times New Roman"/>
                  <w:b/>
                  <w:sz w:val="20"/>
                </w:rPr>
                <w:t xml:space="preserve">ARTICLE II </w:t>
              </w:r>
            </w:hyperlink>
            <w:hyperlink w:anchor="anxa76201_8">
              <w:r>
                <w:rPr>
                  <w:rStyle w:val="InternetLink"/>
                  <w:rFonts w:ascii="Times New Roman" w:hAnsi="Times New Roman"/>
                  <w:sz w:val="20"/>
                </w:rPr>
                <w:t>EFFECT ON FBB CAPITAL STOCK; 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
              <w:r>
                <w:rPr>
                  <w:rStyle w:val="InternetLink"/>
                  <w:rFonts w:ascii="Times New Roman" w:hAnsi="Times New Roman"/>
                  <w:sz w:val="20"/>
                </w:rPr>
                <w:t>Effect on FBB Capital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0">
              <w:r>
                <w:rPr>
                  <w:rStyle w:val="InternetLink"/>
                  <w:rFonts w:ascii="Times New Roman" w:hAnsi="Times New Roman"/>
                  <w:sz w:val="20"/>
                </w:rPr>
                <w:t>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1">
              <w:r>
                <w:rPr>
                  <w:rStyle w:val="InternetLink"/>
                  <w:rFonts w:ascii="Times New Roman" w:hAnsi="Times New Roman"/>
                  <w:sz w:val="20"/>
                </w:rPr>
                <w:t>Stock Transfer Books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2">
              <w:r>
                <w:rPr>
                  <w:rStyle w:val="InternetLink"/>
                  <w:rFonts w:ascii="Times New Roman" w:hAnsi="Times New Roman"/>
                  <w:b/>
                  <w:sz w:val="20"/>
                </w:rPr>
                <w:t xml:space="preserve">ARTICLE III </w:t>
              </w:r>
            </w:hyperlink>
            <w:hyperlink w:anchor="anxa76201_12">
              <w:r>
                <w:rPr>
                  <w:rStyle w:val="InternetLink"/>
                  <w:rFonts w:ascii="Times New Roman" w:hAnsi="Times New Roman"/>
                  <w:sz w:val="20"/>
                </w:rPr>
                <w:t>REPRESENTATIONS AND WARRANTIES OF DXL AND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3">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4">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5">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6">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7">
              <w:r>
                <w:rPr>
                  <w:rStyle w:val="InternetLink"/>
                  <w:rFonts w:ascii="Times New Roman" w:hAnsi="Times New Roman"/>
                  <w:sz w:val="20"/>
                </w:rPr>
                <w:t>Reports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8">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9">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0">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1">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2">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3">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4">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5">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6">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7">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8">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9">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0">
              <w:r>
                <w:rPr>
                  <w:rStyle w:val="InternetLink"/>
                  <w:rFonts w:ascii="Times New Roman" w:hAnsi="Times New Roman"/>
                  <w:sz w:val="20"/>
                </w:rPr>
                <w:t>DXL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1">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2">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3">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4">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5">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6">
              <w:r>
                <w:rPr>
                  <w:rStyle w:val="InternetLink"/>
                  <w:rFonts w:ascii="Times New Roman" w:hAnsi="Times New Roman"/>
                  <w:sz w:val="20"/>
                </w:rPr>
                <w:t>Fairness Opinion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7">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8">
              <w:r>
                <w:rPr>
                  <w:rStyle w:val="InternetLink"/>
                  <w:rFonts w:ascii="Times New Roman" w:hAnsi="Times New Roman"/>
                  <w:sz w:val="20"/>
                </w:rPr>
                <w:t>No Other Representations or Warranties; Reliance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39">
              <w:r>
                <w:rPr>
                  <w:rStyle w:val="InternetLink"/>
                  <w:rFonts w:ascii="Times New Roman" w:hAnsi="Times New Roman"/>
                  <w:b/>
                  <w:sz w:val="20"/>
                </w:rPr>
                <w:t xml:space="preserve">ARTICLE IV </w:t>
              </w:r>
            </w:hyperlink>
            <w:hyperlink w:anchor="anxa76201_39">
              <w:r>
                <w:rPr>
                  <w:rStyle w:val="InternetLink"/>
                  <w:rFonts w:ascii="Times New Roman" w:hAnsi="Times New Roman"/>
                  <w:sz w:val="20"/>
                </w:rPr>
                <w:t>REPRESENTATIONS AND WARRANTIES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0">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1">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2">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3">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4">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5">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6">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7">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8">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9">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0">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1">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2">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3">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4">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5">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6">
              <w:r>
                <w:rPr>
                  <w:rStyle w:val="InternetLink"/>
                  <w:rFonts w:ascii="Times New Roman" w:hAnsi="Times New Roman"/>
                  <w:sz w:val="20"/>
                </w:rPr>
                <w:t>FBB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7">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8">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9">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0">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1">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2">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3">
              <w:r>
                <w:rPr>
                  <w:rStyle w:val="InternetLink"/>
                  <w:rFonts w:ascii="Times New Roman" w:hAnsi="Times New Roman"/>
                  <w:sz w:val="20"/>
                </w:rPr>
                <w:t>Pre-Closing Investment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4">
              <w:r>
                <w:rPr>
                  <w:rStyle w:val="InternetLink"/>
                  <w:rFonts w:ascii="Times New Roman" w:hAnsi="Times New Roman"/>
                  <w:sz w:val="20"/>
                </w:rPr>
                <w:t>FBB Stockholders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5">
              <w:r>
                <w:rPr>
                  <w:rStyle w:val="InternetLink"/>
                  <w:rFonts w:ascii="Times New Roman" w:hAnsi="Times New Roman"/>
                  <w:sz w:val="20"/>
                </w:rPr>
                <w:t>No Other Representations or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66">
              <w:r>
                <w:rPr>
                  <w:rStyle w:val="InternetLink"/>
                  <w:rFonts w:ascii="Times New Roman" w:hAnsi="Times New Roman"/>
                  <w:b/>
                  <w:sz w:val="20"/>
                </w:rPr>
                <w:t xml:space="preserve">ARTICLE V </w:t>
              </w:r>
            </w:hyperlink>
            <w:hyperlink w:anchor="anxa76201_66">
              <w:r>
                <w:rPr>
                  <w:rStyle w:val="InternetLink"/>
                  <w:rFonts w:ascii="Times New Roman" w:hAnsi="Times New Roman"/>
                  <w:sz w:val="20"/>
                </w:rPr>
                <w:t>COVENANTS RELATING TO CONDUCT OF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7">
              <w:r>
                <w:rPr>
                  <w:rStyle w:val="InternetLink"/>
                  <w:rFonts w:ascii="Times New Roman" w:hAnsi="Times New Roman"/>
                  <w:sz w:val="20"/>
                </w:rPr>
                <w:t>Conduct of Businesses Prior to the 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8">
              <w:r>
                <w:rPr>
                  <w:rStyle w:val="InternetLink"/>
                  <w:rFonts w:ascii="Times New Roman" w:hAnsi="Times New Roman"/>
                  <w:sz w:val="20"/>
                </w:rPr>
                <w:t>DXL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9">
              <w:r>
                <w:rPr>
                  <w:rStyle w:val="InternetLink"/>
                  <w:rFonts w:ascii="Times New Roman" w:hAnsi="Times New Roman"/>
                  <w:sz w:val="20"/>
                </w:rPr>
                <w:t>FBB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0">
              <w:r>
                <w:rPr>
                  <w:rStyle w:val="InternetLink"/>
                  <w:rFonts w:ascii="Times New Roman" w:hAnsi="Times New Roman"/>
                  <w:sz w:val="20"/>
                </w:rPr>
                <w:t>Control of Other Party’s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1">
              <w:r>
                <w:rPr>
                  <w:rStyle w:val="InternetLink"/>
                  <w:rFonts w:ascii="Times New Roman" w:hAnsi="Times New Roman"/>
                  <w:sz w:val="20"/>
                </w:rPr>
                <w:t>FBB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2">
              <w:r>
                <w:rPr>
                  <w:rStyle w:val="InternetLink"/>
                  <w:rFonts w:ascii="Times New Roman" w:hAnsi="Times New Roman"/>
                  <w:sz w:val="20"/>
                </w:rPr>
                <w:t>DXL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73">
              <w:r>
                <w:rPr>
                  <w:rStyle w:val="InternetLink"/>
                  <w:rFonts w:ascii="Times New Roman" w:hAnsi="Times New Roman"/>
                  <w:b/>
                  <w:sz w:val="20"/>
                </w:rPr>
                <w:t xml:space="preserve">ARTICLE VI </w:t>
              </w:r>
            </w:hyperlink>
            <w:hyperlink w:anchor="anxa76201_73">
              <w:r>
                <w:rPr>
                  <w:rStyle w:val="InternetLink"/>
                  <w:rFonts w:ascii="Times New Roman" w:hAnsi="Times New Roman"/>
                  <w:sz w:val="20"/>
                </w:rPr>
                <w:t>ADDITIONAL AGREEMENTS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4">
              <w:r>
                <w:rPr>
                  <w:rStyle w:val="InternetLink"/>
                  <w:rFonts w:ascii="Times New Roman" w:hAnsi="Times New Roman"/>
                  <w:sz w:val="20"/>
                </w:rPr>
                <w:t>Preparation of the Proxy Statement; Stockholder Approvals; Listing Application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5">
              <w:r>
                <w:rPr>
                  <w:rStyle w:val="InternetLink"/>
                  <w:rFonts w:ascii="Times New Roman" w:hAnsi="Times New Roman"/>
                  <w:sz w:val="20"/>
                </w:rPr>
                <w:t>Resale Registration Statement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6">
              <w:r>
                <w:rPr>
                  <w:rStyle w:val="InternetLink"/>
                  <w:rFonts w:ascii="Times New Roman" w:hAnsi="Times New Roman"/>
                  <w:sz w:val="20"/>
                </w:rPr>
                <w:t>Access to Information; Confidentiality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7">
              <w:r>
                <w:rPr>
                  <w:rStyle w:val="InternetLink"/>
                  <w:rFonts w:ascii="Times New Roman" w:hAnsi="Times New Roman"/>
                  <w:sz w:val="20"/>
                </w:rPr>
                <w:t>Required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8">
              <w:r>
                <w:rPr>
                  <w:rStyle w:val="InternetLink"/>
                  <w:rFonts w:ascii="Times New Roman" w:hAnsi="Times New Roman"/>
                  <w:sz w:val="20"/>
                </w:rPr>
                <w:t>Stockholder Litigation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9">
              <w:r>
                <w:rPr>
                  <w:rStyle w:val="InternetLink"/>
                  <w:rFonts w:ascii="Times New Roman" w:hAnsi="Times New Roman"/>
                  <w:sz w:val="20"/>
                </w:rPr>
                <w:t>DXL Stockholders Meeting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0">
              <w:r>
                <w:rPr>
                  <w:rStyle w:val="InternetLink"/>
                  <w:rFonts w:ascii="Times New Roman" w:hAnsi="Times New Roman"/>
                  <w:sz w:val="20"/>
                </w:rPr>
                <w:t>Fees and Expenses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1">
              <w:r>
                <w:rPr>
                  <w:rStyle w:val="InternetLink"/>
                  <w:rFonts w:ascii="Times New Roman" w:hAnsi="Times New Roman"/>
                  <w:sz w:val="20"/>
                </w:rPr>
                <w:t>Certain Tax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2">
              <w:r>
                <w:rPr>
                  <w:rStyle w:val="InternetLink"/>
                  <w:rFonts w:ascii="Times New Roman" w:hAnsi="Times New Roman"/>
                  <w:sz w:val="20"/>
                </w:rPr>
                <w:t>Governance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3">
              <w:r>
                <w:rPr>
                  <w:rStyle w:val="InternetLink"/>
                  <w:rFonts w:ascii="Times New Roman" w:hAnsi="Times New Roman"/>
                  <w:sz w:val="20"/>
                </w:rPr>
                <w:t>Employment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4">
              <w:r>
                <w:rPr>
                  <w:rStyle w:val="InternetLink"/>
                  <w:rFonts w:ascii="Times New Roman" w:hAnsi="Times New Roman"/>
                  <w:sz w:val="20"/>
                </w:rPr>
                <w:t>Directors’ and Officers’ Indemnification and 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5">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6">
              <w:r>
                <w:rPr>
                  <w:rStyle w:val="InternetLink"/>
                  <w:rFonts w:ascii="Times New Roman" w:hAnsi="Times New Roman"/>
                  <w:sz w:val="20"/>
                </w:rPr>
                <w:t>Notification of Certain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7">
              <w:r>
                <w:rPr>
                  <w:rStyle w:val="InternetLink"/>
                  <w:rFonts w:ascii="Times New Roman" w:hAnsi="Times New Roman"/>
                  <w:sz w:val="20"/>
                </w:rPr>
                <w:t>Obligations of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8">
              <w:r>
                <w:rPr>
                  <w:rStyle w:val="InternetLink"/>
                  <w:rFonts w:ascii="Times New Roman" w:hAnsi="Times New Roman"/>
                  <w:sz w:val="20"/>
                </w:rPr>
                <w:t>Payment for Third Party Consents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9">
              <w:r>
                <w:rPr>
                  <w:rStyle w:val="InternetLink"/>
                  <w:rFonts w:ascii="Times New Roman" w:hAnsi="Times New Roman"/>
                  <w:sz w:val="20"/>
                </w:rPr>
                <w:t>Financing; Cooperation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0">
              <w:r>
                <w:rPr>
                  <w:rStyle w:val="InternetLink"/>
                  <w:rFonts w:ascii="Times New Roman" w:hAnsi="Times New Roman"/>
                  <w:sz w:val="20"/>
                </w:rPr>
                <w:t>Updated Capitalization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1">
              <w:r>
                <w:rPr>
                  <w:rStyle w:val="InternetLink"/>
                  <w:rFonts w:ascii="Times New Roman" w:hAnsi="Times New Roman"/>
                  <w:sz w:val="20"/>
                </w:rPr>
                <w:t>Listing of DXL Common Stock on Nasdaq</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2">
              <w:r>
                <w:rPr>
                  <w:rStyle w:val="InternetLink"/>
                  <w:rFonts w:ascii="Times New Roman" w:hAnsi="Times New Roman"/>
                  <w:sz w:val="20"/>
                </w:rPr>
                <w:t>FBB Corporate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93">
              <w:r>
                <w:rPr>
                  <w:rStyle w:val="InternetLink"/>
                  <w:rFonts w:ascii="Times New Roman" w:hAnsi="Times New Roman"/>
                  <w:b/>
                  <w:sz w:val="20"/>
                </w:rPr>
                <w:t xml:space="preserve">ARTICLE VII </w:t>
              </w:r>
            </w:hyperlink>
            <w:hyperlink w:anchor="anxa76201_93">
              <w:r>
                <w:rPr>
                  <w:rStyle w:val="InternetLink"/>
                  <w:rFonts w:ascii="Times New Roman" w:hAnsi="Times New Roman"/>
                  <w:sz w:val="20"/>
                </w:rPr>
                <w:t>CONDITIONS PRECEDENT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4">
              <w:r>
                <w:rPr>
                  <w:rStyle w:val="InternetLink"/>
                  <w:rFonts w:ascii="Times New Roman" w:hAnsi="Times New Roman"/>
                  <w:sz w:val="20"/>
                </w:rPr>
                <w:t>Conditions to Each Party’s Obligation to Effect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5">
              <w:r>
                <w:rPr>
                  <w:rStyle w:val="InternetLink"/>
                  <w:rFonts w:ascii="Times New Roman" w:hAnsi="Times New Roman"/>
                  <w:sz w:val="20"/>
                </w:rPr>
                <w:t>Conditions to Obligations of DXL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6">
              <w:r>
                <w:rPr>
                  <w:rStyle w:val="InternetLink"/>
                  <w:rFonts w:ascii="Times New Roman" w:hAnsi="Times New Roman"/>
                  <w:sz w:val="20"/>
                </w:rPr>
                <w:t>Conditions to Obligations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5"/>
        <w:gridCol w:w="107"/>
        <w:gridCol w:w="1620"/>
        <w:gridCol w:w="122"/>
        <w:gridCol w:w="7234"/>
        <w:gridCol w:w="122"/>
        <w:gridCol w:w="60"/>
        <w:gridCol w:w="440"/>
        <w:gridCol w:w="65"/>
      </w:tblGrid>
      <w:tr>
        <w:trPr/>
        <w:tc>
          <w:tcPr>
            <w:tcW w:w="43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97">
              <w:r>
                <w:rPr>
                  <w:rStyle w:val="InternetLink"/>
                  <w:rFonts w:ascii="Times New Roman" w:hAnsi="Times New Roman"/>
                  <w:b/>
                  <w:sz w:val="20"/>
                </w:rPr>
                <w:t xml:space="preserve">ARTICLE VIII </w:t>
              </w:r>
            </w:hyperlink>
            <w:hyperlink w:anchor="anxa76201_97">
              <w:r>
                <w:rPr>
                  <w:rStyle w:val="InternetLink"/>
                  <w:rFonts w:ascii="Times New Roman" w:hAnsi="Times New Roman"/>
                  <w:sz w:val="20"/>
                </w:rPr>
                <w:t>TERMINATION AND 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8">
              <w:r>
                <w:rPr>
                  <w:rStyle w:val="InternetLink"/>
                  <w:rFonts w:ascii="Times New Roman" w:hAnsi="Times New Roman"/>
                  <w:sz w:val="20"/>
                </w:rPr>
                <w:t>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9">
              <w:r>
                <w:rPr>
                  <w:rStyle w:val="InternetLink"/>
                  <w:rFonts w:ascii="Times New Roman" w:hAnsi="Times New Roman"/>
                  <w:sz w:val="20"/>
                </w:rPr>
                <w:t>Effect of 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0">
              <w:r>
                <w:rPr>
                  <w:rStyle w:val="InternetLink"/>
                  <w:rFonts w:ascii="Times New Roman" w:hAnsi="Times New Roman"/>
                  <w:sz w:val="20"/>
                </w:rPr>
                <w:t>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1">
              <w:r>
                <w:rPr>
                  <w:rStyle w:val="InternetLink"/>
                  <w:rFonts w:ascii="Times New Roman" w:hAnsi="Times New Roman"/>
                  <w:sz w:val="20"/>
                </w:rPr>
                <w:t>Extension; Waiver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rHeight w:val="120" w:hRule="atLeast"/>
        </w:trPr>
        <w:tc>
          <w:tcPr>
            <w:tcW w:w="9518" w:type="dxa"/>
            <w:gridSpan w:val="5"/>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102">
              <w:r>
                <w:rPr>
                  <w:rStyle w:val="InternetLink"/>
                  <w:rFonts w:ascii="Times New Roman" w:hAnsi="Times New Roman"/>
                  <w:b/>
                  <w:sz w:val="20"/>
                </w:rPr>
                <w:t xml:space="preserve">ARTICLE IX </w:t>
              </w:r>
            </w:hyperlink>
            <w:hyperlink w:anchor="anxa76201_102">
              <w:r>
                <w:rPr>
                  <w:rStyle w:val="InternetLink"/>
                  <w:rFonts w:ascii="Times New Roman" w:hAnsi="Times New Roman"/>
                  <w:sz w:val="20"/>
                </w:rPr>
                <w:t>GENERAL PROVISIONS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3">
              <w:r>
                <w:rPr>
                  <w:rStyle w:val="InternetLink"/>
                  <w:rFonts w:ascii="Times New Roman" w:hAnsi="Times New Roman"/>
                  <w:sz w:val="20"/>
                </w:rPr>
                <w:t>Non-survival of Representations and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4">
              <w:r>
                <w:rPr>
                  <w:rStyle w:val="InternetLink"/>
                  <w:rFonts w:ascii="Times New Roman" w:hAnsi="Times New Roman"/>
                  <w:sz w:val="20"/>
                </w:rPr>
                <w:t>Notices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5">
              <w:r>
                <w:rPr>
                  <w:rStyle w:val="InternetLink"/>
                  <w:rFonts w:ascii="Times New Roman" w:hAnsi="Times New Roman"/>
                  <w:sz w:val="20"/>
                </w:rPr>
                <w:t>Definitions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6">
              <w:r>
                <w:rPr>
                  <w:rStyle w:val="InternetLink"/>
                  <w:rFonts w:ascii="Times New Roman" w:hAnsi="Times New Roman"/>
                  <w:sz w:val="20"/>
                </w:rPr>
                <w:t>Other Defined Terms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9.05</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7">
              <w:r>
                <w:rPr>
                  <w:rStyle w:val="InternetLink"/>
                  <w:rFonts w:ascii="Times New Roman" w:hAnsi="Times New Roman"/>
                  <w:sz w:val="20"/>
                </w:rPr>
                <w:t>Interpretation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9.06</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8">
              <w:r>
                <w:rPr>
                  <w:rStyle w:val="InternetLink"/>
                  <w:rFonts w:ascii="Times New Roman" w:hAnsi="Times New Roman"/>
                  <w:sz w:val="20"/>
                </w:rPr>
                <w:t>Severability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9.07</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9">
              <w:r>
                <w:rPr>
                  <w:rStyle w:val="InternetLink"/>
                  <w:rFonts w:ascii="Times New Roman" w:hAnsi="Times New Roman"/>
                  <w:sz w:val="20"/>
                </w:rPr>
                <w:t>Counterparts; Facsimile Signatures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9.08</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0">
              <w:r>
                <w:rPr>
                  <w:rStyle w:val="InternetLink"/>
                  <w:rFonts w:ascii="Times New Roman" w:hAnsi="Times New Roman"/>
                  <w:sz w:val="20"/>
                </w:rPr>
                <w:t>Entire Agreement; No Third Party Beneficiaries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9.09</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1">
              <w:r>
                <w:rPr>
                  <w:rStyle w:val="InternetLink"/>
                  <w:rFonts w:ascii="Times New Roman" w:hAnsi="Times New Roman"/>
                  <w:sz w:val="20"/>
                </w:rPr>
                <w:t>Governing Law</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2">
              <w:r>
                <w:rPr>
                  <w:rStyle w:val="InternetLink"/>
                  <w:rFonts w:ascii="Times New Roman" w:hAnsi="Times New Roman"/>
                  <w:sz w:val="20"/>
                </w:rPr>
                <w:t>Assignment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3">
              <w:r>
                <w:rPr>
                  <w:rStyle w:val="InternetLink"/>
                  <w:rFonts w:ascii="Times New Roman" w:hAnsi="Times New Roman"/>
                  <w:sz w:val="20"/>
                </w:rPr>
                <w:t>Specific Performance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4">
              <w:r>
                <w:rPr>
                  <w:rStyle w:val="InternetLink"/>
                  <w:rFonts w:ascii="Times New Roman" w:hAnsi="Times New Roman"/>
                  <w:sz w:val="20"/>
                </w:rPr>
                <w:t>Jurisdiction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5">
              <w:r>
                <w:rPr>
                  <w:rStyle w:val="InternetLink"/>
                  <w:rFonts w:ascii="Times New Roman" w:hAnsi="Times New Roman"/>
                  <w:sz w:val="20"/>
                </w:rPr>
                <w:t>Publicity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6">
              <w:r>
                <w:rPr>
                  <w:rStyle w:val="InternetLink"/>
                  <w:rFonts w:ascii="Times New Roman" w:hAnsi="Times New Roman"/>
                  <w:sz w:val="20"/>
                </w:rPr>
                <w:t>Financing Related Parties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A-84</w:t>
            </w:r>
          </w:p>
        </w:tc>
        <w:tc>
          <w:tcPr>
            <w:tcW w:w="65" w:type="dxa"/>
            <w:tcBorders/>
            <w:vAlign w:val="bottom"/>
          </w:tcPr>
          <w:p>
            <w:pPr>
              <w:pStyle w:val="TableContents"/>
              <w:bidi w:val="0"/>
              <w:spacing w:before="0" w:after="283"/>
              <w:jc w:val="left"/>
              <w:rPr/>
            </w:pPr>
            <w:r>
              <w:rPr/>
              <w:t> </w:t>
            </w:r>
          </w:p>
        </w:tc>
      </w:tr>
      <w:tr>
        <w:trPr>
          <w:trHeight w:val="24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283"/>
              <w:jc w:val="left"/>
              <w:rPr>
                <w:b/>
                <w:u w:val="single"/>
              </w:rPr>
            </w:pPr>
            <w:r>
              <w:rPr>
                <w:b/>
                <w:u w:val="single"/>
              </w:rPr>
              <w:t>Exhibits</w:t>
            </w:r>
          </w:p>
        </w:tc>
        <w:tc>
          <w:tcPr>
            <w:tcW w:w="122" w:type="dxa"/>
            <w:tcBorders/>
            <w:vAlign w:val="bottom"/>
          </w:tcPr>
          <w:p>
            <w:pPr>
              <w:pStyle w:val="TableContents"/>
              <w:bidi w:val="0"/>
              <w:spacing w:before="0" w:after="283"/>
              <w:jc w:val="left"/>
              <w:rPr/>
            </w:pPr>
            <w:r>
              <w:rPr/>
              <w:t>  </w:t>
            </w:r>
          </w:p>
        </w:tc>
        <w:tc>
          <w:tcPr>
            <w:tcW w:w="723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Lock-Up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Voting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Execution Copy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December 11, 2025 (this “</w:t>
      </w:r>
      <w:r>
        <w:rPr>
          <w:rFonts w:ascii="Times New Roman" w:hAnsi="Times New Roman"/>
          <w:sz w:val="20"/>
          <w:u w:val="single"/>
        </w:rPr>
        <w:t>Agreement</w:t>
      </w:r>
      <w:r>
        <w:rPr>
          <w:rFonts w:ascii="Times New Roman" w:hAnsi="Times New Roman"/>
          <w:sz w:val="20"/>
        </w:rPr>
        <w:t>”), is by and among Destination XL Group, Inc., a Delaware corporation (“</w:t>
      </w:r>
      <w:r>
        <w:rPr>
          <w:rFonts w:ascii="Times New Roman" w:hAnsi="Times New Roman"/>
          <w:sz w:val="20"/>
          <w:u w:val="single"/>
        </w:rPr>
        <w:t>DXL</w:t>
      </w:r>
      <w:r>
        <w:rPr>
          <w:rFonts w:ascii="Times New Roman" w:hAnsi="Times New Roman"/>
          <w:sz w:val="20"/>
        </w:rPr>
        <w:t>”),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DXL (the “</w:t>
      </w:r>
      <w:r>
        <w:rPr>
          <w:rFonts w:ascii="Times New Roman" w:hAnsi="Times New Roman"/>
          <w:sz w:val="20"/>
          <w:u w:val="single"/>
        </w:rPr>
        <w:t>DXL Board</w:t>
      </w:r>
      <w:r>
        <w:rPr>
          <w:rFonts w:ascii="Times New Roman" w:hAnsi="Times New Roman"/>
          <w:sz w:val="20"/>
        </w:rPr>
        <w:t xml:space="preserve">”) has unanimously adopted this Agreement and determined that the terms of this Agreement, including the Merger, are fair to,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WHEREAS, the respective boards of directors of Merger Sub and FBB (the “</w:t>
      </w:r>
      <w:r>
        <w:rPr>
          <w:rFonts w:ascii="Times New Roman" w:hAnsi="Times New Roman"/>
          <w:sz w:val="20"/>
          <w:u w:val="single"/>
        </w:rPr>
        <w:t>FBB Board</w:t>
      </w:r>
      <w:r>
        <w:rPr>
          <w:rFonts w:ascii="Times New Roman" w:hAnsi="Times New Roman"/>
          <w:sz w:val="20"/>
        </w:rPr>
        <w:t xml:space="preserve">”) have unanimously approved this Agreement and declared it advisable that Merger Sub and FBB, respectively, enter into this Agreement and consummate the Transactions, including the Merger, and have recommended that their respective stockholders, approve and adopt this Agreement, the Merger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DXL Board has recommended that its stockholders approve this Agreement and certain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WHEREAS, for U.S. federal income tax purposes, the parties hereto intend that the Merger qualify as a “reorganization” within the meaning of Section 368(a) of the Code and the Treasury Regulations thereunder, with respect to which each of DXL, Merger Sub, and FBB are a “party to a reorganization” under Section 368(b) of the Code, and by executing this Agreement, the parties hereto intend that this Agreement be adopted as a “plan of reorganization” for purposes of Sections 354, 361 and 368 of the Code and within the meaning of Section 368 of the Code and Treasury Regulations Sections 1.368-2(g) and 1.368-3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DXL to enter into this Agreement, certain stockholders of FBB have entered into Lock-Up Agreements with FBB, substantially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FBB to enter into this Agreement, certain stockholders of DXL, including each of the directors and certain officers of DXL, in their respective capacities as stockholders of DXL, have entered into Voting Agreements with FBB substantially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each of DXL and Merger Sub to enter into this Agreement, effective following the execution of this Agreement, the FBB Investors and certain other stockholders of FBB are expected to deliver to FBB the FBB Written Consent, representing not less than the FBB Stockholder Approval in accordance with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DXL, Merger Sub and FBB desire to make certain representations, warranties, covenants and agreements in connection with the Merger and also to prescribe various 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parties hereto hereby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4" w:name="anxa76201_1"/>
      <w:bookmarkEnd w:id="104"/>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u w:val="single"/>
        </w:rPr>
        <w:t>THE MERGER</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05" w:name="anxa76201_2"/>
      <w:bookmarkEnd w:id="105"/>
      <w:r>
        <w:rPr>
          <w:rFonts w:ascii="Times New Roman" w:hAnsi="Times New Roman"/>
          <w:b/>
          <w:sz w:val="20"/>
        </w:rPr>
        <w:t xml:space="preserve">SECTION 1.01 </w:t>
      </w:r>
      <w:r>
        <w:rPr>
          <w:rFonts w:ascii="Times New Roman" w:hAnsi="Times New Roman"/>
          <w:b/>
          <w:sz w:val="20"/>
          <w:u w:val="single"/>
        </w:rPr>
        <w:t>The Merger</w:t>
      </w:r>
      <w:r>
        <w:rPr>
          <w:rFonts w:ascii="Times New Roman" w:hAnsi="Times New Roman"/>
          <w:sz w:val="20"/>
        </w:rPr>
        <w:t>. On the terms and subject to the conditions set forth in this Agreement, and in accordance with the applicable provisions of the Delaware General Corporation Law (the “</w:t>
      </w:r>
      <w:r>
        <w:rPr>
          <w:rFonts w:ascii="Times New Roman" w:hAnsi="Times New Roman"/>
          <w:sz w:val="20"/>
          <w:u w:val="single"/>
        </w:rPr>
        <w:t>DGCL</w:t>
      </w:r>
      <w:r>
        <w:rPr>
          <w:rFonts w:ascii="Times New Roman" w:hAnsi="Times New Roman"/>
          <w:sz w:val="20"/>
        </w:rPr>
        <w:t>”), at the Effective Time, Merger Sub shall be merged with and into FBB (the “</w:t>
      </w:r>
      <w:r>
        <w:rPr>
          <w:rFonts w:ascii="Times New Roman" w:hAnsi="Times New Roman"/>
          <w:sz w:val="20"/>
          <w:u w:val="single"/>
        </w:rPr>
        <w:t>Merger</w:t>
      </w:r>
      <w:r>
        <w:rPr>
          <w:rFonts w:ascii="Times New Roman" w:hAnsi="Times New Roman"/>
          <w:sz w:val="20"/>
        </w:rPr>
        <w:t>”). At the Effective Time, the separate corporate existence of Merger Sub shall cease, and FBB shall continue as the surviving corporation in the Merger (the “</w:t>
      </w:r>
      <w:r>
        <w:rPr>
          <w:rFonts w:ascii="Times New Roman" w:hAnsi="Times New Roman"/>
          <w:sz w:val="20"/>
          <w:u w:val="single"/>
        </w:rPr>
        <w:t>Surviving Company</w:t>
      </w:r>
      <w:r>
        <w:rPr>
          <w:rFonts w:ascii="Times New Roman" w:hAnsi="Times New Roman"/>
          <w:sz w:val="20"/>
        </w:rPr>
        <w:t xml:space="preserve">”). As a result of the Merger, FBB shall (a) become a wholly owned subsidiary of DXL, (b) continue to be governed by the Laws of the State of Delaware, (c) have a registered office in the State of Delaware, and (d) possess and be subject to all of the rights, properties and obligations of Merger Sub in accordance with the DGCL. </w:t>
      </w:r>
    </w:p>
    <w:p>
      <w:pPr>
        <w:pStyle w:val="TextBody"/>
        <w:bidi w:val="0"/>
        <w:spacing w:before="240" w:after="0"/>
        <w:jc w:val="left"/>
        <w:rPr>
          <w:rFonts w:ascii="Times New Roman" w:hAnsi="Times New Roman"/>
          <w:sz w:val="20"/>
        </w:rPr>
      </w:pPr>
      <w:bookmarkStart w:id="106" w:name="anxa76201_3"/>
      <w:bookmarkEnd w:id="106"/>
      <w:r>
        <w:rPr>
          <w:rFonts w:ascii="Times New Roman" w:hAnsi="Times New Roman"/>
          <w:b/>
          <w:sz w:val="20"/>
        </w:rPr>
        <w:t xml:space="preserve">SECTION 1.02 </w:t>
      </w:r>
      <w:r>
        <w:rPr>
          <w:rFonts w:ascii="Times New Roman" w:hAnsi="Times New Roman"/>
          <w:b/>
          <w:sz w:val="20"/>
          <w:u w:val="single"/>
        </w:rPr>
        <w:t>Closing</w:t>
      </w:r>
      <w:r>
        <w:rPr>
          <w:rFonts w:ascii="Times New Roman" w:hAnsi="Times New Roman"/>
          <w:sz w:val="20"/>
        </w:rPr>
        <w:t xml:space="preserve">. Unless this Agreement shall have been terminated in accordance with </w:t>
      </w:r>
      <w:r>
        <w:rPr>
          <w:rFonts w:ascii="Times New Roman" w:hAnsi="Times New Roman"/>
          <w:sz w:val="20"/>
          <w:u w:val="single"/>
        </w:rPr>
        <w:t>Section 8.01</w:t>
      </w:r>
      <w:r>
        <w:rPr>
          <w:rFonts w:ascii="Times New Roman" w:hAnsi="Times New Roman"/>
          <w:sz w:val="20"/>
        </w:rPr>
        <w:t>, the closing (the “</w:t>
      </w:r>
      <w:r>
        <w:rPr>
          <w:rFonts w:ascii="Times New Roman" w:hAnsi="Times New Roman"/>
          <w:sz w:val="20"/>
          <w:u w:val="single"/>
        </w:rPr>
        <w:t>Closing</w:t>
      </w:r>
      <w:r>
        <w:rPr>
          <w:rFonts w:ascii="Times New Roman" w:hAnsi="Times New Roman"/>
          <w:sz w:val="20"/>
        </w:rPr>
        <w:t xml:space="preserve">”) of the Merger shall take place by electronic exchange of all executed documents and other deliverables required by this Agreement to be delivered at Closing, including pursuant to </w:t>
      </w:r>
      <w:r>
        <w:rPr>
          <w:rFonts w:ascii="Times New Roman" w:hAnsi="Times New Roman"/>
          <w:sz w:val="20"/>
          <w:u w:val="single"/>
        </w:rPr>
        <w:t>Article VII</w:t>
      </w:r>
      <w:r>
        <w:rPr>
          <w:rFonts w:ascii="Times New Roman" w:hAnsi="Times New Roman"/>
          <w:sz w:val="20"/>
        </w:rPr>
        <w:t xml:space="preserve">) at 10:00 a.m., Eastern time, on the third (3rd) Business Day following the satisfaction or (to the extent permitted by Law) waiver by the party or parties entitled to the benefits thereof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nature are to be satisfied at the Closing, but subject to the satisfaction or (to the extent permitted by Law) waiver of those conditions), or at such other place, time and date as shall be agreed in writing between DXL and FBB.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7" w:name="anxa76201_4"/>
      <w:bookmarkEnd w:id="107"/>
      <w:r>
        <w:rPr>
          <w:rFonts w:ascii="Times New Roman" w:hAnsi="Times New Roman"/>
          <w:b/>
          <w:sz w:val="20"/>
        </w:rPr>
        <w:t xml:space="preserve">SECTION 1.03 </w:t>
      </w:r>
      <w:r>
        <w:rPr>
          <w:rFonts w:ascii="Times New Roman" w:hAnsi="Times New Roman"/>
          <w:b/>
          <w:sz w:val="20"/>
          <w:u w:val="single"/>
        </w:rPr>
        <w:t>Effective Time</w:t>
      </w:r>
      <w:r>
        <w:rPr>
          <w:rFonts w:ascii="Times New Roman" w:hAnsi="Times New Roman"/>
          <w:sz w:val="20"/>
        </w:rPr>
        <w:t>. The Merger shall become effective upon the filing of a certificate of merger in respect of the Merger (the “</w:t>
      </w:r>
      <w:r>
        <w:rPr>
          <w:rFonts w:ascii="Times New Roman" w:hAnsi="Times New Roman"/>
          <w:sz w:val="20"/>
          <w:u w:val="single"/>
        </w:rPr>
        <w:t>Certificate of Merger</w:t>
      </w:r>
      <w:r>
        <w:rPr>
          <w:rFonts w:ascii="Times New Roman" w:hAnsi="Times New Roman"/>
          <w:sz w:val="20"/>
        </w:rPr>
        <w:t>“) with the Secretary of State of the State of Delaware, or such later date and time as may be specified in the Certificate of Merger in accordance with the DGCL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8" w:name="anxa76201_5"/>
      <w:bookmarkEnd w:id="108"/>
      <w:r>
        <w:rPr>
          <w:rFonts w:ascii="Times New Roman" w:hAnsi="Times New Roman"/>
          <w:b/>
          <w:sz w:val="20"/>
        </w:rPr>
        <w:t xml:space="preserve">SECTION 1.04 </w:t>
      </w:r>
      <w:r>
        <w:rPr>
          <w:rFonts w:ascii="Times New Roman" w:hAnsi="Times New Roman"/>
          <w:b/>
          <w:sz w:val="20"/>
          <w:u w:val="single"/>
        </w:rPr>
        <w:t>Effects of the Merger</w:t>
      </w:r>
      <w:r>
        <w:rPr>
          <w:rFonts w:ascii="Times New Roman" w:hAnsi="Times New Roman"/>
          <w:sz w:val="20"/>
        </w:rPr>
        <w:t xml:space="preserve">. The Merger shall have the effects set forth in this Agreement and as specified in the applicable provisions of the DGCL. Without limiting the generality of the foregoing, and subject thereto, from and after the Effective Time, all property, rights, privileges, immunities, powers, franchises, licenses and authority of FBB and Merger Sub shall vest in the Surviving Company, and all debts, liabilities, obligations, restrictions and duties of each of FBB and Merger Sub shall become the debts, liabilities, obligations, restrictions and duties of the Surviving Company. </w:t>
      </w:r>
    </w:p>
    <w:p>
      <w:pPr>
        <w:pStyle w:val="TextBody"/>
        <w:bidi w:val="0"/>
        <w:spacing w:before="240" w:after="0"/>
        <w:jc w:val="left"/>
        <w:rPr>
          <w:rFonts w:ascii="Times New Roman" w:hAnsi="Times New Roman"/>
          <w:sz w:val="20"/>
        </w:rPr>
      </w:pPr>
      <w:bookmarkStart w:id="109" w:name="anxa76201_6"/>
      <w:bookmarkEnd w:id="109"/>
      <w:r>
        <w:rPr>
          <w:rFonts w:ascii="Times New Roman" w:hAnsi="Times New Roman"/>
          <w:b/>
          <w:sz w:val="20"/>
        </w:rPr>
        <w:t xml:space="preserve">SECTION 1.05 </w:t>
      </w:r>
      <w:r>
        <w:rPr>
          <w:rFonts w:ascii="Times New Roman" w:hAnsi="Times New Roman"/>
          <w:b/>
          <w:sz w:val="20"/>
          <w:u w:val="single"/>
        </w:rPr>
        <w:t>Organizational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Effective as of the Effective Time, the certificate of incorporation of FBB, as in effect immediately prior to the Effective Time,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hereto, and, as so amended and restated, will be the certificate of incorporation of the Surviving Company (the “</w:t>
      </w:r>
      <w:r>
        <w:rPr>
          <w:rFonts w:ascii="Times New Roman" w:hAnsi="Times New Roman"/>
          <w:sz w:val="20"/>
          <w:u w:val="single"/>
        </w:rPr>
        <w:t>Surviving Company Charter</w:t>
      </w:r>
      <w:r>
        <w:rPr>
          <w:rFonts w:ascii="Times New Roman" w:hAnsi="Times New Roman"/>
          <w:sz w:val="20"/>
        </w:rPr>
        <w:t xml:space="preserve">”), until thereafter amended in accordance with its terms, the terms of this Agreement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the bylaws of the Surviving Company shall be amended and restated to conform to the bylaws of Merger Sub as in effect immediately prior to the Effective Time, which shall conform with the rights and responsibilities of the Surviving Company under this Agreement, including the provisions of </w:t>
      </w:r>
      <w:r>
        <w:rPr>
          <w:rFonts w:ascii="Times New Roman" w:hAnsi="Times New Roman"/>
          <w:sz w:val="20"/>
          <w:u w:val="single"/>
        </w:rPr>
        <w:t>Section 6.11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0" w:name="anxa76201_7"/>
      <w:bookmarkEnd w:id="110"/>
      <w:r>
        <w:rPr>
          <w:rFonts w:ascii="Times New Roman" w:hAnsi="Times New Roman"/>
          <w:b/>
          <w:sz w:val="20"/>
        </w:rPr>
        <w:t xml:space="preserve">SECTION 1.06 </w:t>
      </w:r>
      <w:r>
        <w:rPr>
          <w:rFonts w:ascii="Times New Roman" w:hAnsi="Times New Roman"/>
          <w:b/>
          <w:sz w:val="20"/>
          <w:u w:val="single"/>
        </w:rPr>
        <w:t>Directors and Officers of the Surviving Company</w:t>
      </w:r>
      <w:r>
        <w:rPr>
          <w:rFonts w:ascii="Times New Roman" w:hAnsi="Times New Roman"/>
          <w:sz w:val="20"/>
        </w:rPr>
        <w:t xml:space="preserve">. At the Effective Time, the directors and officers of the Surviving Company, each to hold office in accordance with the Surviving Company Charter and until their earlier resignation or removal or until their respective successors are duly elected or appointed and qualified, shall be such individuals as set forth on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480" w:after="0"/>
        <w:jc w:val="center"/>
        <w:rPr>
          <w:rFonts w:ascii="Times New Roman" w:hAnsi="Times New Roman"/>
          <w:b/>
          <w:sz w:val="20"/>
        </w:rPr>
      </w:pPr>
      <w:bookmarkStart w:id="111" w:name="anxa76201_8"/>
      <w:bookmarkEnd w:id="111"/>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u w:val="single"/>
        </w:rPr>
        <w:t>EFFECT ON FBB CAPITAL STOCK; EXCHANGE OF CERTIFICATES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12" w:name="anxa76201_9"/>
      <w:bookmarkEnd w:id="112"/>
      <w:r>
        <w:rPr>
          <w:rFonts w:ascii="Times New Roman" w:hAnsi="Times New Roman"/>
          <w:b/>
          <w:sz w:val="20"/>
        </w:rPr>
        <w:t xml:space="preserve">SECTION 2.01 </w:t>
      </w:r>
      <w:r>
        <w:rPr>
          <w:rFonts w:ascii="Times New Roman" w:hAnsi="Times New Roman"/>
          <w:b/>
          <w:sz w:val="20"/>
          <w:u w:val="single"/>
        </w:rPr>
        <w:t>Effect on FBB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action on the part of DXL, Merger Sub or FBB, or the holders of any FBB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Merger Consideration</w:t>
      </w:r>
      <w:r>
        <w:rPr>
          <w:rFonts w:ascii="Times New Roman" w:hAnsi="Times New Roman"/>
          <w:sz w:val="20"/>
        </w:rPr>
        <w:t xml:space="preserve">. Each share of FBB Common Stock, other than Excluded Shares, Appraisal Shares and Unaccredited Investor Shares, shall be converted into the right to receive that number of fully paid and nonassessable shares of DXL Common Stock equal to the Exchange Ratio with that number of shares of DXL Common Stock to be received by a holder of FBB Common Stock pursuant to this </w:t>
      </w:r>
      <w:r>
        <w:rPr>
          <w:rFonts w:ascii="Times New Roman" w:hAnsi="Times New Roman"/>
          <w:sz w:val="20"/>
          <w:u w:val="single"/>
        </w:rPr>
        <w:t>Section 2.01(a)</w:t>
      </w:r>
      <w:r>
        <w:rPr>
          <w:rFonts w:ascii="Times New Roman" w:hAnsi="Times New Roman"/>
          <w:sz w:val="20"/>
        </w:rPr>
        <w:t xml:space="preserve"> who would otherwise be entitled to receive a fraction of a share of a DXL Common Stock (after aggregating all fractional DXL Common Stock issuable to such holder in connection with the Merger) to be rounded up to the nearest whole number of shares of DXL Common Stock. All shares of DXL Common Stock to be issued pursuant to this </w:t>
      </w:r>
      <w:r>
        <w:rPr>
          <w:rFonts w:ascii="Times New Roman" w:hAnsi="Times New Roman"/>
          <w:sz w:val="20"/>
          <w:u w:val="single"/>
        </w:rPr>
        <w:t>Section 2.01(a)</w:t>
      </w:r>
      <w:r>
        <w:rPr>
          <w:rFonts w:ascii="Times New Roman" w:hAnsi="Times New Roman"/>
          <w:sz w:val="20"/>
        </w:rPr>
        <w:t>, together with the Unaccredited Investor Cash Consideration, are collectively referred to herein as the “</w:t>
      </w:r>
      <w:r>
        <w:rPr>
          <w:rFonts w:ascii="Times New Roman" w:hAnsi="Times New Roman"/>
          <w:sz w:val="20"/>
          <w:u w:val="single"/>
        </w:rPr>
        <w:t>Merger Consideration</w:t>
      </w:r>
      <w:r>
        <w:rPr>
          <w:rFonts w:ascii="Times New Roman" w:hAnsi="Times New Roman"/>
          <w:sz w:val="20"/>
        </w:rPr>
        <w:t>”. Each holder of a physical certificate (a “</w:t>
      </w:r>
      <w:r>
        <w:rPr>
          <w:rFonts w:ascii="Times New Roman" w:hAnsi="Times New Roman"/>
          <w:sz w:val="20"/>
          <w:u w:val="single"/>
        </w:rPr>
        <w:t>Certificate</w:t>
      </w:r>
      <w:r>
        <w:rPr>
          <w:rFonts w:ascii="Times New Roman" w:hAnsi="Times New Roman"/>
          <w:sz w:val="20"/>
        </w:rPr>
        <w:t>”) that immediately prior to the Effective Time represented any FBB Common Stock or non-certificated shares of FBB Common Stock held in book-entry form (each, a “</w:t>
      </w:r>
      <w:r>
        <w:rPr>
          <w:rFonts w:ascii="Times New Roman" w:hAnsi="Times New Roman"/>
          <w:sz w:val="20"/>
          <w:u w:val="single"/>
        </w:rPr>
        <w:t>Book-Entry Share</w:t>
      </w:r>
      <w:r>
        <w:rPr>
          <w:rFonts w:ascii="Times New Roman" w:hAnsi="Times New Roman"/>
          <w:sz w:val="20"/>
        </w:rPr>
        <w:t xml:space="preserve">”), in each case, converted pursuant to this </w:t>
      </w:r>
      <w:r>
        <w:rPr>
          <w:rFonts w:ascii="Times New Roman" w:hAnsi="Times New Roman"/>
          <w:sz w:val="20"/>
          <w:u w:val="single"/>
        </w:rPr>
        <w:t>Section 2.01(a)</w:t>
      </w:r>
      <w:r>
        <w:rPr>
          <w:rFonts w:ascii="Times New Roman" w:hAnsi="Times New Roman"/>
          <w:sz w:val="20"/>
        </w:rPr>
        <w:t xml:space="preserve"> shall cease to have any rights with respect thereto, except the right to receive the portion of the Merger Consideration to which such shares of FBB Common Stock are entitled pursuant hereto and any dividends or other distributions to which holders become entitled upon the surrender of such Certificates or Book-Entry Shares in accordance with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2.02(d)</w:t>
      </w:r>
      <w:r>
        <w:rPr>
          <w:rFonts w:ascii="Times New Roman" w:hAnsi="Times New Roman"/>
          <w:sz w:val="20"/>
        </w:rPr>
        <w:t xml:space="preserve">, in each case without interest and less, subject to </w:t>
      </w:r>
      <w:r>
        <w:rPr>
          <w:rFonts w:ascii="Times New Roman" w:hAnsi="Times New Roman"/>
          <w:sz w:val="20"/>
          <w:u w:val="single"/>
        </w:rPr>
        <w:t>Section 2.02(h)</w:t>
      </w:r>
      <w:r>
        <w:rPr>
          <w:rFonts w:ascii="Times New Roman" w:hAnsi="Times New Roman"/>
          <w:sz w:val="20"/>
        </w:rPr>
        <w:t xml:space="preserve">,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Treatment of Excluded Shares</w:t>
      </w:r>
      <w:r>
        <w:rPr>
          <w:rFonts w:ascii="Times New Roman" w:hAnsi="Times New Roman"/>
          <w:sz w:val="20"/>
        </w:rPr>
        <w:t>. Each share of FBB Capital Stock that is directly owned by FBB as treasury stock or otherwise, by DXL or Merger Sub, or by any Subsidiary of any of the foregoing immediately prior to the Effective Time (the “</w:t>
      </w:r>
      <w:r>
        <w:rPr>
          <w:rFonts w:ascii="Times New Roman" w:hAnsi="Times New Roman"/>
          <w:sz w:val="20"/>
          <w:u w:val="single"/>
        </w:rPr>
        <w:t>Excluded Shares</w:t>
      </w:r>
      <w:r>
        <w:rPr>
          <w:rFonts w:ascii="Times New Roman" w:hAnsi="Times New Roman"/>
          <w:sz w:val="20"/>
        </w:rPr>
        <w:t xml:space="preserve">”) shall be cancelled and shall cease to exist, and no consideration shall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Treatment of Unaccredited Investor Shares</w:t>
      </w:r>
      <w:r>
        <w:rPr>
          <w:rFonts w:ascii="Times New Roman" w:hAnsi="Times New Roman"/>
          <w:sz w:val="20"/>
        </w:rPr>
        <w:t>. Notwithstanding any other provision of this Agreement, each share of FBB Common Stock held immediately prior to the Effective Time by a FBB Stockholder that is an Unaccredited Investor (each, an “</w:t>
      </w:r>
      <w:r>
        <w:rPr>
          <w:rFonts w:ascii="Times New Roman" w:hAnsi="Times New Roman"/>
          <w:sz w:val="20"/>
          <w:u w:val="single"/>
        </w:rPr>
        <w:t>Unaccredited Investor Share</w:t>
      </w:r>
      <w:r>
        <w:rPr>
          <w:rFonts w:ascii="Times New Roman" w:hAnsi="Times New Roman"/>
          <w:sz w:val="20"/>
        </w:rPr>
        <w:t xml:space="preserve">”) shall be converted into the right to receive the Unaccredited Investor Cash Consideration, without any interest thereon. For the avoidance of doubt, no Unaccredited Investor shall receive any stock consideration in the Merger.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Treatment of FBB Warrants</w:t>
      </w:r>
      <w:r>
        <w:rPr>
          <w:rFonts w:ascii="Times New Roman" w:hAnsi="Times New Roman"/>
          <w:sz w:val="20"/>
        </w:rPr>
        <w:t xml:space="preserve">. Contingent on and with effect immediately prior to the Effective Time, all FBB Warrants outstanding immediately prior to the Effective Time shall, without any further action on the part of any holder thereof, be cancelled, terminated, and extinguished in their entirety in accordance with the terms and conditions of those certain warrant termination agreements duly executed and delivered by each holder of FBB Warrants to FBB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Appraisal Rights</w:t>
      </w:r>
      <w:r>
        <w:rPr>
          <w:rFonts w:ascii="Times New Roman" w:hAnsi="Times New Roman"/>
          <w:sz w:val="20"/>
        </w:rPr>
        <w:t xml:space="preserve">. Notwithstanding any provision of this Agreement to the contrary, shares of FBB Capital Stock that are issued and outstanding immediately prior to the Effective Time (other than the Excluded Shares) and that are held by holders of such shares who have not voted in favor of the adoption of this Agreement or consented thereto in writing and who have properly exercised appraisal rights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accordance with, and who have complied with, Section 262 of the DGCL with respect to any such shares held by any such holder (the “</w:t>
      </w:r>
      <w:r>
        <w:rPr>
          <w:rFonts w:ascii="Times New Roman" w:hAnsi="Times New Roman"/>
          <w:sz w:val="20"/>
          <w:u w:val="single"/>
        </w:rPr>
        <w:t>Appraisal Shares</w:t>
      </w:r>
      <w:r>
        <w:rPr>
          <w:rFonts w:ascii="Times New Roman" w:hAnsi="Times New Roman"/>
          <w:sz w:val="20"/>
        </w:rPr>
        <w:t xml:space="preserve">”) shall not be converted into the right to receive the Merger Consideration, and holders of Appraisal Shares shall be entitled to receive payment of the fair value of Appraisal Shares in accordance with the provisions of Section 262 of the DGCL, unless and until any such holder fails to perfect or effectively withdraws or loses its rights to appraisal and payment under the DGCL. If, after the Effective Time, any such holder fails to perfect or effectively withdraws or loses such rights, such Appraisal Shares will thereupon be no longer considered Appraisal Shares under this Agreement and will be treated as if they had been converted into, at the Effective Time, the right to receive the Merger Consideration, without any interest thereon, and the Surviving Company shall remain liable for payment of the Merger Consideration for such shares. At the Effective Time, any holder of Appraisal Shares shall cease to have any rights with respect thereto, except the rights provided in Section 262 of the DGCL and as provided in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Adjustments</w:t>
      </w:r>
      <w:r>
        <w:rPr>
          <w:rFonts w:ascii="Times New Roman" w:hAnsi="Times New Roman"/>
          <w:sz w:val="20"/>
        </w:rPr>
        <w:t xml:space="preserve">. If, between the date of this Agreement and the Effective Time, the number of outstanding DXL Common Stock or FBB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Exchange Ratio shall be appropriately and proportionately adjusted to provide to the holders of DXL Common Stock and the holders of FBB Common Stock and FBB Warrants the same economic effect as contemplated by this Agreement prior to such event; provided that this </w:t>
      </w:r>
      <w:r>
        <w:rPr>
          <w:rFonts w:ascii="Times New Roman" w:hAnsi="Times New Roman"/>
          <w:sz w:val="20"/>
          <w:u w:val="single"/>
        </w:rPr>
        <w:t>Section 2.01(c)</w:t>
      </w:r>
      <w:r>
        <w:rPr>
          <w:rFonts w:ascii="Times New Roman" w:hAnsi="Times New Roman"/>
          <w:sz w:val="20"/>
        </w:rPr>
        <w:t xml:space="preserve"> shall not affect or supersede the provisions of </w:t>
      </w:r>
      <w:r>
        <w:rPr>
          <w:rFonts w:ascii="Times New Roman" w:hAnsi="Times New Roman"/>
          <w:sz w:val="20"/>
          <w:u w:val="single"/>
        </w:rPr>
        <w:t>Section 5.01</w:t>
      </w:r>
      <w:r>
        <w:rPr>
          <w:rFonts w:ascii="Times New Roman" w:hAnsi="Times New Roman"/>
          <w:sz w:val="20"/>
        </w:rPr>
        <w:t xml:space="preserve"> or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of Merger Sub Capital Stock</w:t>
      </w:r>
      <w:r>
        <w:rPr>
          <w:rFonts w:ascii="Times New Roman" w:hAnsi="Times New Roman"/>
          <w:sz w:val="20"/>
        </w:rPr>
        <w:t xml:space="preserve">. At the Effective Time, by virtue of and simultaneously with the Merger and without any further action on the part of DXL, Merger Sub or FBB, each share of common stock of Merger Sub issued and outstanding immediately prior to the Effective Time shall be automatically converted into one validly issued, fully paid and non-assessable share of common stock of the Surviving Company and such shares shall constitute the only outstanding shares of capital stock of the Surviving Company. Each certificate evidencing ownership of such shares of Merger Sub immediately prior to the Effective Time shall, as of the Effective Time, evidence ownership of such shares of the Surviving Company. </w:t>
      </w:r>
    </w:p>
    <w:p>
      <w:pPr>
        <w:pStyle w:val="TextBody"/>
        <w:bidi w:val="0"/>
        <w:spacing w:before="240" w:after="0"/>
        <w:jc w:val="left"/>
        <w:rPr>
          <w:rFonts w:ascii="Times New Roman" w:hAnsi="Times New Roman"/>
          <w:sz w:val="20"/>
        </w:rPr>
      </w:pPr>
      <w:bookmarkStart w:id="113" w:name="anxa76201_10"/>
      <w:bookmarkEnd w:id="113"/>
      <w:r>
        <w:rPr>
          <w:rFonts w:ascii="Times New Roman" w:hAnsi="Times New Roman"/>
          <w:b/>
          <w:sz w:val="20"/>
        </w:rPr>
        <w:t xml:space="preserve">SECTION 2.02 </w:t>
      </w:r>
      <w:r>
        <w:rPr>
          <w:rFonts w:ascii="Times New Roman" w:hAnsi="Times New Roman"/>
          <w:b/>
          <w:sz w:val="20"/>
          <w:u w:val="single"/>
        </w:rPr>
        <w:t>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Agent</w:t>
      </w:r>
      <w:r>
        <w:rPr>
          <w:rFonts w:ascii="Times New Roman" w:hAnsi="Times New Roman"/>
          <w:sz w:val="20"/>
        </w:rPr>
        <w:t>. Prior to the Effective Time, DXL and FBB shall appoint a commercial bank, trust company or stockholder service provider to be mutually agreed upon by them to act as exchange agent (the “</w:t>
      </w:r>
      <w:r>
        <w:rPr>
          <w:rFonts w:ascii="Times New Roman" w:hAnsi="Times New Roman"/>
          <w:sz w:val="20"/>
          <w:u w:val="single"/>
        </w:rPr>
        <w:t>Exchange Agent</w:t>
      </w:r>
      <w:r>
        <w:rPr>
          <w:rFonts w:ascii="Times New Roman" w:hAnsi="Times New Roman"/>
          <w:sz w:val="20"/>
        </w:rPr>
        <w:t xml:space="preserve">”) for the delivery of the Merger Consideration to holders of FBB Common Stock (together with any cash in respect of any other dividends or distributions that such holders have the right to receive pursuant to </w:t>
      </w:r>
      <w:r>
        <w:rPr>
          <w:rFonts w:ascii="Times New Roman" w:hAnsi="Times New Roman"/>
          <w:sz w:val="20"/>
          <w:u w:val="single"/>
        </w:rPr>
        <w:t>Section 2.02(d)</w:t>
      </w:r>
      <w:r>
        <w:rPr>
          <w:rFonts w:ascii="Times New Roman" w:hAnsi="Times New Roman"/>
          <w:sz w:val="20"/>
        </w:rPr>
        <w:t>). Promptly following the Effective Time, FBB shall provide DXL (with a copy to the Exchange Agent) the stockholders registry of FBB updated as of immediately prior to the Effective Time, following the conversion of the FBB Preferred Stock into FBB Common Stock in accordance with their respective terms (the “</w:t>
      </w:r>
      <w:r>
        <w:rPr>
          <w:rFonts w:ascii="Times New Roman" w:hAnsi="Times New Roman"/>
          <w:sz w:val="20"/>
          <w:u w:val="single"/>
        </w:rPr>
        <w:t>Final Stockholders Registry</w:t>
      </w:r>
      <w:r>
        <w:rPr>
          <w:rFonts w:ascii="Times New Roman" w:hAnsi="Times New Roman"/>
          <w:sz w:val="20"/>
        </w:rPr>
        <w:t xml:space="preserve">”), including addresses, tax identification numbers and other information reasonably required by the Exchange Agent. At or prior to the Effective Time, DXL shall deposit with the Exchange Agent, for the benefit of holders of Certificates or Book-Entry Shares appearing in the Final Stockholders Registry, for exchange in accordance with this </w:t>
      </w:r>
      <w:r>
        <w:rPr>
          <w:rFonts w:ascii="Times New Roman" w:hAnsi="Times New Roman"/>
          <w:sz w:val="20"/>
          <w:u w:val="single"/>
        </w:rPr>
        <w:t>Article II</w:t>
      </w:r>
      <w:r>
        <w:rPr>
          <w:rFonts w:ascii="Times New Roman" w:hAnsi="Times New Roman"/>
          <w:sz w:val="20"/>
        </w:rPr>
        <w:t xml:space="preserve"> through the Exchange Agent, the DXL Common Stock (in certificated or book-entry form) to be delivered as the Merger Consideration (the “</w:t>
      </w:r>
      <w:r>
        <w:rPr>
          <w:rFonts w:ascii="Times New Roman" w:hAnsi="Times New Roman"/>
          <w:sz w:val="20"/>
          <w:u w:val="single"/>
        </w:rPr>
        <w:t>Exchange Fund</w:t>
      </w:r>
      <w:r>
        <w:rPr>
          <w:rFonts w:ascii="Times New Roman" w:hAnsi="Times New Roman"/>
          <w:sz w:val="20"/>
        </w:rPr>
        <w:t xml:space="preserve">”). Immediately following the Effective Time, DXL shall instruct the Exchange Agent to timely pay the Merger Consideration (including the Unaccredited Investor Cash Consideration) and such other amounts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Deposit of Unaccredited Investor Cash Consideration</w:t>
      </w:r>
      <w:r>
        <w:rPr>
          <w:rFonts w:ascii="Times New Roman" w:hAnsi="Times New Roman"/>
          <w:sz w:val="20"/>
        </w:rPr>
        <w:t>. At least two (2) Business Days prior to the Closing Date, FBB shall deliver to DXL a schedule (the “</w:t>
      </w:r>
      <w:r>
        <w:rPr>
          <w:rFonts w:ascii="Times New Roman" w:hAnsi="Times New Roman"/>
          <w:sz w:val="20"/>
          <w:u w:val="single"/>
        </w:rPr>
        <w:t>Unaccredited Investor Schedule</w:t>
      </w:r>
      <w:r>
        <w:rPr>
          <w:rFonts w:ascii="Times New Roman" w:hAnsi="Times New Roman"/>
          <w:sz w:val="20"/>
        </w:rPr>
        <w:t xml:space="preserve">”), setting forth (A) the name and address of each holder of Unaccredited Investor Shares as of immediately prior to the Effective Time, (B) the number of Unaccredited Investor Shares held by each such holder, and (C) the mailing address for each such holder. Promptly following the Effective Time, DXL shall deposit, or cause to be deposited,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Agent, for the benefit of holders of Unaccredited Investor Shares, cash in immediately available funds in an amount equal to the total amount of Merger Consideration to be paid to the Unaccredited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Exchange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As soon as reasonably practicable after the Effective Time, DXL shall cause the Exchange Agent to mail to each holder of record of a Certificate or Book Entry-Share whose shares will be or were transferred pursuant to </w:t>
      </w:r>
      <w:r>
        <w:rPr>
          <w:rFonts w:ascii="Times New Roman" w:hAnsi="Times New Roman"/>
          <w:sz w:val="20"/>
          <w:u w:val="single"/>
        </w:rPr>
        <w:t>Section 2.01(a)</w:t>
      </w:r>
      <w:r>
        <w:rPr>
          <w:rFonts w:ascii="Times New Roman" w:hAnsi="Times New Roman"/>
          <w:sz w:val="20"/>
        </w:rPr>
        <w:t xml:space="preserve"> in consideration for the right to receive the Merger Consideration (i) a letter of transmittal in customary form as reasonably agreed by the parties which (A) shall specify that delivery shall be effected, and risk of loss and title to the Certificates or Book Entry-Share shall pass, only upon delivery of the letter of transmittal and, if applicable, Certificates to the Exchange Agent and (B) shall have such other provisions as DXL and FBB may reasonably specify and (ii) instructions for effecting the surrender of the Certificates or Book Entry-Shares in exchange for the Merger Consideration. Upon proper surrender of a Certificate to the Exchange Agent, if applicable, together with such letter of transmittal, duly completed and validly executed in accordance with the instructions thereto, and such other documents as may reasonably be required by the Exchange Agent, the holder of such Certificate or Book-Entry Share shall be entitled to receive in exchange therefor either the (A) Unaccredited Investor Cash Consideration or (B) a physical certificate or uncertificated book-entry representing that number of whole DXL Common Stock that such holder has the right to receive in respect of the aggregate number of FBB Common Stock previously represented by such Certificate or Book Entry- Share pursuant to </w:t>
      </w:r>
      <w:r>
        <w:rPr>
          <w:rFonts w:ascii="Times New Roman" w:hAnsi="Times New Roman"/>
          <w:sz w:val="20"/>
          <w:u w:val="single"/>
        </w:rPr>
        <w:t>Section 2.01(a)</w:t>
      </w:r>
      <w:r>
        <w:rPr>
          <w:rFonts w:ascii="Times New Roman" w:hAnsi="Times New Roman"/>
          <w:sz w:val="20"/>
        </w:rPr>
        <w:t xml:space="preserve"> and a check representing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and the Certificate so surrendered or the Book-Entry Share shall immediately be canceled. Until surrendered as contemplated by this </w:t>
      </w:r>
      <w:r>
        <w:rPr>
          <w:rFonts w:ascii="Times New Roman" w:hAnsi="Times New Roman"/>
          <w:sz w:val="20"/>
          <w:u w:val="single"/>
        </w:rPr>
        <w:t>Section 2.02</w:t>
      </w:r>
      <w:r>
        <w:rPr>
          <w:rFonts w:ascii="Times New Roman" w:hAnsi="Times New Roman"/>
          <w:sz w:val="20"/>
        </w:rPr>
        <w:t xml:space="preserve">, if applicable, each Certificate or Book Entry-Share shall be deemed at any time after the Effective Time to represent only the right to receive upon such surrender the Merger Consideration that the holder of such Certificate or Book Entry-Share has the right to receive in respect of such Certificate or Book Entry-Share pursuant to </w:t>
      </w:r>
      <w:r>
        <w:rPr>
          <w:rFonts w:ascii="Times New Roman" w:hAnsi="Times New Roman"/>
          <w:sz w:val="20"/>
          <w:u w:val="single"/>
        </w:rPr>
        <w:t>Section 2.01(a)</w:t>
      </w:r>
      <w:r>
        <w:rPr>
          <w:rFonts w:ascii="Times New Roman" w:hAnsi="Times New Roman"/>
          <w:sz w:val="20"/>
        </w:rPr>
        <w:t xml:space="preserve"> (together with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No interest shall be paid or shall accrue on any cash payable upon surrender of any Certificate or Book Entry-Share pursuant to </w:t>
      </w:r>
      <w:r>
        <w:rPr>
          <w:rFonts w:ascii="Times New Roman" w:hAnsi="Times New Roman"/>
          <w:sz w:val="20"/>
          <w:u w:val="single"/>
        </w:rPr>
        <w:t>Section 2.</w:t>
      </w:r>
      <w:r>
        <w:rPr>
          <w:rFonts w:ascii="Times New Roman" w:hAnsi="Times New Roman"/>
          <w:sz w:val="20"/>
        </w:rPr>
        <w:t xml:space="preserve">01(a).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Unexchanged Shares</w:t>
      </w:r>
      <w:r>
        <w:rPr>
          <w:rFonts w:ascii="Times New Roman" w:hAnsi="Times New Roman"/>
          <w:sz w:val="20"/>
        </w:rPr>
        <w:t xml:space="preserve">. No dividends or other distributions declared or made with respect to DXL Common Stock with a record date after the Effective Time shall be paid to the holder of any unsurrendered Certificate or Book Entry-Share with respect to the DXL Common Stock issuable upon surrender or cancellation thereof, and no cash in respect of any unpaid dividends or distributions with a record date prior to the Effective Time that have been declared with respect to the FBB Common Stock shall be paid to any such holder, until the surrender of such Certificate or Book Entry-Share in accordance with this </w:t>
      </w:r>
      <w:r>
        <w:rPr>
          <w:rFonts w:ascii="Times New Roman" w:hAnsi="Times New Roman"/>
          <w:sz w:val="20"/>
          <w:u w:val="single"/>
        </w:rPr>
        <w:t>Article II</w:t>
      </w:r>
      <w:r>
        <w:rPr>
          <w:rFonts w:ascii="Times New Roman" w:hAnsi="Times New Roman"/>
          <w:sz w:val="20"/>
        </w:rPr>
        <w:t xml:space="preserve">. Subject to escheat or other applicable Law, following surrender of any such Certificate or Book Entry-Share, there shall be paid to the holder of the Certificate or Book Entry-Share, without interest, at the time of surrender, the amount of dividends or other distributions with a record date after the Effective Time previously paid with respect to each share of DXL Common Stock that such holder has the right to receive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Further Ownership Rights in FBB Common Stock</w:t>
      </w:r>
      <w:r>
        <w:rPr>
          <w:rFonts w:ascii="Times New Roman" w:hAnsi="Times New Roman"/>
          <w:sz w:val="20"/>
        </w:rPr>
        <w:t xml:space="preserve">. The DXL Common Stock issued and cash paid in accordance with the terms of this </w:t>
      </w:r>
      <w:r>
        <w:rPr>
          <w:rFonts w:ascii="Times New Roman" w:hAnsi="Times New Roman"/>
          <w:sz w:val="20"/>
          <w:u w:val="single"/>
        </w:rPr>
        <w:t>Article II</w:t>
      </w:r>
      <w:r>
        <w:rPr>
          <w:rFonts w:ascii="Times New Roman" w:hAnsi="Times New Roman"/>
          <w:sz w:val="20"/>
        </w:rPr>
        <w:t xml:space="preserve"> upon conversion of any FBB Common Stock shall be deemed to have been issued and paid in full satisfaction of all rights pertaining to such shares. From and after the Effective Time, (i) all holders of any FBB Common Stock shall cease to have any rights as stockholders of FBB other than the right to receive the Merger Consideration and any dividends or other distributions that holders have the right to receive upon surrender of such Certificates or Book Entry-Shares in accordance with </w:t>
      </w:r>
      <w:r>
        <w:rPr>
          <w:rFonts w:ascii="Times New Roman" w:hAnsi="Times New Roman"/>
          <w:sz w:val="20"/>
          <w:u w:val="single"/>
        </w:rPr>
        <w:t>Section 2.02(d)</w:t>
      </w:r>
      <w:r>
        <w:rPr>
          <w:rFonts w:ascii="Times New Roman" w:hAnsi="Times New Roman"/>
          <w:sz w:val="20"/>
        </w:rPr>
        <w:t xml:space="preserve">, without interest, and (ii) the share registry of FBB shall be closed with respect to all FBB Common Stock outstanding immediately prior to the Effective Time. From and after the Effective Time, there shall be no further registration of transfers on the share registry of the Surviving Company of FBB Common Stock that were outstanding immediately prior to the Effective Time and FBB Common Stock outstanding immediately prior to the Effective Time shall, from and after the Effective Time, be deemed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to evidence solely the right in accordance with the terms of this Agreement to receive the allocable Merger Consideration. If, after the Effective Time, any Certificates or Book Entry-Shares formerly representing FBB Common Stock are presented to DXL, the Surviving Company or the Exchange Agent for any reason, such Certificates or Book Entry-Shares shall be canceled and exchanged as provided in this </w:t>
      </w:r>
      <w:r>
        <w:rPr>
          <w:rFonts w:ascii="Times New Roman" w:hAnsi="Times New Roman"/>
          <w:sz w:val="20"/>
          <w:u w:val="single"/>
        </w:rPr>
        <w:t>Article</w:t>
      </w:r>
      <w:r>
        <w:rPr>
          <w:rFonts w:ascii="Times New Roman" w:hAnsi="Times New Roman"/>
          <w:sz w:val="20"/>
        </w:rPr>
        <w:t xml:space="preserve"> II.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Exchange Fund</w:t>
      </w:r>
      <w:r>
        <w:rPr>
          <w:rFonts w:ascii="Times New Roman" w:hAnsi="Times New Roman"/>
          <w:sz w:val="20"/>
        </w:rPr>
        <w:t xml:space="preserve">. Any portion of the Exchange Fund (including any interest or other amounts received with respect thereto) that remains unclaimed by, or otherwise undistributed to, the holders of Certificates or Book Entry-Shares by the date that is twelve (12) months after the Effective Time shall be delivered to DXL, upon demand, and any holder of Certificates or Book Entry-Shares who has not theretofore complied with this </w:t>
      </w:r>
      <w:r>
        <w:rPr>
          <w:rFonts w:ascii="Times New Roman" w:hAnsi="Times New Roman"/>
          <w:sz w:val="20"/>
          <w:u w:val="single"/>
        </w:rPr>
        <w:t>Article II</w:t>
      </w:r>
      <w:r>
        <w:rPr>
          <w:rFonts w:ascii="Times New Roman" w:hAnsi="Times New Roman"/>
          <w:sz w:val="20"/>
        </w:rPr>
        <w:t xml:space="preserve"> shall thereafter look only to DXL for satisfaction of its claim for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Liability</w:t>
      </w:r>
      <w:r>
        <w:rPr>
          <w:rFonts w:ascii="Times New Roman" w:hAnsi="Times New Roman"/>
          <w:sz w:val="20"/>
        </w:rPr>
        <w:t xml:space="preserve">. None of DXL, Merger Sub, FBB or the Exchange Agent shall be liable to any Person in respect of any portion of the Exchange Fund or the Merger Consideration delivered to a public official pursuant to any applicable abandoned property, escheat or similar Law. If any Certificate has not been surrendered prior to the date on which the Merger Consideration to be paid in respect of such Certificate would otherwise escheat to or become the property of any Governmental Entity, any Merger Consideration to be paid in respect of such Certificate or Book Entry- Share shall, to the extent permitted by applicable Law, immediately prior to such time become the property of DXL,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Withholding Rights</w:t>
      </w:r>
      <w:r>
        <w:rPr>
          <w:rFonts w:ascii="Times New Roman" w:hAnsi="Times New Roman"/>
          <w:sz w:val="20"/>
        </w:rPr>
        <w:t>. Each of DXL, the Exchange Agent, or anyone on their behalf (each a “</w:t>
      </w:r>
      <w:r>
        <w:rPr>
          <w:rFonts w:ascii="Times New Roman" w:hAnsi="Times New Roman"/>
          <w:sz w:val="20"/>
          <w:u w:val="single"/>
        </w:rPr>
        <w:t>Payor</w:t>
      </w:r>
      <w:r>
        <w:rPr>
          <w:rFonts w:ascii="Times New Roman" w:hAnsi="Times New Roman"/>
          <w:sz w:val="20"/>
        </w:rPr>
        <w:t xml:space="preserve">”) (without duplication) shall be entitled to deduct and withhold from any consideration otherwise payable or deliverable to any Person pursuant to this Agreement such amounts as may be required to be deducted and withheld with respect to the making of such payment under any applicable Tax Law; provided, however, that a Payor that intends to withhold shall use commercially reasonable efforts to provide FBB with reasonable advance notice of any such withholding (other than where such deduction or withholding is with respect to an amount treated as compensation under the Code or is due to a failure of the payee to provide any applicable Tax forms required under the letter of transmittal described under </w:t>
      </w:r>
      <w:r>
        <w:rPr>
          <w:rFonts w:ascii="Times New Roman" w:hAnsi="Times New Roman"/>
          <w:sz w:val="20"/>
          <w:u w:val="single"/>
        </w:rPr>
        <w:t>Section 2.02(c)</w:t>
      </w:r>
      <w:r>
        <w:rPr>
          <w:rFonts w:ascii="Times New Roman" w:hAnsi="Times New Roman"/>
          <w:sz w:val="20"/>
        </w:rPr>
        <w:t xml:space="preserve"> or the failure of FBB to provide the certificate described in </w:t>
      </w:r>
      <w:r>
        <w:rPr>
          <w:rFonts w:ascii="Times New Roman" w:hAnsi="Times New Roman"/>
          <w:sz w:val="20"/>
          <w:u w:val="single"/>
        </w:rPr>
        <w:t>Section 6.08(b)</w:t>
      </w:r>
      <w:r>
        <w:rPr>
          <w:rFonts w:ascii="Times New Roman" w:hAnsi="Times New Roman"/>
          <w:sz w:val="20"/>
        </w:rPr>
        <w:t xml:space="preserve">) and shall reasonably cooperate with FBB to eliminate or reduce any such required deduction or withholding. Any amounts so deducted, withheld and paid over to the appropriate taxing authority shall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Lost or Unissued Certificates</w:t>
      </w:r>
      <w:r>
        <w:rPr>
          <w:rFonts w:ascii="Times New Roman" w:hAnsi="Times New Roman"/>
          <w:sz w:val="20"/>
        </w:rPr>
        <w:t xml:space="preserve">. If any Certificate shall have been lost, stolen or destroyed, upon the making of an affidavit of that fact by the Person claiming such Certificate to be lost, stolen or destroyed and, if reasonably required by the Exchange Agent, the posting by such Person of a bond, in such reasonable amount as DXL or the Exchange Agent may direct, as indemnity against any claim that may be made against it with respect to such Certificate, the Exchange Agent shall deliver, in exchange for such lost, stolen or destroyed Certificate, the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4" w:name="anxa76201_11"/>
      <w:bookmarkEnd w:id="114"/>
      <w:r>
        <w:rPr>
          <w:rFonts w:ascii="Times New Roman" w:hAnsi="Times New Roman"/>
          <w:b/>
          <w:sz w:val="20"/>
        </w:rPr>
        <w:t xml:space="preserve">SECTION 2.03 </w:t>
      </w:r>
      <w:r>
        <w:rPr>
          <w:rFonts w:ascii="Times New Roman" w:hAnsi="Times New Roman"/>
          <w:b/>
          <w:sz w:val="20"/>
          <w:u w:val="single"/>
        </w:rPr>
        <w:t>Stock Transfer Books</w:t>
      </w:r>
      <w:r>
        <w:rPr>
          <w:rFonts w:ascii="Times New Roman" w:hAnsi="Times New Roman"/>
          <w:sz w:val="20"/>
        </w:rPr>
        <w:t xml:space="preserve">. At the Effective Time, the stock transfer books of FBB shall be closed and there shall be no further registration of transfers of FBB Common Stock thereafter on the records of FBB. From and after the Effective Time, the holders of Certificates representing FBB Common Stock or Book-Entry Shares outstanding immediately prior to the Effective Time shall cease to have any rights with respect to such FBB Common Stock or Book-Entry Shares, except as otherwise provided in this Agreement or by Law. On or after the Effective Time, any Certificates presented to the Exchange Agent or DXL for any reason shall be cancelled and exchanged as provided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5" w:name="anxa76201_12"/>
      <w:bookmarkEnd w:id="115"/>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DXL AND MERGER SUB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DXL Disclosure Schedule (it being understood that any disclosure set forth in one section or subsection of the DXL Disclosure Schedule 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or as disclosed or identified in the DXL SEC Reports publicly available on the SEC’s Electronic Data Gathering Analysis and Retrieval System at least two Business Days before the date of this Agreement (excluding (1) any forward-looking disclosures contained in the “Forward-Looking Statements” and “Risk Factors” sections of the DXL SEC Reports, but including any historical or factual matters disclosed in such sections, and (2) any other statement or other disclosure that is similarly predictive or forward-looking), DXL and Merger Sub hereby represent and warrant to FBB as follows: </w:t>
      </w:r>
    </w:p>
    <w:p>
      <w:pPr>
        <w:pStyle w:val="TextBody"/>
        <w:bidi w:val="0"/>
        <w:spacing w:before="240" w:after="0"/>
        <w:jc w:val="left"/>
        <w:rPr>
          <w:rFonts w:ascii="Times New Roman" w:hAnsi="Times New Roman"/>
          <w:sz w:val="20"/>
        </w:rPr>
      </w:pPr>
      <w:bookmarkStart w:id="116" w:name="anxa76201_13"/>
      <w:bookmarkEnd w:id="116"/>
      <w:r>
        <w:rPr>
          <w:rFonts w:ascii="Times New Roman" w:hAnsi="Times New Roman"/>
          <w:b/>
          <w:sz w:val="20"/>
        </w:rPr>
        <w:t xml:space="preserve">SECTION 3.01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DXL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DXL is a company duly incorporated, validly existing and in good standing under the laws of the State of Delaware. DXL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(ii) A true and complete copy of each of the DXL Charter and DXL Bylaws has previously been made available to FBB. DXL is not in violation of any of the provisions of the DXL Charter or DXL Bylaws. </w:t>
      </w:r>
    </w:p>
    <w:p>
      <w:pPr>
        <w:pStyle w:val="TextBody"/>
        <w:bidi w:val="0"/>
        <w:spacing w:before="240" w:after="0"/>
        <w:jc w:val="left"/>
        <w:rPr>
          <w:rFonts w:ascii="Times New Roman" w:hAnsi="Times New Roman"/>
          <w:sz w:val="20"/>
        </w:rPr>
      </w:pPr>
      <w:r>
        <w:rPr>
          <w:rFonts w:ascii="Times New Roman" w:hAnsi="Times New Roman"/>
          <w:sz w:val="20"/>
        </w:rPr>
        <w:t xml:space="preserve">(iii) Each DXL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 (B)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 true and complete copy of the certificate of incorporation of Merger Sub, as amended and in effect as of the date of this Agreement, has previously been made available to FBB. </w:t>
      </w:r>
    </w:p>
    <w:p>
      <w:pPr>
        <w:pStyle w:val="TextBody"/>
        <w:bidi w:val="0"/>
        <w:spacing w:before="240" w:after="0"/>
        <w:jc w:val="left"/>
        <w:rPr>
          <w:rFonts w:ascii="Times New Roman" w:hAnsi="Times New Roman"/>
          <w:sz w:val="20"/>
        </w:rPr>
      </w:pPr>
      <w:r>
        <w:rPr>
          <w:rFonts w:ascii="Times New Roman" w:hAnsi="Times New Roman"/>
          <w:sz w:val="20"/>
        </w:rPr>
        <w:t xml:space="preserve">(ii) Merger Sub is a company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 and the other Transactions. </w:t>
      </w:r>
    </w:p>
    <w:p>
      <w:pPr>
        <w:pStyle w:val="TextBody"/>
        <w:bidi w:val="0"/>
        <w:spacing w:before="240" w:after="0"/>
        <w:jc w:val="left"/>
        <w:rPr>
          <w:rFonts w:ascii="Times New Roman" w:hAnsi="Times New Roman"/>
          <w:sz w:val="20"/>
        </w:rPr>
      </w:pPr>
      <w:bookmarkStart w:id="117" w:name="anxa76201_14"/>
      <w:bookmarkEnd w:id="117"/>
      <w:r>
        <w:rPr>
          <w:rFonts w:ascii="Times New Roman" w:hAnsi="Times New Roman"/>
          <w:b/>
          <w:sz w:val="20"/>
        </w:rPr>
        <w:t xml:space="preserve">SECTION 3.02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 The authorized share capital of DXL is 126,000,000 shares of capital stock, consisting of 125,000,000 shares of DXL Common Stock and 1,000,000 shares of DXL Preferred Stock (together, the “</w:t>
      </w:r>
      <w:r>
        <w:rPr>
          <w:rFonts w:ascii="Times New Roman" w:hAnsi="Times New Roman"/>
          <w:sz w:val="20"/>
          <w:u w:val="single"/>
        </w:rPr>
        <w:t>DXL Capital Stock</w:t>
      </w:r>
      <w:r>
        <w:rPr>
          <w:rFonts w:ascii="Times New Roman" w:hAnsi="Times New Roman"/>
          <w:sz w:val="20"/>
        </w:rPr>
        <w:t xml:space="preserve">”). As of the date of this Agreement, there were (1) 54,656,415 shares of DXL Common Stock issued and outstanding (not including shares held in treasury), (2) 25,908,333 shares of DXL Common Stock held in the treasury of DXL or by its Subsidiaries, (3) 2,961,796 shares of DXL Common Stock subject to outstanding DXL Options, all of which are exercisable, (4) 1,257,986 shares of DXL Common Stock subject to outstanding DXL Restricted Stock Unit Awards, (5) 589,357 shares of DXL Common Stock subject to DXL Deferred Stock Awards, (6) 573,000 shares of DXL Common Stock subject to outstanding DXL Performance Share Awards, and (7) no shares of DXL Preferred Stock issued and outstanding. Except as set forth in the second sentence of this </w:t>
      </w:r>
      <w:r>
        <w:rPr>
          <w:rFonts w:ascii="Times New Roman" w:hAnsi="Times New Roman"/>
          <w:sz w:val="20"/>
          <w:u w:val="single"/>
        </w:rPr>
        <w:t>Section 3.02(a)(i)</w:t>
      </w:r>
      <w:r>
        <w:rPr>
          <w:rFonts w:ascii="Times New Roman" w:hAnsi="Times New Roman"/>
          <w:sz w:val="20"/>
        </w:rPr>
        <w:t xml:space="preserve">, (i) there are no outstanding or authorized restricted stock, restricted stock unit, stock appreciation right, phantom stock or other equity-based compensation awards with respect to DXL Common Stock, (ii) no other Equity Interests of DXL were issued, reserved for issuance or outstanding, and (iii) DXL has no other options, warrants, calls, pre-emptive rights, subscriptions or other rights, Contracts, arrangements or commitments of any kind, including any stockholder rights plan, relating to, or the value of which is determined in reference to, the issued or unissued DXL Capital Stock (or any other Equity Interest of DXL) or the Equity Interests of any DXL Subsidiary, obligating DXL or any DXL Subsidiary to issue, transfer or sell, or cause to be issued, transferred or sold, any Equity Interests of DXL or any DXL Subsidiary. All of the issued and outstanding shares of DXL Capital Stock are duly authorized and validly issued and fully paid, nonassessable and not subject to or issued in violation of any purchase option, call option, right of first refusal, preemptive right, subscription right or any similar right under any provision of the DGCL, the DXL Charter or any Contract to which DXL is a party or by which it is otherwise bound.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DXL having the right to vote on any matters on which stockholders may vote (“</w:t>
      </w:r>
      <w:r>
        <w:rPr>
          <w:rFonts w:ascii="Times New Roman" w:hAnsi="Times New Roman"/>
          <w:sz w:val="20"/>
          <w:u w:val="single"/>
        </w:rPr>
        <w:t>DXL Voting Debt</w:t>
      </w:r>
      <w:r>
        <w:rPr>
          <w:rFonts w:ascii="Times New Roman" w:hAnsi="Times New Roman"/>
          <w:sz w:val="20"/>
        </w:rPr>
        <w:t xml:space="preserve">”)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Equity Interests of the DXL Subsidiaries, which are identified by name, jurisdiction of incorporation or formation, and ownership thereof (including the percentage of such ownership) on </w:t>
      </w:r>
      <w:r>
        <w:rPr>
          <w:rFonts w:ascii="Times New Roman" w:hAnsi="Times New Roman"/>
          <w:sz w:val="20"/>
          <w:u w:val="single"/>
        </w:rPr>
        <w:t>Section 3.02(c)</w:t>
      </w:r>
      <w:r>
        <w:rPr>
          <w:rFonts w:ascii="Times New Roman" w:hAnsi="Times New Roman"/>
          <w:sz w:val="20"/>
        </w:rPr>
        <w:t xml:space="preserve"> of the DXL Disclosure Schedule, DXL does not own, beneficially or of record, directly or indirectly any Equity Interests in any Person, nor does DXL or any DXL Subsidiary have any Contract or other obligation requiring that DXL or any DXL Subsidiary acquire any Equity Interest in any Person. </w:t>
      </w:r>
    </w:p>
    <w:p>
      <w:pPr>
        <w:pStyle w:val="TextBody"/>
        <w:bidi w:val="0"/>
        <w:spacing w:before="240" w:after="0"/>
        <w:jc w:val="left"/>
        <w:rPr>
          <w:rFonts w:ascii="Times New Roman" w:hAnsi="Times New Roman"/>
          <w:sz w:val="20"/>
        </w:rPr>
      </w:pPr>
      <w:bookmarkStart w:id="118" w:name="anxa76201_15"/>
      <w:bookmarkEnd w:id="118"/>
      <w:r>
        <w:rPr>
          <w:rFonts w:ascii="Times New Roman" w:hAnsi="Times New Roman"/>
          <w:b/>
          <w:sz w:val="20"/>
        </w:rPr>
        <w:t xml:space="preserve">SECTION 3.03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has full corporate power and authority to execute and deliver this Agreement and to perform its obligations hereunder and, subject to receipt of the Required DXL Stockholder Vote, to consummate the Merger and the other Transactions hereunder. The execution and delivery of this Agreement and the consummation of the Merger and the other Transactions have been duly and validly approved and adopted by the DXL Board. The DXL Board (at meetings duly called and held) has: (a) determined that the Transactions are fair to, advisable and in the best interests of DXL and its stockholders; (b) approved and declared advisable this Agreement and the Transactions, including the issuance of the Merger Consideration pursuant to the terms of this Agreement; and (c) determined to recommend, upon the terms and subject to the conditions set forth in this Agreement, that the stockholders of DXL vote to approve the DXL Stockholder Matters. This Agreement has been duly and validly executed and delivered by DXL and (assuming due authorization, execution and delivery by the other parties hereto) constitutes the valid and binding obligation of DXL, enforceable against DXL in accordance with its terms (except as may be limited by bankruptcy, insolvency, moratorium, reorganization or other Laws affecting the rights of creditors generally and the availability of equitable remedies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affirmative vote of a majority of the votes cast at a meeting of the holders of DXL Common Stock to approve the issuance of DXL Common Stock as the Merger Consideration pursuant to the terms of this Agreement (the “</w:t>
      </w:r>
      <w:r>
        <w:rPr>
          <w:rFonts w:ascii="Times New Roman" w:hAnsi="Times New Roman"/>
          <w:sz w:val="20"/>
          <w:u w:val="single"/>
        </w:rPr>
        <w:t>DXL Stockholder Matters</w:t>
      </w:r>
      <w:r>
        <w:rPr>
          <w:rFonts w:ascii="Times New Roman" w:hAnsi="Times New Roman"/>
          <w:sz w:val="20"/>
        </w:rPr>
        <w:t>,” and such meeting, the “</w:t>
      </w:r>
      <w:r>
        <w:rPr>
          <w:rFonts w:ascii="Times New Roman" w:hAnsi="Times New Roman"/>
          <w:sz w:val="20"/>
          <w:u w:val="single"/>
        </w:rPr>
        <w:t>DXL Stockholders</w:t>
      </w:r>
      <w:r>
        <w:rPr>
          <w:rFonts w:ascii="Times New Roman" w:hAnsi="Times New Roman"/>
          <w:sz w:val="20"/>
        </w:rPr>
        <w:t xml:space="preserve"> </w:t>
      </w:r>
      <w:r>
        <w:rPr>
          <w:rFonts w:ascii="Times New Roman" w:hAnsi="Times New Roman"/>
          <w:sz w:val="20"/>
          <w:u w:val="single"/>
        </w:rPr>
        <w:t>Meeting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 the only vote of the holders of any Equity Interests of DXL necessary to approve the Merger and the Transactions, including the issuance of the Merger Consideration pursuant to the terms of this Agreement (the “</w:t>
      </w:r>
      <w:r>
        <w:rPr>
          <w:rFonts w:ascii="Times New Roman" w:hAnsi="Times New Roman"/>
          <w:sz w:val="20"/>
          <w:u w:val="single"/>
        </w:rPr>
        <w:t>Required DXL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Neither the execution and delivery of this Agreement by DXL and Merger Sub nor the consummation by DXL and Merger Sub of the Merger or the other Transactions, nor compliance by DXL and Merger Sub with any of the terms or provisions of this Agreement, will (i) violate any provision of the DXL Charter or DXL Bylaws or the certificate of incorporation or bylaws of Merger Sub or (ii) assuming that the consents, approvals and filings referred to in </w:t>
      </w:r>
      <w:r>
        <w:rPr>
          <w:rFonts w:ascii="Times New Roman" w:hAnsi="Times New Roman"/>
          <w:sz w:val="20"/>
          <w:u w:val="single"/>
        </w:rPr>
        <w:t>Section 3.04</w:t>
      </w:r>
      <w:r>
        <w:rPr>
          <w:rFonts w:ascii="Times New Roman" w:hAnsi="Times New Roman"/>
          <w:sz w:val="20"/>
        </w:rPr>
        <w:t xml:space="preserve"> are duly obtained and/or made, (A) violate any order, injunction or decree issued by any court or agency of competent jurisdiction or other legal restraint or prohibition (an “</w:t>
      </w:r>
      <w:r>
        <w:rPr>
          <w:rFonts w:ascii="Times New Roman" w:hAnsi="Times New Roman"/>
          <w:sz w:val="20"/>
          <w:u w:val="single"/>
        </w:rPr>
        <w:t>Injunction</w:t>
      </w:r>
      <w:r>
        <w:rPr>
          <w:rFonts w:ascii="Times New Roman" w:hAnsi="Times New Roman"/>
          <w:sz w:val="20"/>
        </w:rPr>
        <w:t xml:space="preserve">”) or any statute, code, ordinance, rule, regulation, judgment, order, writ or decree applicable to DXL, any of the DXL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DXL or any of the DXL Subsidiaries under, any of the terms, conditions or provisions of any Contract, note, bond, mortgage, indenture, deed of trust, DXL License, lease, agreement or other instrument or obligation to which DXL or any of the DXL Subsidiaries is a party, or by which they or any of their respective properties or assets may be bound or affected, other than, in the case of clause (ii), that would not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Merger Sub has full corporate power and authority to execute and deliver this Agreement, to consummate the Merger and the other Transactions and to perform its obligations hereunder. The execution and delivery of this Agreement and the consummation of the Merger and the other Transactions have been duly and validly approved by the board of directors of Merger Sub. The board of directors of Merger Sub has determined that this Agreement, the Merger and the other Transactions are in the best interests of Merger Sub and its sole stockholder, and that considering the financial position of Merger Sub and FBB, no reasonable concern exists that the Surviving Company will be unable to fulfill both the obligations of Merger Sub to its creditors, adopted this Agreement, recommended that its sole stockholder vote in favor of the approval of this Agreement and directed that this Agreement be submitted to its sole stockholder for approval in connection with the consummation of the Merger and the other Transactions. Except for the approval of this Agreement by DXL as the sole stockholder of Merger Sub, no other corporate proceeding on the part of Merger Sub or any other vote by the sole stockholder of Merger Sub is necessary to approve or adopt this Agreement or to consummate the Merger and the other Transactions (except for the filing of the appropriate merger documents as required by the DGCL). This Agreement has been duly and validly executed and delivered by Merger Sub and (assuming due authorization, execution and delivery by the other parties hereto) constitutes the valid and binding obligation of Merger Sub enforceable against Merger Sub in accordance with its terms, subject to the Enforceability Exceptions. </w:t>
      </w:r>
    </w:p>
    <w:p>
      <w:pPr>
        <w:pStyle w:val="TextBody"/>
        <w:bidi w:val="0"/>
        <w:spacing w:before="240" w:after="0"/>
        <w:jc w:val="left"/>
        <w:rPr>
          <w:rFonts w:ascii="Times New Roman" w:hAnsi="Times New Roman"/>
          <w:sz w:val="20"/>
        </w:rPr>
      </w:pPr>
      <w:bookmarkStart w:id="119" w:name="anxa76201_16"/>
      <w:bookmarkEnd w:id="119"/>
      <w:r>
        <w:rPr>
          <w:rFonts w:ascii="Times New Roman" w:hAnsi="Times New Roman"/>
          <w:b/>
          <w:sz w:val="20"/>
        </w:rPr>
        <w:t xml:space="preserve">SECTION 3.04 </w:t>
      </w:r>
      <w:r>
        <w:rPr>
          <w:rFonts w:ascii="Times New Roman" w:hAnsi="Times New Roman"/>
          <w:b/>
          <w:sz w:val="20"/>
          <w:u w:val="single"/>
        </w:rPr>
        <w:t>Consents and Approvals</w:t>
      </w:r>
      <w:r>
        <w:rPr>
          <w:rFonts w:ascii="Times New Roman" w:hAnsi="Times New Roman"/>
          <w:sz w:val="20"/>
        </w:rPr>
        <w:t>. Except for (a) the furnishing with the SEC of the Proxy Statement, and the filing with the SEC of such other reports required in connection with the Merger and the other Transactions under, and such other compliance with, the Exchange Act and the Securities Act, (b) the filing of the Certificate of Merger in accordance with the DGCL, (c) compliance with notices and filings, if any, under all applicable antitrust Laws and all other applicable Laws issued by a Governmental Entity that are designed or intended to prohibit, restrict or regulate actions having the purpose or effect of monopolization or restraint of trade or lessening of competition through merger or acquisition (collectively, “</w:t>
      </w:r>
      <w:r>
        <w:rPr>
          <w:rFonts w:ascii="Times New Roman" w:hAnsi="Times New Roman"/>
          <w:sz w:val="20"/>
          <w:u w:val="single"/>
        </w:rPr>
        <w:t>Antitrust Laws</w:t>
      </w:r>
      <w:r>
        <w:rPr>
          <w:rFonts w:ascii="Times New Roman" w:hAnsi="Times New Roman"/>
          <w:sz w:val="20"/>
        </w:rPr>
        <w:t>”), (d) such filings and approvals as are required to be made or obtained under the securities or “Blue Sky” laws of various states in connection with the issuance of DXL Common Stock constituting the Merger Consideration, (e) any filings required under the rules and regulations of The Nasdaq Stock Market, Inc. (“</w:t>
      </w:r>
      <w:r>
        <w:rPr>
          <w:rFonts w:ascii="Times New Roman" w:hAnsi="Times New Roman"/>
          <w:sz w:val="20"/>
          <w:u w:val="single"/>
        </w:rPr>
        <w:t>Nasdaq</w:t>
      </w:r>
      <w:r>
        <w:rPr>
          <w:rFonts w:ascii="Times New Roman" w:hAnsi="Times New Roman"/>
          <w:sz w:val="20"/>
        </w:rPr>
        <w:t xml:space="preserve">”) (including, inter alia, to permit the DXL Common Stock that are to be issued as the Merger Consideration to be listed thereon) and (f) such approvals, consents, authorizations, declarations, filings or registrations the failure of which to be obtained or made would not have, individually or in the aggregate, a Material Adverse Effect on DXL,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consents, approvals of, filings or registrations with, or orders, authorizations or authority of any federal, state, local or foreign government, court of competent jurisdiction, agency, commission, department, bureau, tribunal, board or other governmental authority, regulatory commission or instrumentality (each, a “</w:t>
      </w:r>
      <w:r>
        <w:rPr>
          <w:rFonts w:ascii="Times New Roman" w:hAnsi="Times New Roman"/>
          <w:sz w:val="20"/>
          <w:u w:val="single"/>
        </w:rPr>
        <w:t>Governmental Entity</w:t>
      </w:r>
      <w:r>
        <w:rPr>
          <w:rFonts w:ascii="Times New Roman" w:hAnsi="Times New Roman"/>
          <w:sz w:val="20"/>
        </w:rPr>
        <w:t xml:space="preserve">”) are necessary in connection with (i) the execution and delivery by DXL and Merger Sub of this Agreement and (ii) the consummation by DXL and Merger Sub of the Transactions. </w:t>
      </w:r>
    </w:p>
    <w:p>
      <w:pPr>
        <w:pStyle w:val="TextBody"/>
        <w:bidi w:val="0"/>
        <w:spacing w:before="240" w:after="0"/>
        <w:jc w:val="left"/>
        <w:rPr>
          <w:rFonts w:ascii="Times New Roman" w:hAnsi="Times New Roman"/>
          <w:sz w:val="20"/>
        </w:rPr>
      </w:pPr>
      <w:bookmarkStart w:id="120" w:name="anxa76201_17"/>
      <w:bookmarkEnd w:id="120"/>
      <w:r>
        <w:rPr>
          <w:rFonts w:ascii="Times New Roman" w:hAnsi="Times New Roman"/>
          <w:b/>
          <w:sz w:val="20"/>
        </w:rPr>
        <w:t xml:space="preserve">SECTION 3.05 </w:t>
      </w:r>
      <w:r>
        <w:rPr>
          <w:rFonts w:ascii="Times New Roman" w:hAnsi="Times New Roman"/>
          <w:b/>
          <w:sz w:val="20"/>
          <w:u w:val="single"/>
        </w:rPr>
        <w:t>Reports</w:t>
      </w:r>
      <w:r>
        <w:rPr>
          <w:rFonts w:ascii="Times New Roman" w:hAnsi="Times New Roman"/>
          <w:sz w:val="20"/>
        </w:rPr>
        <w:t>. DXL and each of the DXL Subsidiaries have timely filed all submissions, reports, registrations, schedules, forms, statements and other documents, together with any amendments required to be made with respect thereto and all exhibits and other information incorporated therein, that they were required to file since January 29, 2023, with (a) the SEC (all such documents filed with, or furnished to, the SEC, the “</w:t>
      </w:r>
      <w:r>
        <w:rPr>
          <w:rFonts w:ascii="Times New Roman" w:hAnsi="Times New Roman"/>
          <w:sz w:val="20"/>
          <w:u w:val="single"/>
        </w:rPr>
        <w:t>DXL SEC Reports</w:t>
      </w:r>
      <w:r>
        <w:rPr>
          <w:rFonts w:ascii="Times New Roman" w:hAnsi="Times New Roman"/>
          <w:sz w:val="20"/>
        </w:rPr>
        <w:t xml:space="preserve">”), (b) any state or other federal regulatory authority (other than any Tax Authority, which is covered by </w:t>
      </w:r>
      <w:r>
        <w:rPr>
          <w:rFonts w:ascii="Times New Roman" w:hAnsi="Times New Roman"/>
          <w:sz w:val="20"/>
          <w:u w:val="single"/>
        </w:rPr>
        <w:t>Section 3.10</w:t>
      </w:r>
      <w:r>
        <w:rPr>
          <w:rFonts w:ascii="Times New Roman" w:hAnsi="Times New Roman"/>
          <w:sz w:val="20"/>
        </w:rPr>
        <w:t xml:space="preserve">) and (c) any foreign regulatory authority (other than any Tax Authority, which is covered by </w:t>
      </w:r>
      <w:r>
        <w:rPr>
          <w:rFonts w:ascii="Times New Roman" w:hAnsi="Times New Roman"/>
          <w:sz w:val="20"/>
          <w:u w:val="single"/>
        </w:rPr>
        <w:t>Section 3.10</w:t>
      </w:r>
      <w:r>
        <w:rPr>
          <w:rFonts w:ascii="Times New Roman" w:hAnsi="Times New Roman"/>
          <w:sz w:val="20"/>
        </w:rPr>
        <w:t>) (collectively, “</w:t>
      </w:r>
      <w:r>
        <w:rPr>
          <w:rFonts w:ascii="Times New Roman" w:hAnsi="Times New Roman"/>
          <w:sz w:val="20"/>
          <w:u w:val="single"/>
        </w:rPr>
        <w:t>Regulatory Agencies</w:t>
      </w:r>
      <w:r>
        <w:rPr>
          <w:rFonts w:ascii="Times New Roman" w:hAnsi="Times New Roman"/>
          <w:sz w:val="20"/>
        </w:rPr>
        <w:t>”), and have paid all fees and assessments due and payable in connection therewith, except in each case where the failure to file such report, registration, schedule, form, statement or other document, or to pay such fees or assessments, would not, individually or in the aggregate, reasonably be expected to be material to DXL or any of the DXL Subsidiaries. As of their respective dates, the DXL SEC Reports (i) did not contain any untrue statement of a material fact or omit to state a material fact required to be stated therein or necessary in order to make the statements made therein, in light of the circumstances under which they were made, not misleading and (ii) complied as to form in all material respects with the applicable requirements of the Exchange Act or the Securities Act, as the case may be, the Sarbanes-Oxley Act of 2002 (the “</w:t>
      </w:r>
      <w:r>
        <w:rPr>
          <w:rFonts w:ascii="Times New Roman" w:hAnsi="Times New Roman"/>
          <w:sz w:val="20"/>
          <w:u w:val="single"/>
        </w:rPr>
        <w:t>Sarbanes-</w:t>
      </w:r>
      <w:r>
        <w:rPr>
          <w:rFonts w:ascii="Times New Roman" w:hAnsi="Times New Roman"/>
          <w:sz w:val="20"/>
        </w:rPr>
        <w:t xml:space="preserve"> </w:t>
      </w:r>
      <w:r>
        <w:rPr>
          <w:rFonts w:ascii="Times New Roman" w:hAnsi="Times New Roman"/>
          <w:sz w:val="20"/>
          <w:u w:val="single"/>
        </w:rPr>
        <w:t>Oxley Act</w:t>
      </w:r>
      <w:r>
        <w:rPr>
          <w:rFonts w:ascii="Times New Roman" w:hAnsi="Times New Roman"/>
          <w:sz w:val="20"/>
        </w:rPr>
        <w:t xml:space="preserve">”) and the applicable rules and regulations of the SEC thereunder. None of the DXL Subsidiaries is currently required to file any forms, reports or other documents with the SEC. As of the date hereof, DXL does not have any unresolved comments from the SEC with respect to the DXL SEC Reports. </w:t>
      </w:r>
    </w:p>
    <w:p>
      <w:pPr>
        <w:pStyle w:val="TextBody"/>
        <w:bidi w:val="0"/>
        <w:spacing w:before="240" w:after="0"/>
        <w:jc w:val="left"/>
        <w:rPr>
          <w:rFonts w:ascii="Times New Roman" w:hAnsi="Times New Roman"/>
          <w:sz w:val="20"/>
        </w:rPr>
      </w:pPr>
      <w:bookmarkStart w:id="121" w:name="anxa76201_18"/>
      <w:bookmarkEnd w:id="121"/>
      <w:r>
        <w:rPr>
          <w:rFonts w:ascii="Times New Roman" w:hAnsi="Times New Roman"/>
          <w:b/>
          <w:sz w:val="20"/>
        </w:rPr>
        <w:t xml:space="preserve">SECTION 3.06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consolidated financial statements of DXL filed in, or furnished with, the DXL SEC Reports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consistently applied by DXL for the periods and at and as of the dates presented (except as may be indicated in the notes thereto or, in the case of unaudited statements, as permitted by the rules and regulations of the SEC), and fairly present in all material respects the consolidated financial position of DXL as of the dates thereof and the consolidated results of operations, changes in stockholders’ equity and cash flows for the periods then ended (subject to normal year-end adjustments in the case of any unaudited interim financial statements, none of which are material, individually or in the aggregate). Each of the consolidated financial statements of DXL (including all related notes or schedules) included in the DXL SEC Reports complied at the time it was filed as to form in all material respects with applicable accounting requirements and the published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(i) neither DXL nor any of its Subsidiaries nor, to the Knowledge of DXL, any director, officer, employee, auditor, accountant, consultant or Representative of DXL or any of its Subsidiaries has received or otherwise had or obtained Knowledge of any complaint, allegation, assertion or claim, whether written or oral, that DXL or any of its Subsidiaries has engaged in accounting or auditing practices in violation of applicable Law or applicable requirements of GAAP, and (ii) no current or former attorney representing DXL or any of its Subsidiaries has reported evidence of a material violation of securities Laws, breach of fiduciary duty or similar violation by DXL or any of its officers, directors, employees or agents to the board of directors of DXL or any committee thereof or to any director or executive officer of DXL.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its Subsidiaries (nor, to the Knowledge of DXL, any employee thereof) nor DXL’s independent auditors has identified or been made aware of any (i) significant deficiency or material weakness in the system of internal accounting controls utilized by DXL and its Subsidiaries; (ii) fraud, whether or not material, that involves DXL’s management or other employees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a role in the preparation of financial statements or the internal accounting controls utilized by DXL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the consolidated balance sheet of DXL as of February 1, 2025, or the notes thereto, (ii) for liabilities and obligations incurred in the ordinary course of business consistent with past practice since the date of such balance sheet and (iii) for liabilities and obligations incurred in connection with this Agreement, DXL and its Subsidiaries do not have any liabilities that, individually or in the aggregate, are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Neither DXL nor any of its Subsidiaries is a party to, or has any commitment to become a party to, any joint venture, partnership agreement or any similar Contract (including any Contract relating to any transaction, arrangement or relationship between or among DXL or any of its Subsidiaries, on the one hand, and any unconsolidated Affiliate, including any structured finance, special purpose or limited purpose entity or Person, on the other hand), or any off-balance sheet arrangement, which, the case of any of the foregoing, would be required to be disclosed pursuant to Item 303(b)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hereof, (i) to the Knowledge of DXL, no employee of DXL or any of its Subsidiaries has provided information to any law enforcement agency regarding the commission or possible commission of any crime or the violation or possible violation of any applicable Law of the type described in Section 806 of the Sarbanes-Oxley Act by DXL or any of its Subsidiaries and (ii) neither DXL nor any of its Subsidiaries nor, to the Knowledge of DXL, any director, officer, employee, contractor, subcontractor or agent of DXL or any such Subsidiary has discharged, demoted, suspended, threatened, harassed or in any other manner discriminated against an employee of DXL or any of its Subsidiaries in the terms and conditions of employment because of any lawful act of such employee described in Section 806 of the Sarbanes-Oxley Act. </w:t>
      </w:r>
    </w:p>
    <w:p>
      <w:pPr>
        <w:pStyle w:val="TextBody"/>
        <w:bidi w:val="0"/>
        <w:spacing w:before="240" w:after="0"/>
        <w:jc w:val="left"/>
        <w:rPr>
          <w:rFonts w:ascii="Times New Roman" w:hAnsi="Times New Roman"/>
          <w:sz w:val="20"/>
        </w:rPr>
      </w:pPr>
      <w:bookmarkStart w:id="122" w:name="anxa76201_19"/>
      <w:bookmarkEnd w:id="122"/>
      <w:r>
        <w:rPr>
          <w:rFonts w:ascii="Times New Roman" w:hAnsi="Times New Roman"/>
          <w:b/>
          <w:sz w:val="20"/>
        </w:rPr>
        <w:t xml:space="preserve">SECTION 3.07 </w:t>
      </w:r>
      <w:r>
        <w:rPr>
          <w:rFonts w:ascii="Times New Roman" w:hAnsi="Times New Roman"/>
          <w:b/>
          <w:sz w:val="20"/>
          <w:u w:val="single"/>
        </w:rPr>
        <w:t>Advisors’ Fees</w:t>
      </w:r>
      <w:r>
        <w:rPr>
          <w:rFonts w:ascii="Times New Roman" w:hAnsi="Times New Roman"/>
          <w:sz w:val="20"/>
        </w:rPr>
        <w:t>. None of DXL, any DXL Subsidiary or any of their respective officers or directors has employed any broker, finder, investment banker or financial advisor (each, an “</w:t>
      </w:r>
      <w:r>
        <w:rPr>
          <w:rFonts w:ascii="Times New Roman" w:hAnsi="Times New Roman"/>
          <w:sz w:val="20"/>
          <w:u w:val="single"/>
        </w:rPr>
        <w:t>Advisor</w:t>
      </w:r>
      <w:r>
        <w:rPr>
          <w:rFonts w:ascii="Times New Roman" w:hAnsi="Times New Roman"/>
          <w:sz w:val="20"/>
        </w:rPr>
        <w:t>”), or incurred any liability for any broker’s fees, commissions, finder’s fees or other Advisor fees, in connection with the Merger or other Transactions, other than Guggenheim Securities, LLC (“</w:t>
      </w:r>
      <w:r>
        <w:rPr>
          <w:rFonts w:ascii="Times New Roman" w:hAnsi="Times New Roman"/>
          <w:sz w:val="20"/>
          <w:u w:val="single"/>
        </w:rPr>
        <w:t>DXL’s Financial Advisor</w:t>
      </w:r>
      <w:r>
        <w:rPr>
          <w:rFonts w:ascii="Times New Roman" w:hAnsi="Times New Roman"/>
          <w:sz w:val="20"/>
        </w:rPr>
        <w:t xml:space="preserve">“). DXL retained DXL’s Financial Advisor pursuant to an engagement letter and has delivered to FBB a true and complete copy of such engagement letter. </w:t>
      </w:r>
    </w:p>
    <w:p>
      <w:pPr>
        <w:pStyle w:val="TextBody"/>
        <w:bidi w:val="0"/>
        <w:spacing w:before="240" w:after="0"/>
        <w:jc w:val="left"/>
        <w:rPr>
          <w:rFonts w:ascii="Times New Roman" w:hAnsi="Times New Roman"/>
          <w:sz w:val="20"/>
        </w:rPr>
      </w:pPr>
      <w:bookmarkStart w:id="123" w:name="anxa76201_20"/>
      <w:bookmarkEnd w:id="123"/>
      <w:r>
        <w:rPr>
          <w:rFonts w:ascii="Times New Roman" w:hAnsi="Times New Roman"/>
          <w:b/>
          <w:sz w:val="20"/>
        </w:rPr>
        <w:t xml:space="preserve">SECTION 3.08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February 1, 2025, through the date of this Agreement, no event or events or development or developments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February 1, 2025 through the date of this Agreement, DXL and the DXL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24" w:name="anxa76201_21"/>
      <w:bookmarkEnd w:id="124"/>
      <w:r>
        <w:rPr>
          <w:rFonts w:ascii="Times New Roman" w:hAnsi="Times New Roman"/>
          <w:b/>
          <w:sz w:val="20"/>
        </w:rPr>
        <w:t xml:space="preserve">SECTION 3.09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hereof, none of DXL nor any of the DXL Subsidiaries is a party to any, and there are no pending or, to DXL’s Knowledge, threatened, legal, administrative, arbitral or other proceedings, claims, actions or governmental or regulatory investigations or reviews of any nature (collectively, “</w:t>
      </w:r>
      <w:r>
        <w:rPr>
          <w:rFonts w:ascii="Times New Roman" w:hAnsi="Times New Roman"/>
          <w:sz w:val="20"/>
          <w:u w:val="single"/>
        </w:rPr>
        <w:t>Proceedings</w:t>
      </w:r>
      <w:r>
        <w:rPr>
          <w:rFonts w:ascii="Times New Roman" w:hAnsi="Times New Roman"/>
          <w:sz w:val="20"/>
        </w:rPr>
        <w:t xml:space="preserve">”) against DXL or any of the DXL Subsidiaries, or, to DXL’s Knowledge, any of the directors, officers or employees of DXL of any of its Subsidiaries in their respective capacities as such; and, since January 30, 2022, neither DXL nor any of its Subsidiaries has settled or compromised any proceeding or claim, whether filed or threatened, which settlement or compromise is or was material to DXL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There is no Injunction, judgment or regulatory restriction imposed upon DXL, any of the DXL Subsidiaries or the assets of DXL or any of the DXL Subsidiaries. </w:t>
      </w:r>
    </w:p>
    <w:p>
      <w:pPr>
        <w:pStyle w:val="TextBody"/>
        <w:bidi w:val="0"/>
        <w:spacing w:before="240" w:after="0"/>
        <w:jc w:val="left"/>
        <w:rPr>
          <w:rFonts w:ascii="Times New Roman" w:hAnsi="Times New Roman"/>
          <w:sz w:val="20"/>
        </w:rPr>
      </w:pPr>
      <w:bookmarkStart w:id="125" w:name="anxa76201_22"/>
      <w:bookmarkEnd w:id="125"/>
      <w:r>
        <w:rPr>
          <w:rFonts w:ascii="Times New Roman" w:hAnsi="Times New Roman"/>
          <w:b/>
          <w:sz w:val="20"/>
        </w:rPr>
        <w:t xml:space="preserve">SECTION 3.10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(i) All Tax Returns required by Law to be filed by DXL and the DXL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DXL and the DXL Subsidiaries and all other amounts of Taxes owed by DXL and the DXL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DXL and the DXL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DXL nor the DXL Subsidiaries is currently engaged in any audit, administrative or judicial proceeding with a Tax Authority with respect to Taxes. Neither DXL nor the DXL Subsidiaries has received any written notice from a Tax Authority of a proposed deficiency of any amount of Taxes other than any such deficiencies that have since been resolved. No written claim has been made by any Tax Authority in a jurisdiction where DXL or the DXL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DXL or the DXL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DXL nor the DXL Subsidiaries has constituted either a “distributing corporation” or a “controlled corporation” in a distribution of stock qualifying for tax-free treatment under Section 355 of the Code in the prior two (2) years. </w:t>
      </w:r>
    </w:p>
    <w:p>
      <w:pPr>
        <w:pStyle w:val="TextBody"/>
        <w:bidi w:val="0"/>
        <w:spacing w:before="240" w:after="0"/>
        <w:jc w:val="left"/>
        <w:rPr>
          <w:rFonts w:ascii="Times New Roman" w:hAnsi="Times New Roman"/>
          <w:sz w:val="20"/>
        </w:rPr>
      </w:pPr>
      <w:r>
        <w:rPr>
          <w:rFonts w:ascii="Times New Roman" w:hAnsi="Times New Roman"/>
          <w:sz w:val="20"/>
        </w:rPr>
        <w:t xml:space="preserve">(vi) Neither DXL nor the DXL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DXL nor the DXL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DXL nor the DXL Subsidiaries has any liability for the Taxes of any Person (other than the DXL or the DXL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(ix) Neither DXL nor the DXL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DXL and the DXL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 DXL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 Neither DXL nor the DXL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26" w:name="anxa76201_23"/>
      <w:bookmarkEnd w:id="126"/>
      <w:r>
        <w:rPr>
          <w:rFonts w:ascii="Times New Roman" w:hAnsi="Times New Roman"/>
          <w:b/>
          <w:sz w:val="20"/>
        </w:rPr>
        <w:t xml:space="preserve">SECTION 3.11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DXL Benefit Plan</w:t>
      </w:r>
      <w:r>
        <w:rPr>
          <w:rFonts w:ascii="Times New Roman" w:hAnsi="Times New Roman"/>
          <w:sz w:val="20"/>
        </w:rPr>
        <w:t>” shall mean each benefit or compensation plan, arrangement, agreement, policy or program, including any “employee welfare plan” within the meaning of Section 3(1) of the Employee Retirement Income Security Act of 1974 (“</w:t>
      </w:r>
      <w:r>
        <w:rPr>
          <w:rFonts w:ascii="Times New Roman" w:hAnsi="Times New Roman"/>
          <w:sz w:val="20"/>
          <w:u w:val="single"/>
        </w:rPr>
        <w:t>ERISA</w:t>
      </w:r>
      <w:r>
        <w:rPr>
          <w:rFonts w:ascii="Times New Roman" w:hAnsi="Times New Roman"/>
          <w:sz w:val="20"/>
        </w:rPr>
        <w:t>”), whether or not subject to ERISA, any “employee pension benefit plan” within the meaning of Section 3(2) of ERISA, whether or not subject to ERISA, and any bonus, incentive, deferred compensation, vacation, stock purchase, stock option, severance, employment, retention, salary continuation, change of control, retirement, pension, profit sharing or fringe benefit plan, or program, of any kind (whether written or oral, tax- qualified or non-tax qualified, funded or unfunded, foreign or domestic, active, frozen or terminated), that is sponsored, maintained or contributed to by DXL (or required to be maintained or contributed to by DXL) for the benefit of current or former directors, officers or employees of, or consultants to, DXL or with respect to which DXL, directly or indirectly, has any liability, excluding, in each case, any “multiemployer plan” within the meaning of Section 4001(a)(3) of ERISA (a “</w:t>
      </w:r>
      <w:r>
        <w:rPr>
          <w:rFonts w:ascii="Times New Roman" w:hAnsi="Times New Roman"/>
          <w:sz w:val="20"/>
          <w:u w:val="single"/>
        </w:rPr>
        <w:t>Multiemployer Plan</w:t>
      </w:r>
      <w:r>
        <w:rPr>
          <w:rFonts w:ascii="Times New Roman" w:hAnsi="Times New Roman"/>
          <w:sz w:val="20"/>
        </w:rPr>
        <w:t xml:space="preserve">”). </w:t>
      </w:r>
      <w:r>
        <w:rPr>
          <w:rFonts w:ascii="Times New Roman" w:hAnsi="Times New Roman"/>
          <w:sz w:val="20"/>
          <w:u w:val="single"/>
        </w:rPr>
        <w:t>Section 3.11(a)</w:t>
      </w:r>
      <w:r>
        <w:rPr>
          <w:rFonts w:ascii="Times New Roman" w:hAnsi="Times New Roman"/>
          <w:sz w:val="20"/>
        </w:rPr>
        <w:t xml:space="preserve"> of the DXL Disclosure Schedule contains a true and complete list of each material DXL Benefit Plan; provided, for the avoidance of doubt, that the following need not be set forth on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3.11(a)</w:t>
      </w:r>
      <w:r>
        <w:rPr>
          <w:rFonts w:ascii="Times New Roman" w:hAnsi="Times New Roman"/>
          <w:sz w:val="20"/>
        </w:rPr>
        <w:t xml:space="preserve"> of the DXL Disclosure Schedule: (i) any employment agreement, equity plan or award, or other DXL Benefit Plan in each case which is disclosed and filed with the SEC and (ii) any plan or arrangement sponsored or maintained by a Governmental Entity or required to be provided to a service provider pursuant to applicable Law. With respect to each DXL Benefit Plan, DXL has provided or made available to FBB true and complete copies of: (x) such DXL Benefit Plan, if written, or a description of such DXL Benefit Plan, if not written and (y) to the extent applicable to such DXL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non-routine communications to or from any Governmental Entity related to any DXL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DXL, (i) each DXL Benefit Plan is in compliance with all applicable Laws, including ERISA, the Code, and the terms of such DXL Benefit Plan; (ii) each DXL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DXL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DXL is aware of no event occurring after the date of such determination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cause the revocation of such letter or result in the loss of such qualification; (iii) no condition exists that is reasonably likely to subject DXL or any DXL ERISA Affiliate to any direct or indirect liability under Title IV of ERISA or to a civil penalty under Section 502(j) of ERISA or liability under Section 4069 of ERISA or Section 4975, 4976, or 4980B of the Code or other liability with respect to the DXL Benefit Plans; (iv) there are no pending or, to DXL’s Knowledge, threatened claims (other than routine claims for benefits) by, on behalf of or against any of the DXL Benefit Plans or any trusts related thereto; (v) no DXL Benefit Plan is, or within the last three (3) years has been, the subject of an examination or audit by a Governmental Entity and to DXL’s Knowledge, no fact or event exists or could reasonably be expected to give rise to any such investigation, audit or other administrative proceeding with respect to a DXL Benefit Plan; and (vi) all contributions, premiums and other similar payments to, and payments from, the DXL Benefit Plans which are required to have been made by DXL or any of its Subsidiaries with respect to any period ending on or before the Closing Date, in accordance with the DXL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DXL nor any DXL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DXL nor any DXL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3.11(d)</w:t>
      </w:r>
      <w:r>
        <w:rPr>
          <w:rFonts w:ascii="Times New Roman" w:hAnsi="Times New Roman"/>
          <w:sz w:val="20"/>
        </w:rPr>
        <w:t xml:space="preserve"> of the DXL Disclosure Schedule, no DXL Benefit Plan provides, nor does DXL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3.11(e)</w:t>
      </w:r>
      <w:r>
        <w:rPr>
          <w:rFonts w:ascii="Times New Roman" w:hAnsi="Times New Roman"/>
          <w:sz w:val="20"/>
        </w:rPr>
        <w:t xml:space="preserve"> of the DXL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DXL or any DXL Subsidiary, including any severance pay, change of control benefit or any other payment from DXL or any FBB Subsidiary, (ii) increase any benefits otherwise payable under any DXL Benefit Plan or materially increase compensation, (iii) result in or cause the vesting, exercisability, acceleration of the time of payment, funding or vesting of any such benefits, or forfeiture of or increase the amount or value of, any compensation or benefits due to any employee, officer, director or consultant, (iv) result in the triggering or imposition of any restrictions or limitations on the rights of DXL to amend, merge or terminate any DXL Benefit Plan or (v) trigger any other obligation under, or result in the breach or violation of, any DXL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DXL, each DXL Benefit Plan that is a “nonqualified deferred compensation plan” (within the meaning of Section 409A of the Code) has been established, operated and maintained in compliance with Section 409A of the Code and any proposed and final guidance promulgated under Section 409A of the Code. No additional Tax under Section 409A(a)(1)(B) of the Code has been incurred by a participant in any such DXL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Neither DXL nor any DXL Subsidiary is a party to, nor does any of them have any obligation under any DXL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DXL would not be deductible by reason of Section 280G of the Code or would be subject to an excise tax under Section 4999 or the Code. Neither DXL nor any DXL Subsidiary has any legally binding plan or commitment to create any additional DXL Benefit Plan or to modify or change any existing DXL Benefit Plan that would be reasonably expected to result in material liabilities to DXL or any DXL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DXL, any DXL Subsidiary or any DXL ERISA Affiliate (a “</w:t>
      </w:r>
      <w:r>
        <w:rPr>
          <w:rFonts w:ascii="Times New Roman" w:hAnsi="Times New Roman"/>
          <w:sz w:val="20"/>
          <w:u w:val="single"/>
        </w:rPr>
        <w:t>DXL Multiemployer Plan</w:t>
      </w:r>
      <w:r>
        <w:rPr>
          <w:rFonts w:ascii="Times New Roman" w:hAnsi="Times New Roman"/>
          <w:sz w:val="20"/>
        </w:rPr>
        <w:t xml:space="preserve">”), as of the date of this Agreement, is listed in </w:t>
      </w:r>
      <w:r>
        <w:rPr>
          <w:rFonts w:ascii="Times New Roman" w:hAnsi="Times New Roman"/>
          <w:sz w:val="20"/>
          <w:u w:val="single"/>
        </w:rPr>
        <w:t>Section 3.11(i)</w:t>
      </w:r>
      <w:r>
        <w:rPr>
          <w:rFonts w:ascii="Times New Roman" w:hAnsi="Times New Roman"/>
          <w:sz w:val="20"/>
        </w:rPr>
        <w:t xml:space="preserve"> of the DXL Disclosure Schedule. With respect to any DXL Multiemployer Plan, neither DXL nor any DXL ERISA Affiliate has incurred any withdrawal liability under Title IV of ERISA which remains unsatisfied, except as, individually or in the aggregate, has not had and would not reasonably be expected to have a Material Adverse Effect on DXL. With respect to each DXL Multiemployer Plan, neither DXL nor any DXL Subsidiary or DXL ERISA Affiliate has been informed of: (i) any prohibited transaction (as defined in Section 4975 of the Code or Section 406 of ERISA); (ii) any fact that would adversely affect the tax qualified status of such DXL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DXL or any DXL Subsidiary under each DXL Multiemployer Plan have been timely made and all obligations in respect of each DXL Multiemployer Plan have been properly accrued and reflected in the most recent consolidated balance sheet filed or incorporated by reference in the DXL SEC Reports,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27" w:name="anxa76201_24"/>
      <w:bookmarkEnd w:id="127"/>
      <w:r>
        <w:rPr>
          <w:rFonts w:ascii="Times New Roman" w:hAnsi="Times New Roman"/>
          <w:b/>
          <w:sz w:val="20"/>
        </w:rPr>
        <w:t xml:space="preserve">SECTION 3.12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DXL Disclosure Schedule sets forth, as of the close of business on November 26, 2025, a complete and correct list of all current employees of DXL and the DXL Subsidiaries (“</w:t>
      </w:r>
      <w:r>
        <w:rPr>
          <w:rFonts w:ascii="Times New Roman" w:hAnsi="Times New Roman"/>
          <w:sz w:val="20"/>
          <w:u w:val="single"/>
        </w:rPr>
        <w:t>DXL Employees</w:t>
      </w:r>
      <w:r>
        <w:rPr>
          <w:rFonts w:ascii="Times New Roman" w:hAnsi="Times New Roman"/>
          <w:sz w:val="20"/>
        </w:rPr>
        <w:t>”), including their respective titles, whether such employee is classified as exempt or non-exempt pursuant to the Fair Labor Standards Act (“</w:t>
      </w:r>
      <w:r>
        <w:rPr>
          <w:rFonts w:ascii="Times New Roman" w:hAnsi="Times New Roman"/>
          <w:sz w:val="20"/>
          <w:u w:val="single"/>
        </w:rPr>
        <w:t>FLSA</w:t>
      </w:r>
      <w:r>
        <w:rPr>
          <w:rFonts w:ascii="Times New Roman" w:hAnsi="Times New Roman"/>
          <w:sz w:val="20"/>
        </w:rPr>
        <w:t xml:space="preserve">”), current compensation (including base salary (if classified as exempt) or hourly wage rate (if classified as non-exempt), current target bonus entitlement and other incentive or contingent compensation), status as full-time or part- time, age, work location, and amount of accrued but unused vacation, and whether such employee is absent from active employment and, if so, the date such employee became inactive, the reason for such inactive status, and, if applicable, the anticipated date of return to active employment. DXL has taken reasonable steps to ensure that all individuals who are or were performing consulting or other services for DXL are or were correctly classified under all applicable Laws by DXL as either “independent contractors” (or comparable status in the case of a non-U.S. entity) or “employees” as the case may be, and, at the Closing Date, with respect to those individuals still performing consulting services for DXL as of the Closing Date, such individuals will qualify for such classification and would not be entitled to the rights of an employee of DXL. DXL has taken reasonable steps to ensure that all individuals who are or were classified as “employees” of DXL are or were correctly classified under all applicable Laws by DXL, as exempt or non-exempt from overtime payments, as the case may be. Except as otherwise required by Law or as expressly contemplated by this Agreement, there is no former director, officer, employee, independent contractor or consultant of DXL who is receiving or is scheduled to receive (or whose spouse or other dependent is receiving or is scheduled to receive) any benefits (from DXL) relating to such former service provider’s relationship with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Neither DXL nor any DXL Subsidiary is party to a collective bargaining agreement, no collective bargaining agreement is presently being negotiated, and no collective bargaining agreement is applicable to any employees of DXL or any DXL Subsidiary. To the Knowledge of DXL, since January 1, 2023, until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DXL or any DXL Subsidiary. There is no and during the three (3) year period prior to the date hereof there has been no (i) unfair labor practice, labor dispute or labor arbitration proceeding pending or, to DXL’s Knowledge, threatened against or affecting DXL or any DXL Subsidiary or (ii) lockout, strike, slowdown, work stoppage or, to DXL’s Knowledge, threat thereof by or with respect to any employees of DXL or any DXL Subsidiary. </w:t>
      </w:r>
    </w:p>
    <w:p>
      <w:pPr>
        <w:pStyle w:val="TextBody"/>
        <w:bidi w:val="0"/>
        <w:spacing w:before="240" w:after="0"/>
        <w:jc w:val="left"/>
        <w:rPr>
          <w:rFonts w:ascii="Times New Roman" w:hAnsi="Times New Roman"/>
          <w:sz w:val="20"/>
        </w:rPr>
      </w:pPr>
      <w:r>
        <w:rPr>
          <w:rFonts w:ascii="Times New Roman" w:hAnsi="Times New Roman"/>
          <w:sz w:val="20"/>
        </w:rPr>
        <w:t>(c) In the three (3) years prior to the date hereof, neither DXL or any DXL Subsidiary has effectuated (i) a “plant closing” (as defined in the Worker Adjustment and Retraining Notification Act (“</w:t>
      </w:r>
      <w:r>
        <w:rPr>
          <w:rFonts w:ascii="Times New Roman" w:hAnsi="Times New Roman"/>
          <w:sz w:val="20"/>
          <w:u w:val="single"/>
        </w:rPr>
        <w:t>WARN</w:t>
      </w:r>
      <w:r>
        <w:rPr>
          <w:rFonts w:ascii="Times New Roman" w:hAnsi="Times New Roman"/>
          <w:sz w:val="20"/>
        </w:rPr>
        <w:t xml:space="preserve">”)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Neither DXL or any DXL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(d) Except as has not had and would not reasonably be expected to have, individually or in the aggregate, a Material Adverse Effect on DXL, DXL is, and at all relevant times has been, in compliance with all applicable Laws and orders with respect to labor relations, employment and employment practices, including occupational safety and health standards, terms and conditions of employment or services, payment of wages or other compensation, minimum wages, overtime, classification of employees, employment equality, age discrimination, immigration, visa, work status, human rights, pay equity and workers’ compensation, and is not engaged in any unfair labor practice (“</w:t>
      </w:r>
      <w:r>
        <w:rPr>
          <w:rFonts w:ascii="Times New Roman" w:hAnsi="Times New Roman"/>
          <w:sz w:val="20"/>
          <w:u w:val="single"/>
        </w:rPr>
        <w:t>Employment Matters</w:t>
      </w:r>
      <w:r>
        <w:rPr>
          <w:rFonts w:ascii="Times New Roman" w:hAnsi="Times New Roman"/>
          <w:sz w:val="20"/>
        </w:rPr>
        <w:t xml:space="preserve">”). The employment or services of each former employee, consultant or contractor of DXL was terminated in material compliance with all applicable Laws, and DXL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DXL and its Subsidiaries, taken as a whole, there are no, and in the past five years there have been no pending or, to DXL’s Knowledge, threatened lawsuits, arbitrations, administrative charges, controversies, grievances or claims by any employee, independent contractor, former employee, or former independent contractor of DXL or any DXL Subsidiary before the National Labor Relations Board, the Equal Employment Opportunity Commission or any other Governmental Entity or arbitration board or panel relating to any Employment Matters. </w:t>
      </w:r>
    </w:p>
    <w:p>
      <w:pPr>
        <w:pStyle w:val="TextBody"/>
        <w:bidi w:val="0"/>
        <w:spacing w:before="240" w:after="0"/>
        <w:jc w:val="left"/>
        <w:rPr>
          <w:rFonts w:ascii="Times New Roman" w:hAnsi="Times New Roman"/>
          <w:sz w:val="20"/>
        </w:rPr>
      </w:pPr>
      <w:r>
        <w:rPr>
          <w:rFonts w:ascii="Times New Roman" w:hAnsi="Times New Roman"/>
          <w:sz w:val="20"/>
        </w:rPr>
        <w:t xml:space="preserve">(f) To DXL’s Knowledge, no employee at or above the level of Vice President has informed DXL or any DXL Subsidiary, either orally or in writing, of any plans to terminate their employment or relationship with DXL or any DXL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DXL and each DXL Subsidiary is (i) a United States citizen, (ii) a United States national, (iii) a lawful permanent resident of the United States, or (iv) an alien authorized to work in the United States specifically for DXL or any DXL Subsidiary or for any United States employer. DXL and each DXL Subsidiary have completed a Form I-9 (Employment Eligibility Verification) for each employee, and each Form I-9 has since been updated, in each case, as required by applicable Law and is correct and complete. For each employee of DXL and each DXL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28" w:name="anxa76201_25"/>
      <w:bookmarkEnd w:id="128"/>
      <w:r>
        <w:rPr>
          <w:rFonts w:ascii="Times New Roman" w:hAnsi="Times New Roman"/>
          <w:b/>
          <w:sz w:val="20"/>
        </w:rPr>
        <w:t xml:space="preserve">SECTION 3.13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DXL and its Subsidiaries, taken as a whole, DXL has designed and maintains a system of internal control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reporting (as defined in Rules 13a-15(f) and 15d-15(f) of the Exchange Act) sufficient to provide reasonable assurances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DXL’s assets; (ii) provide reasonable assurance that transactions are recorded as necessary to permit preparation of financial statements in accordance with GAAP, and that DXL’s receipts and expenditures are being made only in accordance with authorizations of DXL’s management and directors; and (iii) provide reasonable assurance regarding prevention or timely detection of unauthorized acquisition, use or disposition of DXL’s assets that could have a material effect on DXL’s financial statements. Except as would not reasonably be expected to be material to DXL and its Subsidiaries, taken as a whole, DXL (a) has designed and maintains disclosure controls and procedures (as defined in Rules 13a-15(e) and 15d-15(e) of the Exchange Act) to ensure that all information required to be disclosed by DXL in the reports that it will file or submit under the Exchange Act is recorded, processed, summarized and reported within the time periods specified in the SEC’s rules and forms and is accumulated and communicated to DXL’s management as appropriate to allow timely decisions regarding required disclosure and (b) has disclosed, based on its most recent evaluation of its disclosure controls and procedures and internal control over financial reporting prior to the date of this Agreement, to DXL’s auditors and the board of directors of DXL (i) any significant deficiencies and material weaknesses in the design or operation of internal control over financial reporting that are reasonably likely to adversely affect in any material respect DXL’s ability to record, process, summarize and report financial information and (ii) any fraud, whether or not material, that involves management or other employees who have a significant role in DXL’s internal control over financial reporting. Since February 1, 2025, none of DXL, DXL’s auditors, the DXL Board or the audit committee of the DXL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9" w:name="anxa76201_26"/>
      <w:bookmarkEnd w:id="129"/>
      <w:r>
        <w:rPr>
          <w:rFonts w:ascii="Times New Roman" w:hAnsi="Times New Roman"/>
          <w:b/>
          <w:sz w:val="20"/>
        </w:rPr>
        <w:t xml:space="preserve">SECTION 3.14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29, 2023, except as would not reasonably be expected to be material to DXL and its Subsidiaries, taken as a whole, (i) the businesses of each of DXL and the DXL Subsidiaries have been conducted in compliance with all applicable federal, state, local or foreign laws, statutes, ordinances, rules, regulations, judgments, orders, Injunctions, arbitration awards, agency requirements, licenses and permits of all Governmental Entities (each, a “</w:t>
      </w:r>
      <w:r>
        <w:rPr>
          <w:rFonts w:ascii="Times New Roman" w:hAnsi="Times New Roman"/>
          <w:sz w:val="20"/>
          <w:u w:val="single"/>
        </w:rPr>
        <w:t>Law</w:t>
      </w:r>
      <w:r>
        <w:rPr>
          <w:rFonts w:ascii="Times New Roman" w:hAnsi="Times New Roman"/>
          <w:sz w:val="20"/>
        </w:rPr>
        <w:t>” and collectively, “</w:t>
      </w:r>
      <w:r>
        <w:rPr>
          <w:rFonts w:ascii="Times New Roman" w:hAnsi="Times New Roman"/>
          <w:sz w:val="20"/>
          <w:u w:val="single"/>
        </w:rPr>
        <w:t>Laws</w:t>
      </w:r>
      <w:r>
        <w:rPr>
          <w:rFonts w:ascii="Times New Roman" w:hAnsi="Times New Roman"/>
          <w:sz w:val="20"/>
        </w:rPr>
        <w:t>”)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DXL that has not since been resolved without any ongoing material liability for DXL. No investigation or review by any Governmental Entity with respect to DXL or any of the DXL Subsidiaries is pending or, to DXL’s Knowledge, threatened, nor has any Governmental Entity indicated an intention to conduct the same. As of the date hereof, to the Knowledge of DXL and the DXL Subsidiaries, no condition or state of facts exists that is reasonably likely to give rise to a violation of, or a liability or default under any applicable Law. Each of DXL and the DXL Subsidiaries has all material governmental permits, authorizations, registrations, waivers, licenses, franchises, variances, exemptions and orders issued or granted by a Governmental Entity and all other authorizations, consents, certificates of public convenience and/or necessity and approvals issued or granted by a Governmental Entity (collectively, “</w:t>
      </w:r>
      <w:r>
        <w:rPr>
          <w:rFonts w:ascii="Times New Roman" w:hAnsi="Times New Roman"/>
          <w:sz w:val="20"/>
          <w:u w:val="single"/>
        </w:rPr>
        <w:t>Licenses</w:t>
      </w:r>
      <w:r>
        <w:rPr>
          <w:rFonts w:ascii="Times New Roman" w:hAnsi="Times New Roman"/>
          <w:sz w:val="20"/>
        </w:rPr>
        <w:t>” and the terms “</w:t>
      </w:r>
      <w:r>
        <w:rPr>
          <w:rFonts w:ascii="Times New Roman" w:hAnsi="Times New Roman"/>
          <w:sz w:val="20"/>
          <w:u w:val="single"/>
        </w:rPr>
        <w:t>DXL Licenses</w:t>
      </w:r>
      <w:r>
        <w:rPr>
          <w:rFonts w:ascii="Times New Roman" w:hAnsi="Times New Roman"/>
          <w:sz w:val="20"/>
        </w:rPr>
        <w:t>” and “</w:t>
      </w:r>
      <w:r>
        <w:rPr>
          <w:rFonts w:ascii="Times New Roman" w:hAnsi="Times New Roman"/>
          <w:sz w:val="20"/>
          <w:u w:val="single"/>
        </w:rPr>
        <w:t>FBB Licenses</w:t>
      </w:r>
      <w:r>
        <w:rPr>
          <w:rFonts w:ascii="Times New Roman" w:hAnsi="Times New Roman"/>
          <w:sz w:val="20"/>
        </w:rPr>
        <w:t xml:space="preserve">” will mean Licenses of DXL or any of the DXL Subsidiaries or FBB, respectively)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DXL and each of the DXL Subsidiaries are in material compliance with (i) their respective obligations under each of the material DXL Licenses and (ii) the rules and regulations of the Governmental Entity issuing such material DXL Licenses. There is no pending or, to DXL’s Knowledge, threatened by or before any Governmental Entity any material proceeding, notice of violation, order of forfeiture or complaint or investigation against DXL or any of the DXL Subsidiaries relating to any of the material DXL Licenses. To the Knowledge of DXL and the DXL Subsidiaries, no event has occurred which, with notice or the lapse of time or both, would constitute a default or violation, in any material respect, of any term, condition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of any DXL License, and to the Knowledge of DXL and the DXL Subsidiaries, there are no facts or circumstances which could form the basis for any such default or violation. The actions of the applicable Governmental Entities granting all material DXL Licenses have not been reversed, stayed, enjoined, annulled or suspended, and there is not pending or, to DXL’s Knowledge, threatened, any material application, petition, objection or other pleading with any Governmental Entity that challenges or questions the validity of or any rights of the holder under any material DXL License. </w:t>
      </w:r>
    </w:p>
    <w:p>
      <w:pPr>
        <w:pStyle w:val="TextBody"/>
        <w:bidi w:val="0"/>
        <w:spacing w:before="240" w:after="0"/>
        <w:jc w:val="left"/>
        <w:rPr>
          <w:rFonts w:ascii="Times New Roman" w:hAnsi="Times New Roman"/>
          <w:sz w:val="20"/>
        </w:rPr>
      </w:pPr>
      <w:bookmarkStart w:id="130" w:name="anxa76201_27"/>
      <w:bookmarkEnd w:id="130"/>
      <w:r>
        <w:rPr>
          <w:rFonts w:ascii="Times New Roman" w:hAnsi="Times New Roman"/>
          <w:b/>
          <w:sz w:val="20"/>
        </w:rPr>
        <w:t xml:space="preserve">SECTION 3.15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3.15(a)</w:t>
      </w:r>
      <w:r>
        <w:rPr>
          <w:rFonts w:ascii="Times New Roman" w:hAnsi="Times New Roman"/>
          <w:sz w:val="20"/>
        </w:rPr>
        <w:t xml:space="preserve"> of the DXL Disclosure Schedule sets forth a complete list of each currently effective Contract to which DXL or any of its Subsidiaries is a party or by which it is bound as of the date of this Agreement (other than any DXL Benefit Plan) (each, a “</w:t>
      </w:r>
      <w:r>
        <w:rPr>
          <w:rFonts w:ascii="Times New Roman" w:hAnsi="Times New Roman"/>
          <w:sz w:val="20"/>
          <w:u w:val="single"/>
        </w:rPr>
        <w:t>DXL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DXL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(a) any pledge, security agreement, deed of trust or other Contracts that impose a Lien on any of DXL’s or any of its Subsidiaries’ assets; (b) loan or credit agreement, indenture, debenture, note or other Contracts that create, incur or guarantee any Indebtedness, or (c) Contracts under which DXL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 which by its terms limits in any material respect (i) the localities, market or business in which all or any significant portion of the business and operations of DXL or DXL’s Subsidiaries or, following the consummation of the Transactions, the business and operations of Surviving Company, DXL or any Affiliate of DXL, is or would be conducted, (ii) the Persons DXL or any of its existing or future Subsidiaries, may hire (other than Contracts with contract research organizations or other contractors or vendors that provide services to DXL in the ordinary course of DXL’s business and that contain provisions that prevent DXL from soliciting or hiring any personnel of such contract research organizations or such other contractors or vendors), (iii) the Persons to whom DXL or any of its existing or future Subsidiaries may sell products or deliver services, or (iv) the scope of the business and operations of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that (i) provides for the grant to DXL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DXL IP Rights other than non-exclusive licenses to a contractor or service provider of DXL or the DXL Subsidiaries entered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containing any royalty, dividend or similar arrangement based on the revenues or profits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with any Governmental Entity or a subcontractor to any Governmental Entity in connection with such DXL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with (a) an executive officer or director of DXL or any of its Subsidiaries or any of such executive officer’s or director’s immediate family members, (b) an owner of more than five percent (5%) of the voting power of the outstanding capital stock of DXL or (c) to the Knowledge of DXL, any “related party” (within the meaning of Item 404 of Regulation S- K promulgated by the SEC) of any such officer, director or owner (other than DXL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(xiv) relating to the acquisition or disposition of any material interest in, or any material amount of, securities, property or assets of DXL or any of its Subsidiaries or any other Person, or for the grant to any Person of any preferential rights to purchase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 other than as set forth elsewhere on </w:t>
      </w:r>
      <w:r>
        <w:rPr>
          <w:rFonts w:ascii="Times New Roman" w:hAnsi="Times New Roman"/>
          <w:sz w:val="20"/>
          <w:u w:val="single"/>
        </w:rPr>
        <w:t>Section 3.15(a)</w:t>
      </w:r>
      <w:r>
        <w:rPr>
          <w:rFonts w:ascii="Times New Roman" w:hAnsi="Times New Roman"/>
          <w:sz w:val="20"/>
        </w:rPr>
        <w:t xml:space="preserve"> of the DXL Disclosure Schedule, and excluding customary confidentiality and non-disclosure agreements, all other Contracts that are material to the business or operations of DXL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DXL has delivered or made available to FBB accurate and complete copies of all DXL Material Contracts, including all amendments thereto. There are no DXL Material Contracts that are not in written form. Neither DXL nor any Subsidiary of DXL has, nor to DXL’s Knowledge, has any other party to a DXL Material Contract breached, violated or defaulted under, or received notice that it has breached, violated or defaulted under, any of the terms or conditions of any DXL Material Contract, except where the breach, violation, default or notice thereof of any the foregoing, thereunder has not had and would not reasonably be expected to have, individually or in the aggregate, a Material Adverse Effect on DXL. As to DXL and DXL’s Subsidiaries, as of the date of this Agreement, each DXL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DXL. The consummation of the Transactions will not (either alone or upon the occurrence of additional acts or events) result in any material payment or payments becoming due from DXL, any Subsidiary of DXL, or the Surviving Company to any Person under any DXL Material Contract or give any Person the right to terminate or alter the provisions of any DXL Material Contract. Except as has not had and would not reasonably be expected to have, individually or in the aggregate, a Material Adverse Effect on DXL, no Person (A) is renegotiating any material amount paid or payable to DXL or any of its Subsidiaries under any DXL Material Contract or any other material term or provision of any DXL Material Contract or (B) has provided notice to DXL or any of its Subsidiaries that it intends to terminate any DXL Material Contract or with respect to any breach or default in any material respect of any DXL Material Contract. </w:t>
      </w:r>
    </w:p>
    <w:p>
      <w:pPr>
        <w:pStyle w:val="TextBody"/>
        <w:bidi w:val="0"/>
        <w:spacing w:before="240" w:after="0"/>
        <w:jc w:val="left"/>
        <w:rPr>
          <w:rFonts w:ascii="Times New Roman" w:hAnsi="Times New Roman"/>
          <w:sz w:val="20"/>
        </w:rPr>
      </w:pPr>
      <w:bookmarkStart w:id="131" w:name="anxa76201_28"/>
      <w:bookmarkEnd w:id="131"/>
      <w:r>
        <w:rPr>
          <w:rFonts w:ascii="Times New Roman" w:hAnsi="Times New Roman"/>
          <w:b/>
          <w:sz w:val="20"/>
        </w:rPr>
        <w:t xml:space="preserve">SECTION 3.16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possesses and is in compliance with all Environmental Permits necessary in all material respects to conduct its businesses and operations as currently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To the Knowledge of DXL, each of DXL and the DXL Subsidiaries is in compliance and has complied in all material respects with all applicable Environmental Laws, and neither DXL nor any DXL Subsidiary has received any communication from any Governmental Entity or other Person that alleges that DXL or any DXL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DXL’s knowledge, threatened against DXL or any of the DXL Subsidiaries and neither DXL nor any of the DXL Subsidiaries has contractually retained or assumed any liabilities or obligations that would reasonably be expected to result in any Environmental Claim against DXL or any of the DXL Subsidiaries nor there is any circumstance involving DXL or any of its Subsidiaries that would reasonably be expected to result in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DXL, there have been no Releases of, or exposure to, any Hazardous Materials that would reasonably be expected result in any material Environmental Claim or liability.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Environmental Claims</w:t>
      </w:r>
      <w:r>
        <w:rPr>
          <w:rFonts w:ascii="Times New Roman" w:hAnsi="Times New Roman"/>
          <w:sz w:val="20"/>
        </w:rPr>
        <w:t xml:space="preserve">” means any and all administrative, regulatory or judicial actions, orders, decrees, suits, demands, demand letters, directives, claims, Liens, investigations, proceedings or notices of noncompliance or violation by any Governmental Entity or other Person alleging responsibility or liability (including responsibility or liability for costs of enforcement, investigation, cleanup, governmental response, removal or remediation, for natural resources damages, property damage, personal injuries or penalties or for contribution, indemnification, cost recovery, compensation or injunctive relief) arising out of, based on or related to (x) the presence, Release of, or exposure to, any Hazardous Materials at any location or (y) any failure to comply with any Environmental Law or Environmental Permit.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Environmental Laws</w:t>
      </w:r>
      <w:r>
        <w:rPr>
          <w:rFonts w:ascii="Times New Roman" w:hAnsi="Times New Roman"/>
          <w:sz w:val="20"/>
        </w:rPr>
        <w:t xml:space="preserve">” means all applicable Laws issued, promulgated or entered into by or with any Governmental Entity relating to pollution or protection of the environment (including ambient air, surface water, groundwater, soils or subsurface strata) or, as it relates to the environment, the Release of or exposure to hazardous or toxic materials or protection of worker health from such exposure. </w:t>
      </w:r>
    </w:p>
    <w:p>
      <w:pPr>
        <w:pStyle w:val="TextBody"/>
        <w:bidi w:val="0"/>
        <w:spacing w:before="36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Environmental Permits</w:t>
      </w:r>
      <w:r>
        <w:rPr>
          <w:rFonts w:ascii="Times New Roman" w:hAnsi="Times New Roman"/>
          <w:sz w:val="20"/>
        </w:rPr>
        <w:t xml:space="preserve">” means all Licenses required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Hazardous Materials</w:t>
      </w:r>
      <w:r>
        <w:rPr>
          <w:rFonts w:ascii="Times New Roman" w:hAnsi="Times New Roman"/>
          <w:sz w:val="20"/>
        </w:rPr>
        <w:t>” means all hazardous, toxic, explosive or radioactive substances, wastes or other pollutants, including petroleum or petroleum distillates, asbestos or asbestos-containing material, polychlorinated biphenyls (“</w:t>
      </w:r>
      <w:r>
        <w:rPr>
          <w:rFonts w:ascii="Times New Roman" w:hAnsi="Times New Roman"/>
          <w:sz w:val="20"/>
          <w:u w:val="single"/>
        </w:rPr>
        <w:t>PCBs</w:t>
      </w:r>
      <w:r>
        <w:rPr>
          <w:rFonts w:ascii="Times New Roman" w:hAnsi="Times New Roman"/>
          <w:sz w:val="20"/>
        </w:rPr>
        <w:t xml:space="preserve">”) or PCB-containing materials or equipment, radon gas, infectious or medical wastes and all other substances or wastes that in relevant form or concentration are regulated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the environment (including ambient air, surface water, groundwater, land surface or subsurface strata) or within any building, structure, facility or fixture. </w:t>
      </w:r>
    </w:p>
    <w:p>
      <w:pPr>
        <w:pStyle w:val="TextBody"/>
        <w:bidi w:val="0"/>
        <w:spacing w:before="240" w:after="0"/>
        <w:jc w:val="left"/>
        <w:rPr>
          <w:rFonts w:ascii="Times New Roman" w:hAnsi="Times New Roman"/>
          <w:sz w:val="20"/>
        </w:rPr>
      </w:pPr>
      <w:bookmarkStart w:id="132" w:name="anxa76201_29"/>
      <w:bookmarkEnd w:id="132"/>
      <w:r>
        <w:rPr>
          <w:rFonts w:ascii="Times New Roman" w:hAnsi="Times New Roman"/>
          <w:b/>
          <w:sz w:val="20"/>
        </w:rPr>
        <w:t xml:space="preserve">SECTION 3.17 </w:t>
      </w:r>
      <w:r>
        <w:rPr>
          <w:rFonts w:ascii="Times New Roman" w:hAnsi="Times New Roman"/>
          <w:b/>
          <w:sz w:val="20"/>
          <w:u w:val="single"/>
        </w:rPr>
        <w:t>Takeover Laws</w:t>
      </w:r>
      <w:r>
        <w:rPr>
          <w:rFonts w:ascii="Times New Roman" w:hAnsi="Times New Roman"/>
          <w:sz w:val="20"/>
        </w:rPr>
        <w:t xml:space="preserve">. Assuming the representations and warranties of FBB set forth in </w:t>
      </w:r>
      <w:r>
        <w:rPr>
          <w:rFonts w:ascii="Times New Roman" w:hAnsi="Times New Roman"/>
          <w:sz w:val="20"/>
          <w:u w:val="single"/>
        </w:rPr>
        <w:t>Section 4.02</w:t>
      </w:r>
      <w:r>
        <w:rPr>
          <w:rFonts w:ascii="Times New Roman" w:hAnsi="Times New Roman"/>
          <w:sz w:val="20"/>
        </w:rPr>
        <w:t xml:space="preserve"> are true and correct, as of the date hereof, the DXL Board has taken all actions so that the restrictions applicable to business combinations contained in Section 203 of the DGCL will be inapplicable to the execution, delivery and performance of this Agreement. There are no other “fair price,” “moratorium,” “control share acquisition” or other similar anti-takeover statute or regulations (each, a “</w:t>
      </w:r>
      <w:r>
        <w:rPr>
          <w:rFonts w:ascii="Times New Roman" w:hAnsi="Times New Roman"/>
          <w:sz w:val="20"/>
          <w:u w:val="single"/>
        </w:rPr>
        <w:t>Takeover Statute</w:t>
      </w:r>
      <w:r>
        <w:rPr>
          <w:rFonts w:ascii="Times New Roman" w:hAnsi="Times New Roman"/>
          <w:sz w:val="20"/>
        </w:rPr>
        <w:t xml:space="preserve">”) or any takeover-related provision in the DXL Charter applicable to the Merger or the other Transactions. </w:t>
      </w:r>
    </w:p>
    <w:p>
      <w:pPr>
        <w:pStyle w:val="TextBody"/>
        <w:bidi w:val="0"/>
        <w:spacing w:before="240" w:after="0"/>
        <w:jc w:val="left"/>
        <w:rPr>
          <w:rFonts w:ascii="Times New Roman" w:hAnsi="Times New Roman"/>
          <w:sz w:val="20"/>
        </w:rPr>
      </w:pPr>
      <w:bookmarkStart w:id="133" w:name="anxa76201_30"/>
      <w:bookmarkEnd w:id="133"/>
      <w:r>
        <w:rPr>
          <w:rFonts w:ascii="Times New Roman" w:hAnsi="Times New Roman"/>
          <w:b/>
          <w:sz w:val="20"/>
        </w:rPr>
        <w:t xml:space="preserve">SECTION 3.18 </w:t>
      </w:r>
      <w:r>
        <w:rPr>
          <w:rFonts w:ascii="Times New Roman" w:hAnsi="Times New Roman"/>
          <w:b/>
          <w:sz w:val="20"/>
          <w:u w:val="single"/>
        </w:rPr>
        <w:t>DXL Information</w:t>
      </w:r>
      <w:r>
        <w:rPr>
          <w:rFonts w:ascii="Times New Roman" w:hAnsi="Times New Roman"/>
          <w:sz w:val="20"/>
        </w:rPr>
        <w:t xml:space="preserve">. The information relating to DXL that is provided by DXL or DXL’s Representatives for inclusion in the Proxy Statement, or in any other document filed with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Agency in connection with the Merger and the other Transactions, will not in the case of the Proxy Statement, at the date it is first furnished by DXL to the DXL stockholders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34" w:name="anxa76201_31"/>
      <w:bookmarkEnd w:id="134"/>
      <w:r>
        <w:rPr>
          <w:rFonts w:ascii="Times New Roman" w:hAnsi="Times New Roman"/>
          <w:b/>
          <w:sz w:val="20"/>
        </w:rPr>
        <w:t xml:space="preserve">SECTION 3.19 </w:t>
      </w:r>
      <w:r>
        <w:rPr>
          <w:rFonts w:ascii="Times New Roman" w:hAnsi="Times New Roman"/>
          <w:b/>
          <w:sz w:val="20"/>
          <w:u w:val="single"/>
        </w:rPr>
        <w:t>Affiliate Transactions</w:t>
      </w:r>
      <w:r>
        <w:rPr>
          <w:rFonts w:ascii="Times New Roman" w:hAnsi="Times New Roman"/>
          <w:sz w:val="20"/>
        </w:rPr>
        <w:t xml:space="preserve">. Except as disclosed in DXL’s most recently filed annual report on Form 10-K, as of the date of this Agreement, there are no material transactions, Contracts or understandings between DXL or any of the DXL Subsidiaries, on the one hand, and either (i) any holder of any Equity Interest in DXL or any of the DXL Subsidiaries, (ii) any officer or director of DXL or any of the DXL Subsidiaries (other than any DXL Benefit Plan) or (iii) any of DXL’s other Affiliates (other than wholly owned DXL Subsidiaries), on the other hand, that would be required to be disclosed by DXL under Item 404 of Regulation S-K promulgated by the SEC. </w:t>
      </w:r>
    </w:p>
    <w:p>
      <w:pPr>
        <w:pStyle w:val="TextBody"/>
        <w:bidi w:val="0"/>
        <w:spacing w:before="240" w:after="0"/>
        <w:jc w:val="left"/>
        <w:rPr>
          <w:rFonts w:ascii="Times New Roman" w:hAnsi="Times New Roman"/>
          <w:sz w:val="20"/>
        </w:rPr>
      </w:pPr>
      <w:bookmarkStart w:id="135" w:name="anxa76201_32"/>
      <w:bookmarkEnd w:id="135"/>
      <w:r>
        <w:rPr>
          <w:rFonts w:ascii="Times New Roman" w:hAnsi="Times New Roman"/>
          <w:b/>
          <w:sz w:val="20"/>
        </w:rPr>
        <w:t xml:space="preserve">SECTION 3.20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3.20(b)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DXL IP Rights is currently subsisting, and, to the Knowledge of DXL,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29, 2023, by DXL and the DXL Subsidiaries does not infringe, misappropriate or otherwise violate the Intellectual Property Rights of any third Person in any material respect; (ii) there are no material Proceedings pending against DXL or any of the DXL Subsidiaries and, to DXL’s Knowledge, there is no material claim, action or proceeding threatened against DXL or any of the DXL Subsidiaries, in each case alleging that DXL or the DXL Subsidiaries is or has been infringing, misappropriating or otherwise violating any Intellectual Property Rights of any third Person; and (iii) since January 29, 2023, neither DXL nor the DXL Subsidiaries have received 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the DXL Subsidiaries have filed or threatened in writing any claim against, or sent an invitation to license, cease-and-desist letter or indemnity claim to, any third Person alleging that such Person is infringing, misappropriating or otherwise violating any DXL IP Rights in any material respect, and to DXL’s knowledge, no third Person is infringing, misappropriating or otherwise violating, or since January 29, 2023 has infringed, misappropriated or otherwise violated, any DXL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DXL and each of the DXL Subsidiaries has taken commercially reasonable precautions, including the use of binding confidentiality and nondisclosure agreements, to protect and maintain the confidentiality of material nonpublic information included in the DXL IP Rights, including material Trade Secrets of DXL and the DXL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3.20(e)</w:t>
      </w:r>
      <w:r>
        <w:rPr>
          <w:rFonts w:ascii="Times New Roman" w:hAnsi="Times New Roman"/>
          <w:sz w:val="20"/>
        </w:rPr>
        <w:t xml:space="preserve"> of the DXL Disclosure Schedule sets forth, as of the date of this Agreement, a complete and accurate list of Registered IP included in the DXL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DXL or any of the DXL Subsidiaries who contributed to the discovery, creation or development of any DXL IP Rights did so (i) within the scope of his or her employment such that it constituted a work made for hire under the U.S. Copyright Act (17 USC 101)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Intellectual Property Rights arising therefrom became the exclusive property of DXL or any of DXL Subsidiaries, as applicable, or (ii) pursuant to a written agreement, which assigned all of his or her Intellectual Property Rights arising therein to DXL or any of the DXL Subsidiaries, as applicable. </w:t>
      </w:r>
    </w:p>
    <w:p>
      <w:pPr>
        <w:pStyle w:val="TextBody"/>
        <w:bidi w:val="0"/>
        <w:spacing w:before="240" w:after="0"/>
        <w:jc w:val="left"/>
        <w:rPr>
          <w:rFonts w:ascii="Times New Roman" w:hAnsi="Times New Roman"/>
          <w:sz w:val="20"/>
        </w:rPr>
      </w:pPr>
      <w:bookmarkStart w:id="136" w:name="anxa76201_33"/>
      <w:bookmarkEnd w:id="136"/>
      <w:r>
        <w:rPr>
          <w:rFonts w:ascii="Times New Roman" w:hAnsi="Times New Roman"/>
          <w:b/>
          <w:sz w:val="20"/>
        </w:rPr>
        <w:t xml:space="preserve">SECTION 3.21 </w:t>
      </w:r>
      <w:r>
        <w:rPr>
          <w:rFonts w:ascii="Times New Roman" w:hAnsi="Times New Roman"/>
          <w:b/>
          <w:sz w:val="20"/>
          <w:u w:val="single"/>
        </w:rPr>
        <w:t>Title to Assets</w:t>
      </w:r>
      <w:r>
        <w:rPr>
          <w:rFonts w:ascii="Times New Roman" w:hAnsi="Times New Roman"/>
          <w:sz w:val="20"/>
        </w:rPr>
        <w:t xml:space="preserve">. Each of DXL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DXL SEC Reports; and (b) all other assets reflected in the books and records of DXL or any of its Subsidiaries as being owned by DXL or such Subsidiary, in each case, other than as would not reasonably be expected to be material to DXL and its Subsidiaries, taken as a whole. All of such assets are owned or, in the case of leased assets, leased by DXL or any of its Subsidiaries, free and clear of any Liens other than Permitted Liens. </w:t>
      </w:r>
    </w:p>
    <w:p>
      <w:pPr>
        <w:pStyle w:val="TextBody"/>
        <w:bidi w:val="0"/>
        <w:spacing w:before="240" w:after="0"/>
        <w:jc w:val="left"/>
        <w:rPr>
          <w:rFonts w:ascii="Times New Roman" w:hAnsi="Times New Roman"/>
          <w:sz w:val="20"/>
        </w:rPr>
      </w:pPr>
      <w:bookmarkStart w:id="137" w:name="anxa76201_34"/>
      <w:bookmarkEnd w:id="137"/>
      <w:r>
        <w:rPr>
          <w:rFonts w:ascii="Times New Roman" w:hAnsi="Times New Roman"/>
          <w:b/>
          <w:sz w:val="20"/>
        </w:rPr>
        <w:t xml:space="preserve">SECTION 3.22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3.22(a)</w:t>
      </w:r>
      <w:r>
        <w:rPr>
          <w:rFonts w:ascii="Times New Roman" w:hAnsi="Times New Roman"/>
          <w:sz w:val="20"/>
        </w:rPr>
        <w:t xml:space="preserve"> of the DXL Disclosure Schedule contains, as of the date of this Agreement, a complete and correct list of all real property owned in whole or in part by DXL and its Subsidiaries (such real property, together with all buildings, structures, fixtures and improvements erected or located thereon, the “</w:t>
      </w:r>
      <w:r>
        <w:rPr>
          <w:rFonts w:ascii="Times New Roman" w:hAnsi="Times New Roman"/>
          <w:sz w:val="20"/>
          <w:u w:val="single"/>
        </w:rPr>
        <w:t>DXL Owned Real Property</w:t>
      </w:r>
      <w:r>
        <w:rPr>
          <w:rFonts w:ascii="Times New Roman" w:hAnsi="Times New Roman"/>
          <w:sz w:val="20"/>
        </w:rPr>
        <w:t xml:space="preserve">”). Except as has not had and would not reasonably be expected to have, individually or in the aggregate, a Material Adverse Effect on DXL, (i) DXL or its Subsidiaries have good and valid fee simple title to all of the DXL Owned Real Property, free and clear of Liens, except Permitted Liens, and (ii) to DXL’s Knowledge, there is no pending or threatened condemnation or similar action affecting any of the DXL Owned Real Property by DXL and its Subsidiaries. Neither DXL nor any of its Subsidiaries has leased or otherwise granted to any Person the right to use or occupy any DXL Owned Real Property or any portion thereof. There are no outstanding options, rights of first offer or rights of first refusal to purchase any DXL Owned Real Property or any portion thereof or interest therein. There is no formerly owned real property that was owned by DXL or any of its Subsidiaries in respect of which DXL or any of its Subsidiaries may have any material liability. Neither DXL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3.22(b</w:t>
      </w:r>
      <w:r>
        <w:rPr>
          <w:rFonts w:ascii="Times New Roman" w:hAnsi="Times New Roman"/>
          <w:sz w:val="20"/>
        </w:rPr>
        <w:t>) of the DXL Disclosure Schedule contains, as of the date of this Agreement, a complete and correct list of the DXL Leased Real Property by DXL and its Subsidiaries. Except as has not had and would not reasonably be expected to have, individually or in the aggregate, a Material Adverse Effect on DXL, (i) DXL or its Subsidiaries have valid leasehold interests to all real property leased or subleased by DXL and its Subsidiaries (the “</w:t>
      </w:r>
      <w:r>
        <w:rPr>
          <w:rFonts w:ascii="Times New Roman" w:hAnsi="Times New Roman"/>
          <w:sz w:val="20"/>
          <w:u w:val="single"/>
        </w:rPr>
        <w:t>DXL Leased Real Property</w:t>
      </w:r>
      <w:r>
        <w:rPr>
          <w:rFonts w:ascii="Times New Roman" w:hAnsi="Times New Roman"/>
          <w:sz w:val="20"/>
        </w:rPr>
        <w:t>”), free and clear of all Liens, except for Permitted Liens; (ii) as of the date hereof, each lease or sublease with respect to the DXL Leased Real Property (each, a “</w:t>
      </w:r>
      <w:r>
        <w:rPr>
          <w:rFonts w:ascii="Times New Roman" w:hAnsi="Times New Roman"/>
          <w:sz w:val="20"/>
          <w:u w:val="single"/>
        </w:rPr>
        <w:t>DXL Real Property Lease</w:t>
      </w:r>
      <w:r>
        <w:rPr>
          <w:rFonts w:ascii="Times New Roman" w:hAnsi="Times New Roman"/>
          <w:sz w:val="20"/>
        </w:rPr>
        <w:t xml:space="preserve">”) is in full force and effect and enforceable in accordance with its respective terms against DXL or its Subsidiaries that are party thereto and, to DXL’s Knowledge, to the other parties thereto (in each case subject to the Enforceability Exceptions); and (iii) neither DXL nor any of its Subsidiaries is in material breach or material default under any of the DXL Real Property Leases and no event has occurred or circumstance exists that, with the delivery of notice, passage of time or both, would constitute such a breach or default or permit the termination of, modification of or acceleration of rent under any DXL Real Property Lease or otherwise cause such DXL Real Property Lease to cease to be legal, valid, binding, enforceable and in full force and effect on identical terms following the Closing (subject only to the Enforceability Exceptions). Neither DXL nor any of its </w:t>
      </w:r>
    </w:p>
    <w:p>
      <w:pPr>
        <w:pStyle w:val="TextBody"/>
        <w:bidi w:val="0"/>
        <w:spacing w:before="0" w:after="0"/>
        <w:jc w:val="left"/>
        <w:rPr>
          <w:rFonts w:ascii="Times New Roman" w:hAnsi="Times New Roman"/>
          <w:sz w:val="20"/>
        </w:rPr>
      </w:pPr>
      <w:r>
        <w:rPr>
          <w:rFonts w:ascii="Times New Roman" w:hAnsi="Times New Roman"/>
          <w:sz w:val="20"/>
        </w:rPr>
        <w:t xml:space="preserve">Subsidiaries has subleased, licensed, sublicensed or otherwise granted any Person any beneficial interest in or the right to use or occupy any DXL Leased Real Property or any portion thereof. DXL has made available to FBB true, correct and complete copies of each DXL Real Property Lease. Neither DXL nor any of its Subsidiaries owes, nor, based on existing DXL Real Property Leases or other Contracts as currently in effect, will owe in the future, any brokerage commissions or finder’s fees with respect to any DXL Leased Real Property. No landlord or tenant (as applicable) under any DXL Real Property Lease is an Affiliate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DXL Owned Real Property set forth on </w:t>
      </w:r>
      <w:r>
        <w:rPr>
          <w:rFonts w:ascii="Times New Roman" w:hAnsi="Times New Roman"/>
          <w:sz w:val="20"/>
          <w:u w:val="single"/>
        </w:rPr>
        <w:t>Section 3.22(a)</w:t>
      </w:r>
      <w:r>
        <w:rPr>
          <w:rFonts w:ascii="Times New Roman" w:hAnsi="Times New Roman"/>
          <w:sz w:val="20"/>
        </w:rPr>
        <w:t xml:space="preserve"> of the DXL Disclosure Schedule and the DXL Leased Real Property set forth on </w:t>
      </w:r>
      <w:r>
        <w:rPr>
          <w:rFonts w:ascii="Times New Roman" w:hAnsi="Times New Roman"/>
          <w:sz w:val="20"/>
          <w:u w:val="single"/>
        </w:rPr>
        <w:t>Section 3.22(b)</w:t>
      </w:r>
      <w:r>
        <w:rPr>
          <w:rFonts w:ascii="Times New Roman" w:hAnsi="Times New Roman"/>
          <w:sz w:val="20"/>
        </w:rPr>
        <w:t xml:space="preserve"> of the DXL Disclosure Schedule comprise all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land, buildings, improvements, fixtures or other real property necessary for, and currently used by, the operation of the business of DXL and the DXL Subsidiaries. None of the DXL Owned Real Property or DXL Leased Real Property is used for any purpose other than the operation of the business of DXL and the DXL Subsidiaries. Neither DXL nor any of its Subsidiaries uses any land, buildings, improvements, fixtures or other real property for which ownership or a lease would ordinarily be required, other than that which is included in the definition of DXL Owned Real Property or DXL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DXL’s Knowledge, each DXL Owned Real Property and DXL Leased Real Property is supplied with utilities and other services reasonably necessary for the operation of the business of DXL and its Subsidiaries as currently conducted at each such DXL Owned Real Property and DXL Leased Real Property, and, to DXL’s Knowledge, no fact or condition exists that would result in the termination or impairment of the furnishing of service to any such DXL Owned Real Property or DXL Leased Real Property of water, sewer, gas, electric, telephone, drainage and other such utility services. To DXL’s Knowledge, the DXL Owned Real Property and DXL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DXL’s Knowledge, there are no material structural or other physical defects or deficiencies in the condition of the DXL Owned Real Property and DXL Leased Real Property, and there are no facts or conditions that would, individually or in the aggregate, materially interfere in any respect with the use or occupancy of such DXL Owned Real Property and DXL Leased Real Property or any portion thereof in the operation of the business of DXL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DXL nor any of its Subsidiaries has received any written notice from a Governmental Entity of any special Tax, levy or assessment for benefits or betterments that affect the DXL Owned Real Property or DXL Leased Real Property and no such special Taxes, levies or assessments are pending or contemplated. Neither the DXL Owned Real Property, the DXL Leased Real Property nor the use or occupancy thereof violates in any way any applicable permits, licenses, certificates of occupancy, covenants, conditions or restrictions, whether federal, state, local or private, and the DXL Owned Real Property or the DXL Leased Real Property or DXL or its applicable Subsidiary holding the fee, leasehold or other interest therein has received all required permits, certificates of occupancy, licenses, authorizations and approvals in connection with the use and occupancy thereof, whether in connection with the business of DXL, its Subsidiaries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DXL Owned Real Property and DXL Leased Real Property enjoys direct or indirect legal ingress and egress from dedicated public highways or streets, and no action has been instituted or is pending or threatened that would impair or curtail such legal ingress and egress and, to DXL’s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DXL nor any of its Subsidiaries has received any written notice from any insurance company or board of fire underwriters of any defects or inadequacies that could adversely affect the insurability of any DXL Owned Real Property or DXL Leased Real Property or requesting the performance of any material work or alteration with respect to any DXL Owned Real Property or DXL Leased Real Property. </w:t>
      </w:r>
    </w:p>
    <w:p>
      <w:pPr>
        <w:pStyle w:val="TextBody"/>
        <w:bidi w:val="0"/>
        <w:spacing w:before="240" w:after="0"/>
        <w:jc w:val="left"/>
        <w:rPr>
          <w:rFonts w:ascii="Times New Roman" w:hAnsi="Times New Roman"/>
          <w:sz w:val="20"/>
        </w:rPr>
      </w:pPr>
      <w:bookmarkStart w:id="138" w:name="anxa76201_35"/>
      <w:bookmarkEnd w:id="138"/>
      <w:r>
        <w:rPr>
          <w:rFonts w:ascii="Times New Roman" w:hAnsi="Times New Roman"/>
          <w:b/>
          <w:sz w:val="20"/>
        </w:rPr>
        <w:t xml:space="preserve">SECTION 3.23 </w:t>
      </w:r>
      <w:r>
        <w:rPr>
          <w:rFonts w:ascii="Times New Roman" w:hAnsi="Times New Roman"/>
          <w:b/>
          <w:sz w:val="20"/>
          <w:u w:val="single"/>
        </w:rPr>
        <w:t>Anti-Corruption Laws</w:t>
      </w:r>
      <w:r>
        <w:rPr>
          <w:rFonts w:ascii="Times New Roman" w:hAnsi="Times New Roman"/>
          <w:sz w:val="20"/>
        </w:rPr>
        <w:t>. None of DXL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as amended, or any other applicable anti-bribery or anti-corruption Law (collectively, the “</w:t>
      </w:r>
      <w:r>
        <w:rPr>
          <w:rFonts w:ascii="Times New Roman" w:hAnsi="Times New Roman"/>
          <w:sz w:val="20"/>
          <w:u w:val="single"/>
        </w:rPr>
        <w:t>Anti-Corruption Laws</w:t>
      </w:r>
      <w:r>
        <w:rPr>
          <w:rFonts w:ascii="Times New Roman" w:hAnsi="Times New Roman"/>
          <w:sz w:val="20"/>
        </w:rPr>
        <w:t xml:space="preserve">”). Neither DXL nor any of its Subsidiaries is or has been the subject of any investigation or inquiry by any Governmental Entity with respect to potential violations of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9" w:name="anxa76201_36"/>
      <w:bookmarkEnd w:id="139"/>
      <w:r>
        <w:rPr>
          <w:rFonts w:ascii="Times New Roman" w:hAnsi="Times New Roman"/>
          <w:b/>
          <w:sz w:val="20"/>
        </w:rPr>
        <w:t xml:space="preserve">SECTION 3.24 </w:t>
      </w:r>
      <w:r>
        <w:rPr>
          <w:rFonts w:ascii="Times New Roman" w:hAnsi="Times New Roman"/>
          <w:b/>
          <w:sz w:val="20"/>
          <w:u w:val="single"/>
        </w:rPr>
        <w:t>Fairness Opinion</w:t>
      </w:r>
      <w:r>
        <w:rPr>
          <w:rFonts w:ascii="Times New Roman" w:hAnsi="Times New Roman"/>
          <w:sz w:val="20"/>
        </w:rPr>
        <w:t>. Prior to the execution of this Agreement, the DXL Board has received the oral opinion (to be confirmed in writing) of DXL’s Financial Advisor to the effect that, as of the date of such opinion and based upon and subject to the assumptions made, procedures followed, matters considered, and qualifications, restrictions and limitations upon the review undertaken by DXL’s Financial Advisor in preparing its opinion, the Merger Consideration to be paid by DXL in the Merger pursuant to this Agreement is fair, from a financial point of view, to the stockholders of DXL (the “</w:t>
      </w:r>
      <w:r>
        <w:rPr>
          <w:rFonts w:ascii="Times New Roman" w:hAnsi="Times New Roman"/>
          <w:sz w:val="20"/>
          <w:u w:val="single"/>
        </w:rPr>
        <w:t>DXL Fairness Opinion</w:t>
      </w:r>
      <w:r>
        <w:rPr>
          <w:rFonts w:ascii="Times New Roman" w:hAnsi="Times New Roman"/>
          <w:sz w:val="20"/>
        </w:rPr>
        <w:t xml:space="preserve">”). Such DXL Fairness Opinion has not been amended or rescinded as of the date of this Agreement. Copies of the written opinion of DXL’s Financial Advisor will be delivered to FBB for informational purposes only reasonably promptly following receipt thereof by DXL. </w:t>
      </w:r>
    </w:p>
    <w:p>
      <w:pPr>
        <w:pStyle w:val="TextBody"/>
        <w:bidi w:val="0"/>
        <w:spacing w:before="240" w:after="0"/>
        <w:jc w:val="left"/>
        <w:rPr>
          <w:rFonts w:ascii="Times New Roman" w:hAnsi="Times New Roman"/>
          <w:sz w:val="20"/>
        </w:rPr>
      </w:pPr>
      <w:bookmarkStart w:id="140" w:name="anxa76201_37"/>
      <w:bookmarkEnd w:id="140"/>
      <w:r>
        <w:rPr>
          <w:rFonts w:ascii="Times New Roman" w:hAnsi="Times New Roman"/>
          <w:b/>
          <w:sz w:val="20"/>
        </w:rPr>
        <w:t xml:space="preserve">SECTION 3.25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3.25</w:t>
      </w:r>
      <w:r>
        <w:rPr>
          <w:rFonts w:ascii="Times New Roman" w:hAnsi="Times New Roman"/>
          <w:sz w:val="20"/>
        </w:rPr>
        <w:t xml:space="preserve"> of the DXL Disclosure Schedule contains a complete and accurate list of all material policies of fire, liability, workers’ compensation, title and other forms of insurance owned, held by or otherwise applicable, as of the date of this Agreement, to the assets, properties or operations of DXL and the DXL Subsidiaries, and DXL has heretofore made available to FBB and its Representatives a complete and accurate copy of all such policies, including all occurrence based policies applicable to the assets, properties or operations of DXL and the DXL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DXL and the DXL Subsidiaries with (i) all requirements of applicable Law and (ii) all Contracts to which any of DXL or any of the DXL Subsidiaries is a party, and each of DXL and each of the DXL Subsidiaries has complied in all material respects with the provisions of such policy under which DXL or such DXL Subsidiary, as applicable is an insured party. Neither DXL nor any of the DXL Subsidiaries is in default under any of such insurance policies, and there exists no event, occurrence, condition or act which, with the giving of notice, the lapse of time or the happening of any other event or condition, would become a default thereunder. Neither DXL nor any of the DXL Subsidiaries has been refused any insurance or suffered the cancellation of any insurance with respect to the assets, properties or operations of DXL or such DXL Subsidiary, as applicable, by any insurance carrier to which it has applied for any such insurance or with which it has carried insurance during the last five (5) years. There are no pending or, to the Knowledge of DXL, outstanding or reasonably anticipated material claims under any insurance policy. </w:t>
      </w:r>
    </w:p>
    <w:p>
      <w:pPr>
        <w:pStyle w:val="TextBody"/>
        <w:bidi w:val="0"/>
        <w:spacing w:before="240" w:after="0"/>
        <w:jc w:val="left"/>
        <w:rPr>
          <w:rFonts w:ascii="Times New Roman" w:hAnsi="Times New Roman"/>
          <w:sz w:val="20"/>
        </w:rPr>
      </w:pPr>
      <w:bookmarkStart w:id="141" w:name="anxa76201_38"/>
      <w:bookmarkEnd w:id="141"/>
      <w:r>
        <w:rPr>
          <w:rFonts w:ascii="Times New Roman" w:hAnsi="Times New Roman"/>
          <w:b/>
          <w:sz w:val="20"/>
        </w:rPr>
        <w:t xml:space="preserve">SECTION 3.26 </w:t>
      </w:r>
      <w:r>
        <w:rPr>
          <w:rFonts w:ascii="Times New Roman" w:hAnsi="Times New Roman"/>
          <w:b/>
          <w:sz w:val="20"/>
          <w:u w:val="single"/>
        </w:rPr>
        <w:t>No Other Representations or Warranties; Reliance</w:t>
      </w:r>
      <w:r>
        <w:rPr>
          <w:rFonts w:ascii="Times New Roman" w:hAnsi="Times New Roman"/>
          <w:sz w:val="20"/>
        </w:rPr>
        <w:t xml:space="preserve">. Except for the express representations and warranties contained in this Agreement, none of DXL, Merger Sub, any of their Subsidiaries or Affiliates nor any other Person makes any express or implied representation or warranty on behalf of DXL, Merger Sub, their Subsidiaries or Affiliates or any other Person, and each of DXL, Merger Sub and their Subsidiaries and Affiliates hereby disclaims any such representation or warranty whether by DXL, Merger Sub or their Subsidiaries or Affiliates. Each of DXL and Merger Sub has not relied and is not relying on any statement, representation or warranty, oral or written, express or implied, made by FBB or any of its Affiliates or Representatives, except as expressly set forth in </w:t>
      </w:r>
      <w:r>
        <w:rPr>
          <w:rFonts w:ascii="Times New Roman" w:hAnsi="Times New Roman"/>
          <w:sz w:val="20"/>
          <w:u w:val="single"/>
        </w:rPr>
        <w:t>Article IV</w:t>
      </w:r>
      <w:r>
        <w:rPr>
          <w:rFonts w:ascii="Times New Roman" w:hAnsi="Times New Roman"/>
          <w:sz w:val="20"/>
        </w:rPr>
        <w:t xml:space="preserve"> and those certificates delivered by FBB pursuant to this Agreement. DXL has conducted its own independent investigation, review and analysis of, and reached its own independent conclusions regarding, the business, operations, assets, condition (financial or otherwise) and prospects of FBB and its Subsidiaries. DXL acknowledges that it and its Representatives have been provided adequate access to the personnel, properties, premises, records and other documents and information of and relating to FBB and its Subsidiaries for such purpose. </w:t>
      </w:r>
    </w:p>
    <w:p>
      <w:pPr>
        <w:pStyle w:val="TextBody"/>
        <w:bidi w:val="0"/>
        <w:spacing w:before="480" w:after="0"/>
        <w:jc w:val="center"/>
        <w:rPr>
          <w:rFonts w:ascii="Times New Roman" w:hAnsi="Times New Roman"/>
          <w:b/>
          <w:sz w:val="20"/>
        </w:rPr>
      </w:pPr>
      <w:bookmarkStart w:id="142" w:name="anxa76201_39"/>
      <w:bookmarkEnd w:id="142"/>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FBB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FBB Disclosure Schedule (it being understood that any disclosure set forth in one section or subsection of the FBB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FBB hereby represents and warrants to DXL and Merger Sub as follows: </w:t>
      </w:r>
    </w:p>
    <w:p>
      <w:pPr>
        <w:pStyle w:val="TextBody"/>
        <w:bidi w:val="0"/>
        <w:spacing w:before="120" w:after="0"/>
        <w:jc w:val="left"/>
        <w:rPr>
          <w:rFonts w:ascii="Times New Roman" w:hAnsi="Times New Roman"/>
          <w:sz w:val="20"/>
        </w:rPr>
      </w:pPr>
      <w:bookmarkStart w:id="143" w:name="anxa76201_40"/>
      <w:bookmarkEnd w:id="143"/>
      <w:r>
        <w:rPr>
          <w:rFonts w:ascii="Times New Roman" w:hAnsi="Times New Roman"/>
          <w:b/>
          <w:sz w:val="20"/>
        </w:rPr>
        <w:t xml:space="preserve">SECTION 4.01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is a company duly incorporated, validly existing and in good standing under the laws of the State of Delaware. FBB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A true and complete copy of each of the FBB Charter and FBB Bylaws has previously been made available to DXL. FBB is not in violation of any of the provisions of the FBB Charter or FBB Bylaws. </w:t>
      </w:r>
    </w:p>
    <w:p>
      <w:pPr>
        <w:pStyle w:val="TextBody"/>
        <w:bidi w:val="0"/>
        <w:spacing w:before="240" w:after="0"/>
        <w:jc w:val="left"/>
        <w:rPr>
          <w:rFonts w:ascii="Times New Roman" w:hAnsi="Times New Roman"/>
          <w:sz w:val="20"/>
        </w:rPr>
      </w:pPr>
      <w:r>
        <w:rPr>
          <w:rFonts w:ascii="Times New Roman" w:hAnsi="Times New Roman"/>
          <w:sz w:val="20"/>
        </w:rPr>
        <w:t xml:space="preserve">(c) Each FBB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bookmarkStart w:id="144" w:name="anxa76201_41"/>
      <w:bookmarkEnd w:id="144"/>
      <w:r>
        <w:rPr>
          <w:rFonts w:ascii="Times New Roman" w:hAnsi="Times New Roman"/>
          <w:b/>
          <w:sz w:val="20"/>
        </w:rPr>
        <w:t xml:space="preserve">SECTION 4.02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authorized share capital of FBB is 1,870,000 shares of capital stock, consisting of 1,700,000 shares of FBB Common Stock and 170,000 shares of FBB Preferred Stock (together, the “</w:t>
      </w:r>
      <w:r>
        <w:rPr>
          <w:rFonts w:ascii="Times New Roman" w:hAnsi="Times New Roman"/>
          <w:sz w:val="20"/>
          <w:u w:val="single"/>
        </w:rPr>
        <w:t>FBB Capital Stock</w:t>
      </w:r>
      <w:r>
        <w:rPr>
          <w:rFonts w:ascii="Times New Roman" w:hAnsi="Times New Roman"/>
          <w:sz w:val="20"/>
        </w:rPr>
        <w:t xml:space="preserve">”). As of the date hereof, there were (1) 1,155,007 shares of FBB Common Stock issued and outstanding, including 14,200 FBB Restricted Stock Awards, (2) 73,156 shares of FBB Preferred Stock issued and outstanding and (3) 50,367 shares of FBB Common Stock issuable upon exercise of the FBB Warrants. As of the Effective Time, there will be no issued or outstanding shares of FBB Preferred Stock or FBB Warrants. Except as set forth in the second sentence of this </w:t>
      </w:r>
      <w:r>
        <w:rPr>
          <w:rFonts w:ascii="Times New Roman" w:hAnsi="Times New Roman"/>
          <w:sz w:val="20"/>
          <w:u w:val="single"/>
        </w:rPr>
        <w:t>Section 4.02(a)(i)</w:t>
      </w:r>
      <w:r>
        <w:rPr>
          <w:rFonts w:ascii="Times New Roman" w:hAnsi="Times New Roman"/>
          <w:sz w:val="20"/>
        </w:rPr>
        <w:t xml:space="preserve">, (i) there are no outstanding or authorized restricted stock, restricted stock unit, stock appreciation right, phantom stock, “Emergence Awards” or other equity-based compensation awards with respect to FBB Common Stock, (ii) no other Equity Interests of FBB were issued, reserved for issuance or outstanding, and (iii) FBB has no other options, warrants, calls, pre-emptive rights, subscriptions or other rights, Contracts, arrangements or commitments of any kind, including any stockholder rights plan, relating to, or the value of which is determined in reference to, the issued or unissued FBB Capital Stock (or any other Equity Interest of FBB) or the Equity Interests of any FBB Subsidiary, obligating FBB or any FBB Subsidiary to issue, transfer or sell, or cause to be issued, transferred or sold, any Equity Interests of FBB or any FBB Subsidiary. All of the issued and outstanding shares of FBB Capital Stock are duly authorized and validly issued and fully paid, nonassessable and not subject to or issued in violation of any purchase option, call option, right of first refusal, preemptive right, subscription right or any similar right under any provision of the DGCL, the FBB Charter or any Contract to which FBB is a party or by which it is otherwise bound. </w:t>
      </w:r>
      <w:r>
        <w:rPr>
          <w:rFonts w:ascii="Times New Roman" w:hAnsi="Times New Roman"/>
          <w:sz w:val="20"/>
          <w:u w:val="single"/>
        </w:rPr>
        <w:t>Section 4.02(a)</w:t>
      </w:r>
      <w:r>
        <w:rPr>
          <w:rFonts w:ascii="Times New Roman" w:hAnsi="Times New Roman"/>
          <w:sz w:val="20"/>
        </w:rPr>
        <w:t xml:space="preserve"> of the FBB Disclosure Schedule contains a true, correct and complete ledger of all holders of the FBB Capital Stock as of the date hereof, including the name and address of each holder, the number and class of shares held by each such holder.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FBB having the right to vote on any matters on which stockholders may vote (“</w:t>
      </w:r>
      <w:r>
        <w:rPr>
          <w:rFonts w:ascii="Times New Roman" w:hAnsi="Times New Roman"/>
          <w:sz w:val="20"/>
          <w:u w:val="single"/>
        </w:rPr>
        <w:t>FBB Voting Debt</w:t>
      </w:r>
      <w:r>
        <w:rPr>
          <w:rFonts w:ascii="Times New Roman" w:hAnsi="Times New Roman"/>
          <w:sz w:val="20"/>
        </w:rPr>
        <w:t xml:space="preserve">”) are issued or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for the Equity Interests of the FBB Subsidiaries, which are identified by name, jurisdiction of incorporation or formation, and ownership thereof (including the percentage of such ownership) on </w:t>
      </w:r>
      <w:r>
        <w:rPr>
          <w:rFonts w:ascii="Times New Roman" w:hAnsi="Times New Roman"/>
          <w:sz w:val="20"/>
          <w:u w:val="single"/>
        </w:rPr>
        <w:t>Section 4.02(c)</w:t>
      </w:r>
      <w:r>
        <w:rPr>
          <w:rFonts w:ascii="Times New Roman" w:hAnsi="Times New Roman"/>
          <w:sz w:val="20"/>
        </w:rPr>
        <w:t xml:space="preserve"> of the FBB Disclosure Schedule, FBB does not own, beneficially or of record, directly or indirectly any Equity Interests in any Person, nor does FBB or any FBB Subsidiary have any Contract or other obligation requiring that FBB or any FBB Subsidiary acquire any Equity Interest in any Person. </w:t>
      </w:r>
    </w:p>
    <w:p>
      <w:pPr>
        <w:pStyle w:val="TextBody"/>
        <w:bidi w:val="0"/>
        <w:spacing w:before="240" w:after="0"/>
        <w:jc w:val="left"/>
        <w:rPr>
          <w:rFonts w:ascii="Times New Roman" w:hAnsi="Times New Roman"/>
          <w:sz w:val="20"/>
        </w:rPr>
      </w:pPr>
      <w:bookmarkStart w:id="145" w:name="anxa76201_42"/>
      <w:bookmarkEnd w:id="145"/>
      <w:r>
        <w:rPr>
          <w:rFonts w:ascii="Times New Roman" w:hAnsi="Times New Roman"/>
          <w:b/>
          <w:sz w:val="20"/>
        </w:rPr>
        <w:t xml:space="preserve">SECTION 4.03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FBB has full corporate power and authority to execute and deliver this Agreement, and to perform its obligations hereunder and, subject to receipt of the FBB Stockholder Approval, to consummate the Merger and the other Transactions hereunder. The execution and delivery of this Agreement and the consummation of the Merger and the other Transactions have been duly and validly approved and adopted by the FBB Board (at meetings duly called and held or pursuant to a unanimous written consent). The FBB Board has (a) determined that this Agreement and the Merger and the other Transactions are fair to, advisable and in the best interests of FBB and its stockholders; (b) approved and declared advisable this Agreement and the Transactions; and (c) determined to recommend, upon the terms and subject to the conditions set forth in this Agreement, that the stockholders of FBB consent to approve the FBB Stockholder Approval. Except for the approval of this Agreement, the Merger, the FBB Charter Amendment, the COD Amendment and the other Transactions by the FBB Board, including at least one “Oaktree Designee” and at least one “GS Designee” (each as defined in the FBB Stockholders Agreement), which has been obtained, and by the holders of not less than (i) a majority of the voting power of the outstanding FBB Capital Stock, (ii) a majority of the outstanding FBB Preferred Stock, and (iii) a majority of the “Liquidation Preference” (as defined in the Certificate of Designation) of all of the shares of FBB Preferred Stock (clauses (i), (ii) and (iii) collectively, the “</w:t>
      </w:r>
      <w:r>
        <w:rPr>
          <w:rFonts w:ascii="Times New Roman" w:hAnsi="Times New Roman"/>
          <w:sz w:val="20"/>
          <w:u w:val="single"/>
        </w:rPr>
        <w:t>FBB Stockholder Approval</w:t>
      </w:r>
      <w:r>
        <w:rPr>
          <w:rFonts w:ascii="Times New Roman" w:hAnsi="Times New Roman"/>
          <w:sz w:val="20"/>
        </w:rPr>
        <w:t xml:space="preserve">”), no other corporate proceedings on the part of FBB or any other vote by the holders of any class or series of FBB Capital Stock are necessary to approve or adopt this Agreement or to consummate the Merger and the other Transactions. This Agreement has been duly and validly executed and delivered by FBB and (assuming due authorization, execution and delivery by the other parties hereto) constitutes the valid and binding obligation of FBB, enforceable against FBB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execution and delivery of this Agreement by FBB nor the consummation by FBB of the Merger, the FBB Charter Amendment, the COD Amendment or the other Transactions, nor compliance by FBB with any of the terms or provisions of this Agreement, will (i) violate any provision of the FBB Charter or FBB Bylaws or (ii) assuming that the consents, approvals and filings referred to in </w:t>
      </w:r>
      <w:r>
        <w:rPr>
          <w:rFonts w:ascii="Times New Roman" w:hAnsi="Times New Roman"/>
          <w:sz w:val="20"/>
          <w:u w:val="single"/>
        </w:rPr>
        <w:t>Section 4.04</w:t>
      </w:r>
      <w:r>
        <w:rPr>
          <w:rFonts w:ascii="Times New Roman" w:hAnsi="Times New Roman"/>
          <w:sz w:val="20"/>
        </w:rPr>
        <w:t xml:space="preserve"> are duly obtained and/or made, (A) violate any Injunction or any statute, code, ordinance, rule, regulation, judgment, order, writ or decree applicable to FBB, any of the FBB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FBB or any of the FBB Subsidiaries under, any of the terms, conditions or provisions of any Contract, note, bond, mortgage, indenture, deed of trust, FBB License, lease, agreement or other instrument or obligation to which FBB or any of the FBB Subsidiaries is a party, or by which they or any of their respective properties or assets may be bound or affected, other than, in the case of clause (ii), that would not have, individually or in the aggregate, a Material Adverse Effect on FBB. </w:t>
      </w:r>
    </w:p>
    <w:p>
      <w:pPr>
        <w:pStyle w:val="TextBody"/>
        <w:bidi w:val="0"/>
        <w:spacing w:before="240" w:after="0"/>
        <w:jc w:val="left"/>
        <w:rPr>
          <w:rFonts w:ascii="Times New Roman" w:hAnsi="Times New Roman"/>
          <w:sz w:val="20"/>
        </w:rPr>
      </w:pPr>
      <w:bookmarkStart w:id="146" w:name="anxa76201_43"/>
      <w:bookmarkEnd w:id="146"/>
      <w:r>
        <w:rPr>
          <w:rFonts w:ascii="Times New Roman" w:hAnsi="Times New Roman"/>
          <w:b/>
          <w:sz w:val="20"/>
        </w:rPr>
        <w:t xml:space="preserve">SECTION 4.04 </w:t>
      </w:r>
      <w:r>
        <w:rPr>
          <w:rFonts w:ascii="Times New Roman" w:hAnsi="Times New Roman"/>
          <w:b/>
          <w:sz w:val="20"/>
          <w:u w:val="single"/>
        </w:rPr>
        <w:t>Consents and Approvals</w:t>
      </w:r>
      <w:r>
        <w:rPr>
          <w:rFonts w:ascii="Times New Roman" w:hAnsi="Times New Roman"/>
          <w:sz w:val="20"/>
        </w:rPr>
        <w:t xml:space="preserve">. Except for (a) the filing of the Certificate of Merger in accordance with the DGCL, (b) compliance with notices and filings, if any, under any Antitrust Laws of any applicable jurisdiction, (c) such filings and approvals as are required to be made or obtained under the securities or “Blue Sky” laws of various states in connection with the issuance of DXL Common Stock constituting the Merger Consideration, (d) any filings required under the rules and regulations of Nasdaq and (e) such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consents, authorizations, declarations, filings or registrations the failure of which to be obtained or made would not have, individually or in the aggregate, a Material Adverse Effect on FBB, no authorizations or authority of any Governmental Entity are necessary in connection with (i) the execution and delivery by FBB of this Agreement, and (ii) the consummation by FBB of the Transactions. </w:t>
      </w:r>
    </w:p>
    <w:p>
      <w:pPr>
        <w:pStyle w:val="TextBody"/>
        <w:bidi w:val="0"/>
        <w:spacing w:before="240" w:after="0"/>
        <w:jc w:val="left"/>
        <w:rPr>
          <w:rFonts w:ascii="Times New Roman" w:hAnsi="Times New Roman"/>
          <w:sz w:val="20"/>
        </w:rPr>
      </w:pPr>
      <w:bookmarkStart w:id="147" w:name="anxa76201_44"/>
      <w:bookmarkEnd w:id="147"/>
      <w:r>
        <w:rPr>
          <w:rFonts w:ascii="Times New Roman" w:hAnsi="Times New Roman"/>
          <w:b/>
          <w:sz w:val="20"/>
        </w:rPr>
        <w:t xml:space="preserve">SECTION 4.05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4.05(a)</w:t>
      </w:r>
      <w:r>
        <w:rPr>
          <w:rFonts w:ascii="Times New Roman" w:hAnsi="Times New Roman"/>
          <w:sz w:val="20"/>
        </w:rPr>
        <w:t xml:space="preserve"> of the FBB Disclosure Schedule includes true and complete copies of FBB’s (i) unaudited balance sheet as of September 27, 2025 and the related unaudited statements of operations, cash flows and changes in stockholders’ equity as of and for the nine months ended September 30, 2025 and (ii) audited balance sheet as of December 28, 2024, December 30, 2023 and December 31, 2022, and the related audited statements of operations, cash flows and changes in stockholders’ equity for the years ended December 28, 2024, December 30, 2023 and December 31, 2022, together with the notes thereto and the reports and opinions of FBB’s independent auditor relating thereto, prepared in accordance with GAAP (such financial statements described in the immediately preceding clauses (i) and (ii), collectively, the “</w:t>
      </w:r>
      <w:r>
        <w:rPr>
          <w:rFonts w:ascii="Times New Roman" w:hAnsi="Times New Roman"/>
          <w:sz w:val="20"/>
          <w:u w:val="single"/>
        </w:rPr>
        <w:t>FBB Financial Statements</w:t>
      </w:r>
      <w:r>
        <w:rPr>
          <w:rFonts w:ascii="Times New Roman" w:hAnsi="Times New Roman"/>
          <w:sz w:val="20"/>
        </w:rPr>
        <w:t xml:space="preserve">”). The FBB Financial Statements (x) were prepared in all material respects in accordance with GAAP applied on a consistent basis (unless otherwise noted therein) throughout the periods indicated and (y) fairly present, in all material respects, the financial condition, the cash flows and operating results of FBB as of the dates and for the periods indicated therein (subject to normal year-end adjustments in the case of any unaudited interim financial statements, none of which are material, individually or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neither FBB nor any of its Subsidiaries nor, to the knowledge of FBB, any director, officer, employee, auditor, accountant, consultant or Representative of FBB or any of its Subsidiaries has received or otherwise had or obtained Knowledge of any complaint, allegation, assertion or claim, whether written or oral, that FBB or any of its Subsidiaries has engaged in accounting or auditing practices in violation of applicable Law or applicable requirements of GAAP.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its Subsidiaries (nor, to the Knowledge of FBB, any employee thereof) nor FBB’s independent auditor has identified or been made aware of any (i) significant deficiency or material weakness in the system of internal accounting controls utilized by FBB and its Subsidiaries; (ii) fraud, whether or not material, that involves FBB’s management or other employees who have a role in the preparation of financial statements or the internal accounting controls utilized by FBB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FBB’s balance sheet as of December 28, 2024 or the notes thereto, (ii) for liabilities and obligations incurred in the ordinary course of business consistent with past practice since the date of such balance sheet and (iii) for liabilities and obligations incurred in connection with this Agreement, FBB and its Subsidiaries do not have any liabilities that, individually or in the aggregate, are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FBB is not a party to, nor does it have any commitment to become a party to, any joint venture, partnership agreement or any similar Contract (including any Contract relating to any transaction, arrangement or relationship between FBB, on the one hand, and any unconsolidated Affiliate, including any structured finance, special purpose or limited purpose entity or Person, on the other hand), or any off-balance sheet arrangement, which, the case of any of the foregoing, would (if FBB were subject to the reporting requirements of Section 13a of the Exchange Act) be required to be disclosed pursuant to Item 303(b) of Regulation S-K promulgated by the SEC. </w:t>
      </w:r>
    </w:p>
    <w:p>
      <w:pPr>
        <w:pStyle w:val="TextBody"/>
        <w:bidi w:val="0"/>
        <w:spacing w:before="240" w:after="0"/>
        <w:jc w:val="left"/>
        <w:rPr>
          <w:rFonts w:ascii="Times New Roman" w:hAnsi="Times New Roman"/>
          <w:sz w:val="20"/>
        </w:rPr>
      </w:pPr>
      <w:bookmarkStart w:id="148" w:name="anxa76201_45"/>
      <w:bookmarkEnd w:id="148"/>
      <w:r>
        <w:rPr>
          <w:rFonts w:ascii="Times New Roman" w:hAnsi="Times New Roman"/>
          <w:b/>
          <w:sz w:val="20"/>
        </w:rPr>
        <w:t xml:space="preserve">SECTION 4.06 </w:t>
      </w:r>
      <w:r>
        <w:rPr>
          <w:rFonts w:ascii="Times New Roman" w:hAnsi="Times New Roman"/>
          <w:b/>
          <w:sz w:val="20"/>
          <w:u w:val="single"/>
        </w:rPr>
        <w:t>Advisors’ Fees</w:t>
      </w:r>
      <w:r>
        <w:rPr>
          <w:rFonts w:ascii="Times New Roman" w:hAnsi="Times New Roman"/>
          <w:sz w:val="20"/>
        </w:rPr>
        <w:t>. None of FBB, any FBB Subsidiary or any of their respective officers or directors has employed any Advisor, or incurred any liability for any broker’s fees, commissions, finder’s fees or other Advisor fees, in connection with the Merger or other Transactions, other than Rothschild &amp; Co (“</w:t>
      </w:r>
      <w:r>
        <w:rPr>
          <w:rFonts w:ascii="Times New Roman" w:hAnsi="Times New Roman"/>
          <w:sz w:val="20"/>
          <w:u w:val="single"/>
        </w:rPr>
        <w:t>FBB’s Financial Advisor</w:t>
      </w:r>
      <w:r>
        <w:rPr>
          <w:rFonts w:ascii="Times New Roman" w:hAnsi="Times New Roman"/>
          <w:sz w:val="20"/>
        </w:rPr>
        <w:t xml:space="preserve">”). FBB retained FBB’s Financial Advisor pursuant to an engagement letter and has delivered to DXL a true and complete copy of such engagement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9" w:name="anxa76201_46"/>
      <w:bookmarkEnd w:id="149"/>
      <w:r>
        <w:rPr>
          <w:rFonts w:ascii="Times New Roman" w:hAnsi="Times New Roman"/>
          <w:b/>
          <w:sz w:val="20"/>
        </w:rPr>
        <w:t xml:space="preserve">SECTION 4.07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28, 2024, through the date of this Agreement, no event or events or development or developments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December 28, 2024 through the date of this Agreement, FBB and the FBB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50" w:name="anxa76201_47"/>
      <w:bookmarkEnd w:id="150"/>
      <w:r>
        <w:rPr>
          <w:rFonts w:ascii="Times New Roman" w:hAnsi="Times New Roman"/>
          <w:b/>
          <w:sz w:val="20"/>
        </w:rPr>
        <w:t xml:space="preserve">SECTION 4.08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none of FBB nor any of the FBB Subsidiaries is a party to any, and there are no pending or, to FBB’s Knowledge, threatened Proceedings against FBB or any of the FBB Subsidiaries, or, to FBB’s Knowledge, any of the directors, officers or employees of FBB of any of its Subsidiaries in their respective capacities as such; and, since January 1, 2022, neither FBB nor any of its Subsidiaries has settled or compromised any proceeding or claim, whether filed or threatened, which settlement or compromise is or was material to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Injunction, judgment or regulatory restriction imposed upon FBB, any of the FBB Subsidiaries or the assets of FBB or any of the FBB Subsidiaries. </w:t>
      </w:r>
    </w:p>
    <w:p>
      <w:pPr>
        <w:pStyle w:val="TextBody"/>
        <w:bidi w:val="0"/>
        <w:spacing w:before="240" w:after="0"/>
        <w:jc w:val="left"/>
        <w:rPr>
          <w:rFonts w:ascii="Times New Roman" w:hAnsi="Times New Roman"/>
          <w:sz w:val="20"/>
        </w:rPr>
      </w:pPr>
      <w:bookmarkStart w:id="151" w:name="anxa76201_48"/>
      <w:bookmarkEnd w:id="151"/>
      <w:r>
        <w:rPr>
          <w:rFonts w:ascii="Times New Roman" w:hAnsi="Times New Roman"/>
          <w:b/>
          <w:sz w:val="20"/>
        </w:rPr>
        <w:t xml:space="preserve">SECTION 4.09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FBB: </w:t>
      </w:r>
    </w:p>
    <w:p>
      <w:pPr>
        <w:pStyle w:val="TextBody"/>
        <w:bidi w:val="0"/>
        <w:spacing w:before="120" w:after="0"/>
        <w:jc w:val="left"/>
        <w:rPr>
          <w:rFonts w:ascii="Times New Roman" w:hAnsi="Times New Roman"/>
          <w:sz w:val="20"/>
        </w:rPr>
      </w:pPr>
      <w:r>
        <w:rPr>
          <w:rFonts w:ascii="Times New Roman" w:hAnsi="Times New Roman"/>
          <w:sz w:val="20"/>
        </w:rPr>
        <w:t xml:space="preserve">(i) All Tax Returns required by Law to be filed by FBB and the FBB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FBB and the FBB Subsidiaries and all other amounts of Taxes owed by FBB and the FBB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FBB and the FBB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FBB nor the FBB Subsidiaries is currently engaged in any audit, administrative or judicial proceeding with a Tax Authority with respect to Taxes. Neither FBB nor the FBB Subsidiaries has received any written notice from a Tax Authority of a proposed deficiency of any amount of Taxes other than any such deficiencies that have since been resolved. No written claim has been made by any Tax Authority in a jurisdiction where FBB or the FBB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FBB or the FBB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FBB nor the FBB Subsidiaries has constituted either a “distributing corporation” or a “controlled corporation” in a distribution of stock qualifying for tax-free treatment under Section 355 of the Code in the prior two (2)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Neither FBB nor the FBB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FBB nor the FBB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FBB nor the FBB Subsidiaries has any liability for the Taxes of any Person (other than the FBB or the FBB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360" w:after="0"/>
        <w:jc w:val="left"/>
        <w:rPr>
          <w:rFonts w:ascii="Times New Roman" w:hAnsi="Times New Roman"/>
          <w:sz w:val="20"/>
        </w:rPr>
      </w:pPr>
      <w:r>
        <w:rPr>
          <w:rFonts w:ascii="Times New Roman" w:hAnsi="Times New Roman"/>
          <w:sz w:val="20"/>
        </w:rPr>
        <w:t xml:space="preserve">(ix) Neither FBB nor the FBB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A valid and timely Section 83(b) election was filed with respect to each outstanding award granted under the FBB Equity Plan or other equity or equity-related right or interest of FBB or any of its Subsidiaries to the extent such award, right or interest was subject to a substantial risk of forfeiture (including, for the avoidance of doubt, with respect to any FBB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(xi) FBB and the FBB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(xii) FBB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(xiii) Neither FBB nor the FBB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52" w:name="anxa76201_49"/>
      <w:bookmarkEnd w:id="152"/>
      <w:r>
        <w:rPr>
          <w:rFonts w:ascii="Times New Roman" w:hAnsi="Times New Roman"/>
          <w:b/>
          <w:sz w:val="20"/>
        </w:rPr>
        <w:t xml:space="preserve">SECTION 4.10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FBB Benefit Plan</w:t>
      </w:r>
      <w:r>
        <w:rPr>
          <w:rFonts w:ascii="Times New Roman" w:hAnsi="Times New Roman"/>
          <w:sz w:val="20"/>
        </w:rPr>
        <w:t xml:space="preserve">” shall mean each benefit or compensation plan, arrangement, agreement, policy or program, including any “employee welfare plan” within the meaning of Section 3(a) of ERISA, whether or not subject to ERISA, any “employee pension benefit plan” within the meaning of Section 3(2) of ERISA, whether or not subject to ERISA, and any bonus, incentive, deferred compensation, vacation, stock option, severance, employment, retention, salary continuation, change of control, retirement, pension, profit sharing or fringe benefit plan, or program, of any kind (whether written or oral, tax-qualified or non-tax qualified, funded or unfunded, foreign or domestic, active, frozen or terminated), that is sponsored, maintained or contributed to by FBB (or required to be maintained or contributed to by FBB) for the benefit of current or former directors, officers or employees of, or consultants to, FBB or with respect to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directly or indirectly, has any liability, excluding, in each case, any Multiemployer Plan. </w:t>
      </w:r>
      <w:r>
        <w:rPr>
          <w:rFonts w:ascii="Times New Roman" w:hAnsi="Times New Roman"/>
          <w:sz w:val="20"/>
          <w:u w:val="single"/>
        </w:rPr>
        <w:t>Section 4.10(a)</w:t>
      </w:r>
      <w:r>
        <w:rPr>
          <w:rFonts w:ascii="Times New Roman" w:hAnsi="Times New Roman"/>
          <w:sz w:val="20"/>
        </w:rPr>
        <w:t xml:space="preserve"> of the FBB Disclosure Schedule contains a true and complete list of each material FBB Benefit Plan. With respect to each FBB Benefit Plan, FBB has provided or made available to DXL true and complete copies of: (x) such FBB Benefit Plan, if written, or a description of such FBB Benefit Plan, if not written and (y) to the extent applicable to such FBB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 routine communications to or from any Governmental Entity related to any FBB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FBB, (i) each FBB Benefit Plan is in compliance with all applicable Laws, including ERISA, the Code, and the terms of such FBB Benefit Plan; (ii) each FBB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FBB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FBB is aware of no event occurring after the date of such determination that could reasonably be expected to cause the revocation of such letter or result in the loss of such qualification; (iii) no condition exists that is reasonably likely to subject FBB or any FBB ERISA Affiliate to any direct or indirect liability under Title IV of ERISA or to a civil penalty under Section 502(j) of ERISA or liability under Section 4069 of ERISA or Section 4975, 4976, or 4980B of the Code or other liability with respect to the FBB Benefit Plans; (iv) there are no pending or, to FBB’s Knowledge, threatened claims (other than routine claims for benefits) by, on behalf of or against any of the FBB Benefit Plans or any trusts related thereto; (v) no FBB Benefit Plan is, or within the last three (3) years has been, the subject of an examination or audit by a Governmental Entity and to FBB’s Knowledge, no fact or event exists or could reasonably be expected to give rise to any such investigation, audit or other administrative proceeding with respect to an FBB Benefit Plan; and (vi) all contributions, premiums and other similar payments to, and payments from, the FBB Benefit Plans which are required to have been made by FBB or any of its Subsidiaries with respect to any period ending on or before the Closing Date, in accordance with the FBB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FBB nor any FBB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FBB nor any FBB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by this Agreement or as set forth on </w:t>
      </w:r>
      <w:r>
        <w:rPr>
          <w:rFonts w:ascii="Times New Roman" w:hAnsi="Times New Roman"/>
          <w:sz w:val="20"/>
          <w:u w:val="single"/>
        </w:rPr>
        <w:t>Section 4.10(d)</w:t>
      </w:r>
      <w:r>
        <w:rPr>
          <w:rFonts w:ascii="Times New Roman" w:hAnsi="Times New Roman"/>
          <w:sz w:val="20"/>
        </w:rPr>
        <w:t xml:space="preserve"> of the FBB Disclosure Schedule, no FBB Benefit Plan provides, nor does FBB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4.10(e)</w:t>
      </w:r>
      <w:r>
        <w:rPr>
          <w:rFonts w:ascii="Times New Roman" w:hAnsi="Times New Roman"/>
          <w:sz w:val="20"/>
        </w:rPr>
        <w:t xml:space="preserve"> of the FBB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FBB or any FBB Subsidiary, including severance pay, change of control benefit or any other payment from FBB or any FBB Subsidiary, (ii) increase any benefits otherwise payable under any FBB Benefit Plan or materially increase compensation, (iii) result in or cause the vesting, exercisability, acceleration of the time of payment, funding or vesting of any such benefits, or forfeiture of or increase the amount or value of, any compensation or benefits due to any such employee, officer, director or consultant, (iv) result in the triggering or imposition of any restrictions or limitations on the rights of FBB to amend, merge or terminate any FBB Benefit Plan or (v) trigger any other obligation under, or result in the breach or violation of, any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FBB, each FBB Benefit Plan that is a “nonqualified deferred compensation plan” (within the meaning of Section 409A of the Code) and has been established, operated and maintained in compliance with Section 409A of the Code and any proposed and final guidance promulgated under Section 409A of the Code. No additional Tax under Section 409A(a)(1)(B) of the Code has been incurred by a participant in any such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FBB nor any FBB Subsidiary is a party to, nor does any of them have any obligation under any FBB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FBB would not be deductible by reason of Section 280G of the Code or would be subject to an excise tax under Section 4999 or the Code. Neither FBB nor any FBB Subsidiary has any legally binding plan or commitment to create any additional FBB Benefit Plan or to modify or change any existing FBB Benefit Plan that would be reasonably expected to result in material liabilities to FBB or any FBB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FBB, any FBB Subsidiary or any FBB ERISA Affiliate (a “</w:t>
      </w:r>
      <w:r>
        <w:rPr>
          <w:rFonts w:ascii="Times New Roman" w:hAnsi="Times New Roman"/>
          <w:sz w:val="20"/>
          <w:u w:val="single"/>
        </w:rPr>
        <w:t>FBB Multiemployer Plan</w:t>
      </w:r>
      <w:r>
        <w:rPr>
          <w:rFonts w:ascii="Times New Roman" w:hAnsi="Times New Roman"/>
          <w:sz w:val="20"/>
        </w:rPr>
        <w:t xml:space="preserve">”), as of the date of this Agreement, is listed in </w:t>
      </w:r>
      <w:r>
        <w:rPr>
          <w:rFonts w:ascii="Times New Roman" w:hAnsi="Times New Roman"/>
          <w:sz w:val="20"/>
          <w:u w:val="single"/>
        </w:rPr>
        <w:t>Section 4.10(i)</w:t>
      </w:r>
      <w:r>
        <w:rPr>
          <w:rFonts w:ascii="Times New Roman" w:hAnsi="Times New Roman"/>
          <w:sz w:val="20"/>
        </w:rPr>
        <w:t xml:space="preserve"> of the FBB Disclosure Schedule. With respect to any FBB Multiemployer Plan, neither FBB nor any FBB ERISA Affiliate has incurred any withdrawal liability under Title IV of ERISA which remains unsatisfied, except as, individually or in the aggregate, has not had and would not reasonably be expected to have a Material Adverse Effect on FBB. With respect to each FBB Multiemployer Plan, neither FBB nor any FBB Subsidiary or FBB ERISA Affiliate has been informed of: (i) any prohibited transaction (as defined in Section 4975 of the Code or Section 406 of ERISA); (ii) any fact that would adversely affect the tax qualified status of such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FBB or any FBB Subsidiary under each FBB Multiemployer Plan have been timely made and all obligations in respect of each FBB Multiemployer Plan have been properly accrued and reflected in FBB’s most recent audited balance sheet,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53" w:name="anxa76201_50"/>
      <w:bookmarkEnd w:id="153"/>
      <w:r>
        <w:rPr>
          <w:rFonts w:ascii="Times New Roman" w:hAnsi="Times New Roman"/>
          <w:b/>
          <w:sz w:val="20"/>
        </w:rPr>
        <w:t xml:space="preserve">SECTION 4.11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4.11(a)</w:t>
      </w:r>
      <w:r>
        <w:rPr>
          <w:rFonts w:ascii="Times New Roman" w:hAnsi="Times New Roman"/>
          <w:sz w:val="20"/>
        </w:rPr>
        <w:t xml:space="preserve"> of the FBB Disclosure Schedule sets forth, as of the close of business on November 28, 2025, a complete and correct list of all current employees of FBB and the FBB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FBB Employees</w:t>
      </w:r>
      <w:r>
        <w:rPr>
          <w:rFonts w:ascii="Times New Roman" w:hAnsi="Times New Roman"/>
          <w:sz w:val="20"/>
        </w:rPr>
        <w:t xml:space="preserve">”), including their respective titles, whether such employee is classified as exempt or non-exempt pursuant to the FLSA, current compensation (including base salary (if classified as exempt) or hourly wage rate (if classified as non-exempt), current target bonus entitlement and other incentive or contingent compensation), status as full-time or part-time, age, work location, and amount of accrued but unused vacation, and whether such employee is absent from active employment and, if so, the date such employee became inactive, the reason for such inactive status, and, if applicable, the anticipated date of return to active employment. FBB has taken reasonable steps to ensure that all individuals who are or were performing consulting or other services for FBB are or were correctly classified under all applicable Laws by FBB as either “independent contractors” (or comparable status in the case of a non-U.S. entity) or “employees” as the case may be, and, at the Closing Date, with respect to those individuals still performing consulting services for FBB as of the Closing Date, such individuals will qualify for such classification and would not be entitled to the rights of an employee of FBB. FBB has taken reasonable steps to ensure that all individuals who are or were classified as “employees” of FBB are or were correctly classified under all applicable Laws by FBB, as exempt or non-exempt from overtime payments, as the case may be. Except as otherwise required by Law or as expressly contemplated by this Agreement, there is no former director, officer, employee, independent contractor or consultant of FBB who is receiving or is scheduled to receive (or whose spouse or other dependent is receiving or is scheduled to receive) any benefits (from FBB) relating to such former service provider’s relationship with FBB.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4.11(b)</w:t>
      </w:r>
      <w:r>
        <w:rPr>
          <w:rFonts w:ascii="Times New Roman" w:hAnsi="Times New Roman"/>
          <w:sz w:val="20"/>
        </w:rPr>
        <w:t xml:space="preserve"> of the FBB Disclosure Schedule lists all collective bargaining agreements to which FBB or any FBB Subsidiary is party to. To the Knowledge of FBB, within the past three (3) years, through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FBB or any FBB Subsidiary. There is no and during the three (3) year period prior to the date hereof there has been no (i) unfair labor practice, labor dispute or labor arbitration proceeding pending or, to FBB’s Knowledge, threatened against or affecting FBB or any FBB Subsidiary or (ii) lockout, strike, slowdown, work stoppage or, to FBB’s Knowledge, threat thereof by or with respect to any employees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(c) In the three (3) years prior to the date hereof, neither FBB or any FBB Subsidiary has effectuated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Neither FBB or any FBB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Material Adverse Effect on FBB, FBB is, and at all relevant times has been, in compliance with all applicable Laws and orders with respect to Employment Matters. The employment or services of each former employee, consultant or contractor of FBB was terminated in material compliance with all applicable Laws, and FBB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FBB and its Subsidiaries, taken as a whole, there are no, and in the past five years there have been no pending or, to FBB’s Knowledge, threatened lawsuits, arbitrations, administrative charges, controversies, grievances or claims by any employee, independent contractor, former employee, or former independent contractor of FBB or any FBB Subsidiary before the National Labor Relations Board, the Equal Employment Opportunity Commission or any other Governmental Entity or arbitration board or panel relating to any Employment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To FBB’s Knowledge, no employee at or above the level of Vice President has informed FBB or any FBB Subsidiary, either orally or in writing, of any plans to terminate their employment or relationship with FBB or any FBB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FBB and each FBB Subsidiary is (i) a United States citizen, (ii) a United States national, (iii) a lawful permanent resident of the United States, or (iv) an alien authorized to work in the United States specifically for FBB or any FBB Subsidiary or for any United States employer. FBB and each FBB Subsidiary have completed a Form I- 9 (Employment Eligibility Verification) for each employee, and each Form I-9 has since been updated, in each case, as required by applicable Law and is correct and complete. For each employee of FBB and each FBB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54" w:name="anxa76201_51"/>
      <w:bookmarkEnd w:id="154"/>
      <w:r>
        <w:rPr>
          <w:rFonts w:ascii="Times New Roman" w:hAnsi="Times New Roman"/>
          <w:b/>
          <w:sz w:val="20"/>
        </w:rPr>
        <w:t xml:space="preserve">SECTION 4.12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FBB and its Subsidiaries, taken as a whole, FBB has designed and maintains a system of internal control over financial reporting sufficient to provide reasonable assurances regarding the reliability of financial reporting and the preparation of financial statements for internal purposes in accordance with GAAP, and includes those policies and procedures that (i) pertain to the maintenance of records that in reasonable detail accurately and fairly reflect the transactions and dispositions of FBB’s assets; (ii) provide reasonable assurance that transactions are recorded as necessary to permit preparation of financial statements in accordance with GAAP, and that FBB’s receipts and expenditures are being made only in accordance with authorizations of FBB’s management and directors; and (iii) provide reasonable assurance regarding prevention or timely detection of unauthorized acquisition, use or disposition of FBB’s assets that could have a material effect on FBB Financial Statements. Except as would not reasonably be expected to be material to FBB and its Subsidiaries, taken as a whole, FBB has disclosed, based on its most recent evaluation of its disclosure controls and procedures and internal control over financial reporting prior to the date of this Agreement, to FBB’s auditors and the FBB Board (i) any significant deficiencies and material weaknesses in the design or operation of internal control over financial reporting that are reasonably likely to adversely affect in any material respect FBB’s ability to record, process, summarize and report financial information and (ii) any fraud, whether or not material, that involves management or other employees who have a significant role in FBB’s internal control over financial reporting. Since January 1, 2025, none of FBB, FBB’s auditors, the FBB Board or the audit committee of the FBB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5" w:name="anxa76201_52"/>
      <w:bookmarkEnd w:id="155"/>
      <w:r>
        <w:rPr>
          <w:rFonts w:ascii="Times New Roman" w:hAnsi="Times New Roman"/>
          <w:b/>
          <w:sz w:val="20"/>
        </w:rPr>
        <w:t xml:space="preserve">SECTION 4.13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2023, except as would not reasonably be expected to be material to FBB and its Subsidiaries, taken as a whole, (i) the businesses of each of FBB and the FBB Subsidiaries have been conducted in compliance with all Laws applicable to its business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FBB that has not since been resolved without any ongoing material liability for FBB. No investigation or review by any Governmental Entity with respect to FBB or any of the FBB Subsidiaries is pending or, to FBB’s Knowledge, threatened, nor has any Governmental Entity indicated an intention to conduct the same. To the Knowledge of FBB and the FBB Subsidiaries, no condition or state of facts exists that is reasonably likely to give rise to a violation of, or a liability or default under any applicable Law. Each of FBB and the FBB Subsidiaries has all material Licenses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FBB and each of the FBB Subsidiaries are in material compliance with (i) their respective obligations under each of the material FBB Licenses and (ii) the rules and regulations of the Governmental Entity issuing such material FBB Licenses. There is no pending or, to FBB’s Knowledge, threatened by or before any Governmental Entity any material proceeding, notice of violation, order of forfeiture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complaint or investigation against FBB or any of the FBB Subsidiaries relating to any of the material FBB Licenses. To the Knowledge of FBB and the FBB Subsidiaries, no event has occurred which, with notice or the lapse of time or both, would constitute a default or violation, in any material respect, of any term, condition or provision of any FBB License, and to the Knowledge of FBB and the FBB Subsidiaries, there are no facts or circumstances which could form the basis for any such default or violation. The actions of the applicable Governmental Entities granting all material FBB Licenses have not been reversed, stayed, enjoined, annulled or suspended, and there is not pending or, to FBB’s Knowledge, threatened, any material application, petition, objection or other pleading with any Governmental Entity that challenges or questions the validity of or any rights of the holder under any material FBB License. </w:t>
      </w:r>
    </w:p>
    <w:p>
      <w:pPr>
        <w:pStyle w:val="TextBody"/>
        <w:bidi w:val="0"/>
        <w:spacing w:before="240" w:after="0"/>
        <w:jc w:val="left"/>
        <w:rPr>
          <w:rFonts w:ascii="Times New Roman" w:hAnsi="Times New Roman"/>
          <w:sz w:val="20"/>
        </w:rPr>
      </w:pPr>
      <w:bookmarkStart w:id="156" w:name="anxa76201_53"/>
      <w:bookmarkEnd w:id="156"/>
      <w:r>
        <w:rPr>
          <w:rFonts w:ascii="Times New Roman" w:hAnsi="Times New Roman"/>
          <w:b/>
          <w:sz w:val="20"/>
        </w:rPr>
        <w:t xml:space="preserve">SECTION 4.14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FBB Disclosure Schedule sets forth a complete list of each currently effective Contract to which FBB or any of its Subsidiaries is a party or by which it is bound as of the date of this Agreement (other than any FBB Benefit Plan) (each, an “</w:t>
      </w:r>
      <w:r>
        <w:rPr>
          <w:rFonts w:ascii="Times New Roman" w:hAnsi="Times New Roman"/>
          <w:sz w:val="20"/>
          <w:u w:val="single"/>
        </w:rPr>
        <w:t>FBB Material Contract</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12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FBB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that is a Contract with a FBB Top Customer; </w:t>
      </w:r>
    </w:p>
    <w:p>
      <w:pPr>
        <w:pStyle w:val="TextBody"/>
        <w:bidi w:val="0"/>
        <w:spacing w:before="240" w:after="0"/>
        <w:jc w:val="left"/>
        <w:rPr>
          <w:rFonts w:ascii="Times New Roman" w:hAnsi="Times New Roman"/>
          <w:sz w:val="20"/>
        </w:rPr>
      </w:pPr>
      <w:r>
        <w:rPr>
          <w:rFonts w:ascii="Times New Roman" w:hAnsi="Times New Roman"/>
          <w:sz w:val="20"/>
        </w:rPr>
        <w:t xml:space="preserve">(v) (a) any pledge, security agreement, deed of trust or other Contracts that impose a Lien on any of FBB’s or any of its Subsidiaries’ assets; (b) loan or credit agreement, indenture, debenture, note or other Contracts that create, incur or guarantee any Indebtedness, or (c) Contracts under which FBB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(viii) which by its terms limits in any material respect (i) the localities, market or business in which all or any significant portion of the business and operations of FBB or FBB’s Subsidiaries or, following the consummation of the Transactions, the business and operations of Surviving Company or FBB, is or would be conducted, (ii) the Persons FBB or any of its existing or future Subsidiaries, may hire (other than Contracts with contract research organizations or other contractors or vendors that provide services to FBB in the ordinary course of FBB’s business and that contain provisions that prevent FBB from soliciting or hiring any personnel of such contract research organizations or such other contractors or vendors), (iii) the Persons to which FBB or any of its existing or future Subsidiaries may sell products or deliver services, or (iv) the scope of the business and operations of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(i) provides for the grant to FBB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FBB IP Rights other than non-exclusive licenses to a contractor or service provider of FBB or the FBB Subsidiaries entered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240" w:after="0"/>
        <w:jc w:val="left"/>
        <w:rPr>
          <w:rFonts w:ascii="Times New Roman" w:hAnsi="Times New Roman"/>
          <w:sz w:val="20"/>
        </w:rPr>
      </w:pPr>
      <w:r>
        <w:rPr>
          <w:rFonts w:ascii="Times New Roman" w:hAnsi="Times New Roman"/>
          <w:sz w:val="20"/>
        </w:rPr>
        <w:t xml:space="preserve">(xi) containing any royalty, dividend or similar arrangement based on the revenues or profits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with any Governmental Entity or a subcontractor to any Governmental Entity in connection with such FBB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(xiii) any Contract with (a) an executive officer or director of FBB or any of its Subsidiaries or any of such executive officer’s or director’s immediate family members, (b) an owner of more than five percent (5%) of the voting power of the outstanding capital stock of FBB or (c) to the Knowledge of FBB, any “related party” (within the meaning of Item 404 of Regulation S-K promulgated by the SEC) of any such officer, director or owner (other than FBB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(xv) relating to the acquisition or disposition of any material interest in, or any material amount of, securities, property or assets of FBB or any of its Subsidiaries or any other Person, or for the grant to any Person of any preferential rights to purchase any of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(xvi)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(xvii) other than as set forth elsewhere on </w:t>
      </w:r>
      <w:r>
        <w:rPr>
          <w:rFonts w:ascii="Times New Roman" w:hAnsi="Times New Roman"/>
          <w:sz w:val="20"/>
          <w:u w:val="single"/>
        </w:rPr>
        <w:t>Section 4.14(a)</w:t>
      </w:r>
      <w:r>
        <w:rPr>
          <w:rFonts w:ascii="Times New Roman" w:hAnsi="Times New Roman"/>
          <w:sz w:val="20"/>
        </w:rPr>
        <w:t xml:space="preserve"> of the FBB Disclosure Schedule, and excluding customary confidentiality and non-disclose agreements, all other Contracts that are material to the business or operations of FBB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FBB has delivered or made available to DXL accurate and complete copies of all FBB Material Contracts, including all amendments thereto. There are no FBB Material Contracts that are not in written form. Neither FBB nor any Subsidiary of FBB has, nor to FBB’s Knowledge, has any other party to an FBB Material Contract breached, violated or defaulted under, or received notice that it has breached, violated or defaulted under, any of the terms or conditions of any FBB Material Contract, except where the breach, violation, default or notice thereof of any the foregoing, thereunder has not had and would not reasonably be expected to have, individually or in the aggregate, a Material Adverse Effect on FBB. As to FBB and FBB’s Subsidiaries, as of the date of this Agreement, each FBB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FBB. The consummation of the Transactions will not (either alone or upon the occurrence of additional acts or events) result in any material payment or payments becoming due from FBB, any Subsidiary of FBB, or the Surviving Company to any Person under any FBB Material Contract or give any Person the right to terminate or alter the provisions of any FBB Material Contract. Except as has not had and would not reasonably be expected to have, individually or in the aggregate, a Material Adverse Effect on FBB, no Person (A) is renegotiating any material amount paid or payable to FBB or any of its Subsidiaries under any FBB Material Contract or any other material term or provision of any FBB Material Contract or (B) has provided notice to FBB or any of its Subsidiaries that it intends to terminate any FBB Material Contract or with respect to any breach or default in any material respect of any FBB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7" w:name="anxa76201_54"/>
      <w:bookmarkEnd w:id="157"/>
      <w:r>
        <w:rPr>
          <w:rFonts w:ascii="Times New Roman" w:hAnsi="Times New Roman"/>
          <w:b/>
          <w:sz w:val="20"/>
        </w:rPr>
        <w:t xml:space="preserve">SECTION 4.15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possesses and is in compliance with all Environmental Permits necessary in all material respects to conduct its businesses and operations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FBB, each of FBB and the FBB Subsidiaries is in compliance and has complied in all material respects with all applicable Environmental Laws, and neither FBB nor any FBB Subsidiary has received any communication from any Governmental Entity or other Person that alleges that FBB or any FBB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FBB’s Knowledge, threatened against FBB or any of the FBB Subsidiaries, and neither FBB nor any of the FBB Subsidiaries has contractually retained or assumed any liabilities or obligations that would reasonably be expected to result in any Environmental Claim against FBB or any of the FBB Subsidiaries nor there is any circumstance involving FBB or any of its Subsidiaries that would reasonably be expected to result in any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FBB, there have been no Releases of, or exposure to, any Hazardous Materials that would reasonably be expected to result in any material Environmental Claim or liability. </w:t>
      </w:r>
    </w:p>
    <w:p>
      <w:pPr>
        <w:pStyle w:val="TextBody"/>
        <w:bidi w:val="0"/>
        <w:spacing w:before="240" w:after="0"/>
        <w:jc w:val="left"/>
        <w:rPr>
          <w:rFonts w:ascii="Times New Roman" w:hAnsi="Times New Roman"/>
          <w:sz w:val="20"/>
        </w:rPr>
      </w:pPr>
      <w:bookmarkStart w:id="158" w:name="anxa76201_55"/>
      <w:bookmarkEnd w:id="158"/>
      <w:r>
        <w:rPr>
          <w:rFonts w:ascii="Times New Roman" w:hAnsi="Times New Roman"/>
          <w:b/>
          <w:sz w:val="20"/>
        </w:rPr>
        <w:t xml:space="preserve">SECTION 4.16 </w:t>
      </w:r>
      <w:r>
        <w:rPr>
          <w:rFonts w:ascii="Times New Roman" w:hAnsi="Times New Roman"/>
          <w:b/>
          <w:sz w:val="20"/>
          <w:u w:val="single"/>
        </w:rPr>
        <w:t>Takeover Laws</w:t>
      </w:r>
      <w:r>
        <w:rPr>
          <w:rFonts w:ascii="Times New Roman" w:hAnsi="Times New Roman"/>
          <w:sz w:val="20"/>
        </w:rPr>
        <w:t xml:space="preserve">. To FBB’s Knowledge, there are no Takeover Statutes or any takeover-related provision in the FBB Charter applicable to the Merger or the other Transactions. </w:t>
      </w:r>
    </w:p>
    <w:p>
      <w:pPr>
        <w:pStyle w:val="TextBody"/>
        <w:bidi w:val="0"/>
        <w:spacing w:before="240" w:after="0"/>
        <w:jc w:val="left"/>
        <w:rPr>
          <w:rFonts w:ascii="Times New Roman" w:hAnsi="Times New Roman"/>
          <w:sz w:val="20"/>
        </w:rPr>
      </w:pPr>
      <w:bookmarkStart w:id="159" w:name="anxa76201_56"/>
      <w:bookmarkEnd w:id="159"/>
      <w:r>
        <w:rPr>
          <w:rFonts w:ascii="Times New Roman" w:hAnsi="Times New Roman"/>
          <w:b/>
          <w:sz w:val="20"/>
        </w:rPr>
        <w:t xml:space="preserve">SECTION 4.17 </w:t>
      </w:r>
      <w:r>
        <w:rPr>
          <w:rFonts w:ascii="Times New Roman" w:hAnsi="Times New Roman"/>
          <w:b/>
          <w:sz w:val="20"/>
          <w:u w:val="single"/>
        </w:rPr>
        <w:t>FBB Information</w:t>
      </w:r>
      <w:r>
        <w:rPr>
          <w:rFonts w:ascii="Times New Roman" w:hAnsi="Times New Roman"/>
          <w:sz w:val="20"/>
        </w:rPr>
        <w:t xml:space="preserve">. The information relating to FBB that is provided by FBB or FBB’s Representatives for inclusion in the Proxy Statement, or in any other document filed with any other Regulatory Agency in connection with the Merger and the other Transactions, will not in the case of the Proxy Statement, at the date it is first furnished by DXL to the SEC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60" w:name="anxa76201_57"/>
      <w:bookmarkEnd w:id="160"/>
      <w:r>
        <w:rPr>
          <w:rFonts w:ascii="Times New Roman" w:hAnsi="Times New Roman"/>
          <w:b/>
          <w:sz w:val="20"/>
        </w:rPr>
        <w:t xml:space="preserve">SECTION 4.18 </w:t>
      </w:r>
      <w:r>
        <w:rPr>
          <w:rFonts w:ascii="Times New Roman" w:hAnsi="Times New Roman"/>
          <w:b/>
          <w:sz w:val="20"/>
          <w:u w:val="single"/>
        </w:rPr>
        <w:t>Affiliate Transactions</w:t>
      </w:r>
      <w:r>
        <w:rPr>
          <w:rFonts w:ascii="Times New Roman" w:hAnsi="Times New Roman"/>
          <w:sz w:val="20"/>
        </w:rPr>
        <w:t xml:space="preserve">. To FBB’s Knowledge, as of the date of this Agreement, there are no material transactions, Contracts or understandings between FBB, or any of the FBB Subsidiaries on the one hand, and either (i) any holder of any Equity Interest in FBB or any of the FBB Subsidiaries, (ii) any officer or director of FBB or any of the FBB Subsidiaries (other than any FBB Benefit Plan) or (iii) any of FBB’s other Affiliates (other than wholly owned FBB Subsidiaries), on the other hand, that would be required to be disclosed by FBB under Item 404 of Regulation S-K promulgated by the SEC if FBB were to be subject to such regulation. </w:t>
      </w:r>
    </w:p>
    <w:p>
      <w:pPr>
        <w:pStyle w:val="TextBody"/>
        <w:bidi w:val="0"/>
        <w:spacing w:before="240" w:after="0"/>
        <w:jc w:val="left"/>
        <w:rPr>
          <w:rFonts w:ascii="Times New Roman" w:hAnsi="Times New Roman"/>
          <w:sz w:val="20"/>
        </w:rPr>
      </w:pPr>
      <w:bookmarkStart w:id="161" w:name="anxa76201_58"/>
      <w:bookmarkEnd w:id="161"/>
      <w:r>
        <w:rPr>
          <w:rFonts w:ascii="Times New Roman" w:hAnsi="Times New Roman"/>
          <w:b/>
          <w:sz w:val="20"/>
        </w:rPr>
        <w:t xml:space="preserve">SECTION 4.19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4.19(b)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FBB IP Rights is currently subsisting, and, to the Knowledge of FBB,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1, 2023, by FBB and the FBB Subsidiaries does not infringe, misappropriate or otherwise violate the Intellectual Property Rights of any third Person in any material respect; (ii) there are no material Proceedings pending against FBB or any of the FBB Subsidiaries, and, to FBB’s Knowledge, there is no material claim, action or proceeding threatened against FBB or any of the FBB Subsidiaries, in each case alleging that FBB or the FBB Subsidiaries is or has been infringing, misappropriating or otherwise violating any Intellectual Property Rights of any third Person; and (iii) since January 1, 2023, neither FBB nor the FBB Subsidiaries have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the FBB Subsidiaries have filed or threatened in writing any claim against, or sent an invitation to license, cease-and-desist letter or indemnity claim to, any third Person alleging that such Person is infringing, misappropriating or otherwise violating any FBB IP Rights in any material respect, and to FBB’s knowledge, no third Person is infringing, misappropriating or otherwise violating, or since January 1, 2023, has infringed, misappropriated or otherwise violated, any FBB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FBB and each of the FBB Subsidiaries has taken commercially reasonable precautions, including the use of binding confidentiality and nondisclosure agreements, to protect and maintain the confidentiality of material nonpublic information included in the FBB IP Rights, including material Trade Secrets of FBB and the FBB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4.19(e)</w:t>
      </w:r>
      <w:r>
        <w:rPr>
          <w:rFonts w:ascii="Times New Roman" w:hAnsi="Times New Roman"/>
          <w:sz w:val="20"/>
        </w:rPr>
        <w:t xml:space="preserve"> of the FBB Disclosure Schedule sets forth, as of the date of this Agreement, a complete and accurate list of Registered IP included in the FBB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FBB or any of the FBB Subsidiaries who contributed to the discovery, creation or development of any FBB IP Rights did so (i) within the scope of his or her employment such that it constituted a work made for hire under the U.S. Copyright Act (17 USC 101) and all Intellectual Property Rights arising therefrom became the exclusive property of FBB or any of FBB Subsidiaries, as applicable, or (ii) pursuant to a written agreement, which assigned all of his or her Intellectual Property Rights arising therein to FBB or any of the FBB Subsidiaries, as applicable. </w:t>
      </w:r>
    </w:p>
    <w:p>
      <w:pPr>
        <w:pStyle w:val="TextBody"/>
        <w:bidi w:val="0"/>
        <w:spacing w:before="240" w:after="0"/>
        <w:jc w:val="left"/>
        <w:rPr>
          <w:rFonts w:ascii="Times New Roman" w:hAnsi="Times New Roman"/>
          <w:sz w:val="20"/>
        </w:rPr>
      </w:pPr>
      <w:bookmarkStart w:id="162" w:name="anxa76201_59"/>
      <w:bookmarkEnd w:id="162"/>
      <w:r>
        <w:rPr>
          <w:rFonts w:ascii="Times New Roman" w:hAnsi="Times New Roman"/>
          <w:b/>
          <w:sz w:val="20"/>
        </w:rPr>
        <w:t xml:space="preserve">SECTION 4.20 </w:t>
      </w:r>
      <w:r>
        <w:rPr>
          <w:rFonts w:ascii="Times New Roman" w:hAnsi="Times New Roman"/>
          <w:b/>
          <w:sz w:val="20"/>
          <w:u w:val="single"/>
        </w:rPr>
        <w:t>Title to Assets</w:t>
      </w:r>
      <w:r>
        <w:rPr>
          <w:rFonts w:ascii="Times New Roman" w:hAnsi="Times New Roman"/>
          <w:sz w:val="20"/>
        </w:rPr>
        <w:t xml:space="preserve">. Each of FBB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FBB Financial Statements; and (b) all other assets reflected in the books and records of FBB or any of its Subsidiaries as being owned by FBB or such Subsidiary, in each case, other than as would not reasonably be expected to be material to FBB and its Subsidiaries, taken as a whole. All of such assets are owned or, in the case of leased assets, leased by FBB or any of its Subsidiaries, free and clear of any Liens other than Permitted Liens. </w:t>
      </w:r>
    </w:p>
    <w:p>
      <w:pPr>
        <w:pStyle w:val="TextBody"/>
        <w:bidi w:val="0"/>
        <w:spacing w:before="240" w:after="0"/>
        <w:jc w:val="left"/>
        <w:rPr>
          <w:rFonts w:ascii="Times New Roman" w:hAnsi="Times New Roman"/>
          <w:sz w:val="20"/>
        </w:rPr>
      </w:pPr>
      <w:bookmarkStart w:id="163" w:name="anxa76201_60"/>
      <w:bookmarkEnd w:id="163"/>
      <w:r>
        <w:rPr>
          <w:rFonts w:ascii="Times New Roman" w:hAnsi="Times New Roman"/>
          <w:b/>
          <w:sz w:val="20"/>
        </w:rPr>
        <w:t xml:space="preserve">SECTION 4.21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4.21(a)</w:t>
      </w:r>
      <w:r>
        <w:rPr>
          <w:rFonts w:ascii="Times New Roman" w:hAnsi="Times New Roman"/>
          <w:sz w:val="20"/>
        </w:rPr>
        <w:t xml:space="preserve"> of the FBB Disclosure Schedule contains, as of the date of this Agreement, a complete and correct list of all real property owned in whole or in part by FBB and its Subsidiaries (such real property, together with all buildings, structures, fixtures and improvements erected or located thereon, the “</w:t>
      </w:r>
      <w:r>
        <w:rPr>
          <w:rFonts w:ascii="Times New Roman" w:hAnsi="Times New Roman"/>
          <w:sz w:val="20"/>
          <w:u w:val="single"/>
        </w:rPr>
        <w:t>FBB Owned Real Property</w:t>
      </w:r>
      <w:r>
        <w:rPr>
          <w:rFonts w:ascii="Times New Roman" w:hAnsi="Times New Roman"/>
          <w:sz w:val="20"/>
        </w:rPr>
        <w:t xml:space="preserve">”) . Except as has not had and would not reasonably be expected to have, individually or in the aggregate, a Material Adverse Effect on FBB, (i) FBB or its Subsidiaries have good and valid fee simple title to all of the FBB Owned Real Property, free and clear of Liens, except Permitted Liens, and (ii) to FBB’s Knowledge, there is no pending or threatened condemnation or similar action affecting any of the FBB Owned Real Property by FBB and its Subsidiaries. Neither FBB nor any of its Subsidiaries has leased or otherwise granted to any Person the right to use or occupy any FBB Owned Real Property or any portion thereof. There are no outstanding options, rights of first offer or rights of first refusal to purchase any FBB Owned Real Property or any portion thereof or interest therein. There is no formerly owned real property that was owned by FBB or any of its Subsidiaries in respect of which FBB or any of its Subsidiaries may have any material liability. Neither FBB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4.21(b)</w:t>
      </w:r>
      <w:r>
        <w:rPr>
          <w:rFonts w:ascii="Times New Roman" w:hAnsi="Times New Roman"/>
          <w:sz w:val="20"/>
        </w:rPr>
        <w:t xml:space="preserve"> of the FBB Disclosure Schedule contains, as of the date of this Agreement, a complete and correct list of the FBB Leased Real Property by FBB and its Subsidiaries. Except as has not had and would not reasonably be expected to have, individually or in the aggregate, a Material Adverse Effect on FBB, (i) FBB or its Subsidiaries have valid leasehold interests to all real property leased or subleased by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its Subsidiaries (the “</w:t>
      </w:r>
      <w:r>
        <w:rPr>
          <w:rFonts w:ascii="Times New Roman" w:hAnsi="Times New Roman"/>
          <w:sz w:val="20"/>
          <w:u w:val="single"/>
        </w:rPr>
        <w:t>FBB Leased Real Property</w:t>
      </w:r>
      <w:r>
        <w:rPr>
          <w:rFonts w:ascii="Times New Roman" w:hAnsi="Times New Roman"/>
          <w:sz w:val="20"/>
        </w:rPr>
        <w:t>”), free and clear of all Liens, except for Permitted Liens; (ii) as of the date hereof, each lease or sublease with respect to the FBB Leased Real Property (each, an “</w:t>
      </w:r>
      <w:r>
        <w:rPr>
          <w:rFonts w:ascii="Times New Roman" w:hAnsi="Times New Roman"/>
          <w:sz w:val="20"/>
          <w:u w:val="single"/>
        </w:rPr>
        <w:t>FBB Real Property Lease</w:t>
      </w:r>
      <w:r>
        <w:rPr>
          <w:rFonts w:ascii="Times New Roman" w:hAnsi="Times New Roman"/>
          <w:sz w:val="20"/>
        </w:rPr>
        <w:t xml:space="preserve">”) is in full force and effect and enforceable in accordance with its respective terms against FBB or its Subsidiaries that are party thereto and, to FBB’s Knowledge, to the other parties thereto (in each case subject to the Enforceability Exceptions); and (iii) neither FBB nor any of its Subsidiaries is in material breach or material default under any of the FBB Real Property Leases and no event has occurred or circumstance exists that, with the delivery of notice, passage of time or both, would constitute such a breach or default or permit the termination of, modification of or acceleration of rent under any FBB Real Property Lease or otherwise cause such FBB Real Property Lease to cease to be legal, valid, binding, enforceable and in full force and effect on identical terms following the Closing (subject only to the Enforceability Exceptions) . Neither FBB nor any of its Subsidiaries has subleased, licensed, sublicensed or otherwise granted any Person any beneficial interest in or the right to use or occupy any FBB Leased Real Property or any portion thereof. FBB has made available to DXL true, correct and complete copies of each FBB Real Property Lease. Neither FBB nor any of its Subsidiaries owes, nor, based on existing FBB Real Property Leases or other Contracts as currently in effect, will owe in the future, any brokerage commissions or finder’s fees with respect to any FBB Leased Real Property. No landlord or tenant (as applicable) under any FBB Real Property Lease is an Affiliate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FBB Owned Real Property set forth on </w:t>
      </w:r>
      <w:r>
        <w:rPr>
          <w:rFonts w:ascii="Times New Roman" w:hAnsi="Times New Roman"/>
          <w:sz w:val="20"/>
          <w:u w:val="single"/>
        </w:rPr>
        <w:t>Section 4.21(a)</w:t>
      </w:r>
      <w:r>
        <w:rPr>
          <w:rFonts w:ascii="Times New Roman" w:hAnsi="Times New Roman"/>
          <w:sz w:val="20"/>
        </w:rPr>
        <w:t xml:space="preserve"> of the FBB Disclosure Schedule and the FBB Leased Real Property set forth on </w:t>
      </w:r>
      <w:r>
        <w:rPr>
          <w:rFonts w:ascii="Times New Roman" w:hAnsi="Times New Roman"/>
          <w:sz w:val="20"/>
          <w:u w:val="single"/>
        </w:rPr>
        <w:t>Section 4.21(b)</w:t>
      </w:r>
      <w:r>
        <w:rPr>
          <w:rFonts w:ascii="Times New Roman" w:hAnsi="Times New Roman"/>
          <w:sz w:val="20"/>
        </w:rPr>
        <w:t xml:space="preserve"> of the FBB Disclosure Schedule comprise all of the land, buildings, improvements, fixtures or other real property necessary for, and currently used by, the operation of the business of FBB and the FBB Subsidiaries. None of the FBB Owned Real Property or FBB Leased Real Property is used for any purpose other than the operation of the business of FBB and the FBB Subsidiaries. Neither FBB nor any of its Subsidiaries uses any land, buildings, improvements, fixtures or other real property for which ownership or a lease would ordinarily be required, other than that which is included in the definition of FBB Owned Real Property or FBB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FBB’s Knowledge, each FBB Owned Real Property and FBB Leased Real Property is supplied with utilities and other services reasonably necessary for the operation of the business of FBB and its Subsidiaries as currently conducted at each such FBB Owned Real Property and FBB Leased Real Property, and, to FBB’s Knowledge, no fact or condition exists that would result in the termination or impairment of the furnishing of service to any such FBB Owned Real Property or FBB Leased Real Property of water, sewer, gas, electric, telephone, drainage and other such utility services. To FBB’s Knowledge, the FBB Owned Real Property and FBB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FBB’s Knowledge, there are no material structural or other physical defects or deficiencies in the condition of the FBB Owned Real Property and FBB Leased Real Property, and there are no facts or conditions that would, individually or in the aggregate, materially interfere in any respect with the use or occupancy of such FBB Owned Real Property and FBB Leased Real Property or any portion thereof in the operation of the business of FBB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FBB nor any of its Subsidiaries has received any written notice from a Governmental Entity of any special Tax, levy or assessment for benefits or betterments that affect the FBB Owned Real Property or FBB Leased Real Property and no such special Taxes, levies or assessments are pending or contemplated. Neither the FBB Owned Real Property, the FBB Leased Real Property nor the use or occupancy thereof violates in any way any applicable permits, licenses, certificates of occupancy, covenants, conditions or restrictions, whether federal, state, local or private, and the FBB Owned Real Property or the FBB Leased Real Property or FBB or its applicable Subsidiary holding the fee, leasehold or other interest therein has received all required permits, certificates of occupancy, licenses, authorizations and approvals in connection with the use and occupancy thereof, whether in connection with the business of FBB, its Subsidiaries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Each FBB Owned Real Property and FBB Leased Real Property enjoys direct or indirect legal ingress and egress from dedicated public highways or streets, and no action has been instituted or is pending or threatened that would impair or curtail such legal ingress and egress and, to FBB’s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FBB nor any of its Subsidiaries has received any written notice from any insurance company or board of fire underwriters of any defects or inadequacies that could adversely affect the insurability of any FBB Owned Real Property or FBB Leased Real Property or requesting the performance of any material work or alteration with respect to any FBB Owned Real Property or FBB Leased Real Property. </w:t>
      </w:r>
    </w:p>
    <w:p>
      <w:pPr>
        <w:pStyle w:val="TextBody"/>
        <w:bidi w:val="0"/>
        <w:spacing w:before="240" w:after="0"/>
        <w:jc w:val="left"/>
        <w:rPr>
          <w:rFonts w:ascii="Times New Roman" w:hAnsi="Times New Roman"/>
          <w:sz w:val="20"/>
        </w:rPr>
      </w:pPr>
      <w:bookmarkStart w:id="164" w:name="anxa76201_61"/>
      <w:bookmarkEnd w:id="164"/>
      <w:r>
        <w:rPr>
          <w:rFonts w:ascii="Times New Roman" w:hAnsi="Times New Roman"/>
          <w:b/>
          <w:sz w:val="20"/>
        </w:rPr>
        <w:t xml:space="preserve">SECTION 4.22 </w:t>
      </w:r>
      <w:r>
        <w:rPr>
          <w:rFonts w:ascii="Times New Roman" w:hAnsi="Times New Roman"/>
          <w:b/>
          <w:sz w:val="20"/>
          <w:u w:val="single"/>
        </w:rPr>
        <w:t>Anti-Corruption Laws</w:t>
      </w:r>
      <w:r>
        <w:rPr>
          <w:rFonts w:ascii="Times New Roman" w:hAnsi="Times New Roman"/>
          <w:sz w:val="20"/>
        </w:rPr>
        <w:t xml:space="preserve">. None of FBB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Anti-Corruption Laws. Neither FBB nor any of its Subsidiaries is or has been the subject of any investigation or inquiry by any Governmental Entity with respect to potential violations of Anti-Corruption Laws. </w:t>
      </w:r>
    </w:p>
    <w:p>
      <w:pPr>
        <w:pStyle w:val="TextBody"/>
        <w:bidi w:val="0"/>
        <w:spacing w:before="240" w:after="0"/>
        <w:jc w:val="left"/>
        <w:rPr>
          <w:rFonts w:ascii="Times New Roman" w:hAnsi="Times New Roman"/>
          <w:sz w:val="20"/>
        </w:rPr>
      </w:pPr>
      <w:bookmarkStart w:id="165" w:name="anxa76201_62"/>
      <w:bookmarkEnd w:id="165"/>
      <w:r>
        <w:rPr>
          <w:rFonts w:ascii="Times New Roman" w:hAnsi="Times New Roman"/>
          <w:b/>
          <w:sz w:val="20"/>
        </w:rPr>
        <w:t xml:space="preserve">SECTION 4.23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4.23</w:t>
      </w:r>
      <w:r>
        <w:rPr>
          <w:rFonts w:ascii="Times New Roman" w:hAnsi="Times New Roman"/>
          <w:sz w:val="20"/>
        </w:rPr>
        <w:t xml:space="preserve"> of the FBB Disclosure Schedule contains a complete and accurate list of all material policies of fire, liability, workers’ compensation, title and other forms of insurance owned, held by or otherwise applicable, as of the date of this Agreement, to the assets, properties or operations of FBB and the FBB Subsidiaries, and FBB has heretofore made available to DXL and its Representatives a complete and accurate copy of all such policies, including all occurrence based policies applicable to the assets, properties or operations of FBB and the FBB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FBB and the FBB Subsidiaries with (i) all requirements of applicable Law and (ii) all Contracts to which any of FBB or any of the FBB Subsidiaries is a party, and each of FBB and each of the FBB Subsidiaries has complied in all material respects with the provisions of such policy under which FBB or such FBB Subsidiary, as applicable is an insured party. Neither FBB nor any of the FBB Subsidiaries is in default under any of such insurance policies, and there exists no event, occurrence, condition or act which, with the giving of notice, the lapse of time or the happening of any other event or condition, would become a default thereunder. Neither FBB nor any of the FBB Subsidiaries has been refused any insurance or suffered the cancellation of any insurance with respect to the assets, properties or operations of FBB or such FBB Subsidiary, as applicable, by any insurance carrier to which it has applied for any such insurance or with which it has carried insurance during the last five (5) years. There are no pending or, to the Knowledge of FBB, outstanding or reasonably anticipated material claims under any insurance policy. </w:t>
      </w:r>
    </w:p>
    <w:p>
      <w:pPr>
        <w:pStyle w:val="TextBody"/>
        <w:bidi w:val="0"/>
        <w:spacing w:before="240" w:after="0"/>
        <w:jc w:val="left"/>
        <w:rPr>
          <w:rFonts w:ascii="Times New Roman" w:hAnsi="Times New Roman"/>
          <w:sz w:val="20"/>
        </w:rPr>
      </w:pPr>
      <w:bookmarkStart w:id="166" w:name="anxa76201_63"/>
      <w:bookmarkEnd w:id="166"/>
      <w:r>
        <w:rPr>
          <w:rFonts w:ascii="Times New Roman" w:hAnsi="Times New Roman"/>
          <w:b/>
          <w:sz w:val="20"/>
        </w:rPr>
        <w:t xml:space="preserve">SECTION 4.24 </w:t>
      </w:r>
      <w:r>
        <w:rPr>
          <w:rFonts w:ascii="Times New Roman" w:hAnsi="Times New Roman"/>
          <w:b/>
          <w:sz w:val="20"/>
          <w:u w:val="single"/>
        </w:rPr>
        <w:t>Pre-Closing Investment</w:t>
      </w:r>
      <w:r>
        <w:rPr>
          <w:rFonts w:ascii="Times New Roman" w:hAnsi="Times New Roman"/>
          <w:sz w:val="20"/>
        </w:rPr>
        <w:t xml:space="preserve">. FBB has delivered to DXL true, correct and complete copies of any Commitment and Subscription Agreements that have been entered as of the date hereof. As of the date hereof, the Commitment and Subscription Agreement with each FBB Investor is in full force and effect and has not been withdrawn or terminated, or otherwise amended or modified, in any respect, and no withdrawal, termination, amendment or modification is contemplated by FBB. Each Commitment and Subscription Agreement is a legal, valid and binding obligation of FBB, enforceable against FBB in accordance with its terms subject to the Enforceability Exceptions and, to the Knowledge of FBB, is a legal, valid and binding obligation of each FBB Investor, enforceable against each FBB Investor in accordance with its terms subject to the Enforceability Exceptions. As of the date hereof, no event has occurred that, with or without notice, lapse of time or both, would constitute a default or breach on the part of FBB under any material term or condition of any Commitment and Subscription Agreement and, as of the date hereof, FBB has no reason to believe that it will be unable to satisfy in all material respects on a timely basis any term or condition of closing to be satisfied by it contained in any Commitment and Subscription Agreement. The Commitment and Subscription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 all of the conditions precedent to the obligations of the FBB Investors to purchase the shares of FBB Common Stock in the Pre-Closing Investment in the commitment amount set forth in the Commitment and Subscription Agreements on the terms therein. </w:t>
      </w:r>
    </w:p>
    <w:p>
      <w:pPr>
        <w:pStyle w:val="TextBody"/>
        <w:bidi w:val="0"/>
        <w:spacing w:before="240" w:after="0"/>
        <w:jc w:val="left"/>
        <w:rPr>
          <w:rFonts w:ascii="Times New Roman" w:hAnsi="Times New Roman"/>
          <w:sz w:val="20"/>
        </w:rPr>
      </w:pPr>
      <w:bookmarkStart w:id="167" w:name="anxa76201_64"/>
      <w:bookmarkEnd w:id="167"/>
      <w:r>
        <w:rPr>
          <w:rFonts w:ascii="Times New Roman" w:hAnsi="Times New Roman"/>
          <w:b/>
          <w:sz w:val="20"/>
        </w:rPr>
        <w:t xml:space="preserve">SECTION 4.25 </w:t>
      </w:r>
      <w:r>
        <w:rPr>
          <w:rFonts w:ascii="Times New Roman" w:hAnsi="Times New Roman"/>
          <w:b/>
          <w:sz w:val="20"/>
          <w:u w:val="single"/>
        </w:rPr>
        <w:t>FBB Stockholders</w:t>
      </w:r>
      <w:r>
        <w:rPr>
          <w:rFonts w:ascii="Times New Roman" w:hAnsi="Times New Roman"/>
          <w:sz w:val="20"/>
        </w:rPr>
        <w:t xml:space="preserve">. As of the date hereof and as of the Closing Date, there are, and will be, less than thirty (30) FBB Stockholders who are not “accredited investors” as defined in Rule 501(a) of Regulation D under the Securities Act. </w:t>
      </w:r>
    </w:p>
    <w:p>
      <w:pPr>
        <w:pStyle w:val="TextBody"/>
        <w:bidi w:val="0"/>
        <w:spacing w:before="240" w:after="0"/>
        <w:jc w:val="left"/>
        <w:rPr>
          <w:rFonts w:ascii="Times New Roman" w:hAnsi="Times New Roman"/>
          <w:sz w:val="20"/>
        </w:rPr>
      </w:pPr>
      <w:bookmarkStart w:id="168" w:name="anxa76201_65"/>
      <w:bookmarkEnd w:id="168"/>
      <w:r>
        <w:rPr>
          <w:rFonts w:ascii="Times New Roman" w:hAnsi="Times New Roman"/>
          <w:b/>
          <w:sz w:val="20"/>
        </w:rPr>
        <w:t xml:space="preserve">SECTION 4.26 </w:t>
      </w:r>
      <w:r>
        <w:rPr>
          <w:rFonts w:ascii="Times New Roman" w:hAnsi="Times New Roman"/>
          <w:b/>
          <w:sz w:val="20"/>
          <w:u w:val="single"/>
        </w:rPr>
        <w:t>No Other Representations or Warranties</w:t>
      </w:r>
      <w:r>
        <w:rPr>
          <w:rFonts w:ascii="Times New Roman" w:hAnsi="Times New Roman"/>
          <w:sz w:val="20"/>
        </w:rPr>
        <w:t xml:space="preserve">. Except for the express representations and warranties contained in this Agreement, none of FBB, any of its Subsidiaries, FBB’s Affiliates nor any other Person makes any express or implied representation or warranty on behalf of FBB, its Subsidiaries or FBB’s Affiliates or any other Person, and each of FBB, its Subsidiaries and FBB’s Affiliates hereby disclaims any such representation or warranty whether by FBB, its Subsidiaries or its Affiliates. FBB has not relied and is not relying on any statement, representation or warranty, oral or written, express or implied, made by DXL, Merger Sub or any of their Affiliates or Representatives, except as expressly set forth in </w:t>
      </w:r>
      <w:r>
        <w:rPr>
          <w:rFonts w:ascii="Times New Roman" w:hAnsi="Times New Roman"/>
          <w:sz w:val="20"/>
          <w:u w:val="single"/>
        </w:rPr>
        <w:t>Article III</w:t>
      </w:r>
      <w:r>
        <w:rPr>
          <w:rFonts w:ascii="Times New Roman" w:hAnsi="Times New Roman"/>
          <w:sz w:val="20"/>
        </w:rPr>
        <w:t xml:space="preserve"> and those certificates delivered by DXL pursuant to this Agreement. FBB has conducted its own independent investigation, review and analysis of, and reached its own independent conclusions regarding, the business, operations, assets, condition (financial or otherwise) and prospects of DXL and its Subsidiaries. FBB acknowledges that it and its Representatives have been provided adequate access to the personnel, properties, premises, records and other documents and information of and relating to DXL and its Subsidiaries for such purpose. </w:t>
      </w:r>
    </w:p>
    <w:p>
      <w:pPr>
        <w:pStyle w:val="TextBody"/>
        <w:bidi w:val="0"/>
        <w:spacing w:before="480" w:after="0"/>
        <w:jc w:val="center"/>
        <w:rPr>
          <w:rFonts w:ascii="Times New Roman" w:hAnsi="Times New Roman"/>
          <w:b/>
          <w:sz w:val="20"/>
        </w:rPr>
      </w:pPr>
      <w:bookmarkStart w:id="169" w:name="anxa76201_66"/>
      <w:bookmarkEnd w:id="169"/>
      <w:r>
        <w:rPr>
          <w:rFonts w:ascii="Times New Roman" w:hAnsi="Times New Roman"/>
          <w:b/>
          <w:sz w:val="20"/>
          <w:u w:val="single"/>
        </w:rPr>
        <w:t>ARTICLE V</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COVENANTS RELATING TO CONDUCT OF BUSINESS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70" w:name="anxa76201_67"/>
      <w:bookmarkEnd w:id="170"/>
      <w:r>
        <w:rPr>
          <w:rFonts w:ascii="Times New Roman" w:hAnsi="Times New Roman"/>
          <w:b/>
          <w:sz w:val="20"/>
        </w:rPr>
        <w:t xml:space="preserve">SECTION 5.01 </w:t>
      </w:r>
      <w:r>
        <w:rPr>
          <w:rFonts w:ascii="Times New Roman" w:hAnsi="Times New Roman"/>
          <w:b/>
          <w:sz w:val="20"/>
          <w:u w:val="single"/>
        </w:rPr>
        <w:t>Conduct of Businesses Prior to the Effective Time</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(i) as required by Law, (ii) as expressly contemplated or permitted by this Agreement, (iii) as specifically set forth in </w:t>
      </w:r>
      <w:r>
        <w:rPr>
          <w:rFonts w:ascii="Times New Roman" w:hAnsi="Times New Roman"/>
          <w:sz w:val="20"/>
          <w:u w:val="single"/>
        </w:rPr>
        <w:t>Section 5.01</w:t>
      </w:r>
      <w:r>
        <w:rPr>
          <w:rFonts w:ascii="Times New Roman" w:hAnsi="Times New Roman"/>
          <w:sz w:val="20"/>
        </w:rPr>
        <w:t xml:space="preserve"> of the DXL Disclosure Schedule or the FBB Disclosure Schedule, as applicable, (iv) as necessary to effectuate the items set forth in </w:t>
      </w:r>
      <w:r>
        <w:rPr>
          <w:rFonts w:ascii="Times New Roman" w:hAnsi="Times New Roman"/>
          <w:sz w:val="20"/>
          <w:u w:val="single"/>
        </w:rPr>
        <w:t>Section 6.19</w:t>
      </w:r>
      <w:r>
        <w:rPr>
          <w:rFonts w:ascii="Times New Roman" w:hAnsi="Times New Roman"/>
          <w:sz w:val="20"/>
        </w:rPr>
        <w:t xml:space="preserve"> or (v) as consented to in writing by the other party (such consent not to be unreasonably withheld, conditioned or delayed), each of DXL and FBB will, and will cause each of their respective Subsidiaries to, use commercially reasonable efforts to (a) conduct its business solely in the ordinary course of business consistent with past practice, (b) keep available the services of current officers and employees and (c) maintain and preserve intact its business organization and advantageous business relationships. Notwithstanding the foregoing provisions of this </w:t>
      </w:r>
      <w:r>
        <w:rPr>
          <w:rFonts w:ascii="Times New Roman" w:hAnsi="Times New Roman"/>
          <w:sz w:val="20"/>
          <w:u w:val="single"/>
        </w:rPr>
        <w:t>Section 5.01</w:t>
      </w:r>
      <w:r>
        <w:rPr>
          <w:rFonts w:ascii="Times New Roman" w:hAnsi="Times New Roman"/>
          <w:sz w:val="20"/>
        </w:rPr>
        <w:t xml:space="preserve">, (i) neither party will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in order to satisfy such party’s obligations under this </w:t>
      </w:r>
      <w:r>
        <w:rPr>
          <w:rFonts w:ascii="Times New Roman" w:hAnsi="Times New Roman"/>
          <w:sz w:val="20"/>
          <w:u w:val="single"/>
        </w:rPr>
        <w:t>Section 5.01</w:t>
      </w:r>
      <w:r>
        <w:rPr>
          <w:rFonts w:ascii="Times New Roman" w:hAnsi="Times New Roman"/>
          <w:sz w:val="20"/>
        </w:rPr>
        <w:t xml:space="preserve"> and (ii) each party shall be deemed not to have failed to satisfy its obligations under this </w:t>
      </w:r>
      <w:r>
        <w:rPr>
          <w:rFonts w:ascii="Times New Roman" w:hAnsi="Times New Roman"/>
          <w:sz w:val="20"/>
          <w:u w:val="single"/>
        </w:rPr>
        <w:t>Section 5.01</w:t>
      </w:r>
      <w:r>
        <w:rPr>
          <w:rFonts w:ascii="Times New Roman" w:hAnsi="Times New Roman"/>
          <w:sz w:val="20"/>
        </w:rPr>
        <w:t xml:space="preserve"> to the extent such failure resulted, directly or indirectly, from such party’s failure to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where consent for such action hereunder was requested in writing and not given by the other party. </w:t>
      </w:r>
    </w:p>
    <w:p>
      <w:pPr>
        <w:pStyle w:val="TextBody"/>
        <w:bidi w:val="0"/>
        <w:spacing w:before="240" w:after="0"/>
        <w:jc w:val="left"/>
        <w:rPr>
          <w:rFonts w:ascii="Times New Roman" w:hAnsi="Times New Roman"/>
          <w:sz w:val="20"/>
        </w:rPr>
      </w:pPr>
      <w:bookmarkStart w:id="171" w:name="anxa76201_68"/>
      <w:bookmarkEnd w:id="171"/>
      <w:r>
        <w:rPr>
          <w:rFonts w:ascii="Times New Roman" w:hAnsi="Times New Roman"/>
          <w:b/>
          <w:sz w:val="20"/>
        </w:rPr>
        <w:t xml:space="preserve">SECTION 5.02 </w:t>
      </w:r>
      <w:r>
        <w:rPr>
          <w:rFonts w:ascii="Times New Roman" w:hAnsi="Times New Roman"/>
          <w:b/>
          <w:sz w:val="20"/>
          <w:u w:val="single"/>
        </w:rPr>
        <w:t>DXL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specifically set forth in </w:t>
      </w:r>
      <w:r>
        <w:rPr>
          <w:rFonts w:ascii="Times New Roman" w:hAnsi="Times New Roman"/>
          <w:sz w:val="20"/>
          <w:u w:val="single"/>
        </w:rPr>
        <w:t>Section 5.02</w:t>
      </w:r>
      <w:r>
        <w:rPr>
          <w:rFonts w:ascii="Times New Roman" w:hAnsi="Times New Roman"/>
          <w:sz w:val="20"/>
        </w:rPr>
        <w:t xml:space="preserve"> of the DXL Disclosure Schedule or as consented to in writing by FBB (such consent not to be unreasonably withheld, conditioned or delayed), DXL will not, and will not permit any of the DXL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(including interest) on, or directly or indirectly redeem, purchase or otherwise acquire, any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DXL or any DXL Subsidiary or any DXL Voting Debt or (ii) any rights that are linked in any way to the price of any share capital of, or to the value of or of any part of, or to any dividends or distributions paid on any share capital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DXL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DXL may engage independent contractors who are natural persons who are terminable at will within fourteen (14) days notice; and provided, further, that the aggregate annualized compensation or wage rate for all such hires may not exceed $500,000, (iii) enter into, establish, adopt, amend or terminate any DXL Benefit Plan other than as required by applicable Law or pursuant to the terms of such DXL Benefit Plan as in effect on the date of this Agreement; </w:t>
      </w:r>
      <w:r>
        <w:rPr>
          <w:rFonts w:ascii="Times New Roman" w:hAnsi="Times New Roman"/>
          <w:sz w:val="20"/>
          <w:u w:val="single"/>
        </w:rPr>
        <w:t>provided</w:t>
      </w:r>
      <w:r>
        <w:rPr>
          <w:rFonts w:ascii="Times New Roman" w:hAnsi="Times New Roman"/>
          <w:sz w:val="20"/>
        </w:rPr>
        <w:t xml:space="preserve">, however, that DXL may amend any DXL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DXL Benefit Plan, (v) terminate the employment or services of any DXL Restricted Employee, other than for cause, (vi) hire or promote any individual who would be a DXL Restricted Employee, other than as a replacement hire receiving substantially similar terms of employment as the departed employee, (vii) change any actuarial or other assumptions used to calculate funding obligations with respect to any DXL Benefit Plan or change the manner in which contributions to such plans are made or the basis on which such contributions are determined, except as may be required by GAAP, (viii) pay, grant or award any DXL equity awards or other incentive awards, or (ix) loan or advance any money or other property to any current or former employee or other service provider of DXL or any DXL Subsidiary (other than advances for reimbursable employee expenses in the ordinary course of business and in accordance with DXL’s expense reimbursement policies); </w:t>
      </w:r>
    </w:p>
    <w:p>
      <w:pPr>
        <w:pStyle w:val="TextBody"/>
        <w:bidi w:val="0"/>
        <w:spacing w:before="240" w:after="0"/>
        <w:jc w:val="left"/>
        <w:rPr>
          <w:rFonts w:ascii="Times New Roman" w:hAnsi="Times New Roman"/>
          <w:sz w:val="20"/>
        </w:rPr>
      </w:pPr>
      <w:r>
        <w:rPr>
          <w:rFonts w:ascii="Times New Roman" w:hAnsi="Times New Roman"/>
          <w:sz w:val="20"/>
        </w:rPr>
        <w:t xml:space="preserve">(e)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DXL, any DXL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(f) effectuate (i) a “plant closing” (as defined in WARN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(g) (i) sell, transfer, mortgage, encumber or otherwise dispose of any of its tangible properties or assets in any transaction or series of transactions to any Person other than DXL or a DXL Subsidiary, other than in the ordinary course of business consistent with past practice, or (ii) cancel, release or assign to any such Person any material Indebtedness or any material claim held by DXL or any DXL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sell, transfer, assign, pledge, license, convey, subject to any Lien (other than Permitted Liens) or otherwise dispose of any DXL IP Rights, in each case, other than non-exclusive licenses of Intellectual Property Rights granted to a contractor or service provider of DXL or its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change or amend any data privacy or information security policies or practices of DXL or the DXL Subsidiaries,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(j)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settle any claim, action or proceeding if such settlement would require any payment by DXL or any DXL Subsidiary of an amount in excess of $100,000 individually or $250,000 in the aggregate, or would obligate DXL or any DXL Subsidiary to admit any wrongdoing, to grant any material rights (other than agreement to pay the cash settlement amount agreed upon), to take any material action or impose any material restrictions or material liabilities on the business of DXL or any of the DXL Subsidiaries, or would not provide DXL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(l) 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other than as set forth in the DXL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(n) (i) amend the DXL Charter (or the organizational documents of any DXL Subsidiary), except as contemplated by </w:t>
      </w:r>
      <w:r>
        <w:rPr>
          <w:rFonts w:ascii="Times New Roman" w:hAnsi="Times New Roman"/>
          <w:sz w:val="20"/>
          <w:u w:val="single"/>
        </w:rPr>
        <w:t>Section 6.09</w:t>
      </w:r>
      <w:r>
        <w:rPr>
          <w:rFonts w:ascii="Times New Roman" w:hAnsi="Times New Roman"/>
          <w:sz w:val="20"/>
        </w:rPr>
        <w:t xml:space="preserve"> or otherwise as specifically set forth in this Agreement, or (ii) otherwise take any action to exempt any Person (other than FBB), or any action taken by any such Person, from any Takeover Statute or similarly restrictive provisions of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(o) (x) implement or adopt any material change in its Tax accounting or financial accounting policies, practices or methods, other than as may be required by applicable Law or GAAP or regulatory guidelines or to consummate the Transactions or (y) make, change or revoke any material Tax election, except, in the case of each of clauses (x) and (y),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fail to keep or cause to be kept its material existing insurance policies (or substantial equivalents) in such amounts substantially as in force as of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(q) agree, commit, resolve or propose to take any of the actions prohibited by this </w:t>
      </w:r>
      <w:r>
        <w:rPr>
          <w:rFonts w:ascii="Times New Roman" w:hAnsi="Times New Roman"/>
          <w:sz w:val="20"/>
          <w:u w:val="single"/>
        </w:rPr>
        <w:t>Section 5.02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2" w:name="anxa76201_69"/>
      <w:bookmarkEnd w:id="172"/>
      <w:r>
        <w:rPr>
          <w:rFonts w:ascii="Times New Roman" w:hAnsi="Times New Roman"/>
          <w:b/>
          <w:sz w:val="20"/>
        </w:rPr>
        <w:t xml:space="preserve">SECTION 5.03 </w:t>
      </w:r>
      <w:r>
        <w:rPr>
          <w:rFonts w:ascii="Times New Roman" w:hAnsi="Times New Roman"/>
          <w:b/>
          <w:sz w:val="20"/>
          <w:u w:val="single"/>
        </w:rPr>
        <w:t>FBB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necessary to effectuate the items set forth in </w:t>
      </w:r>
      <w:r>
        <w:rPr>
          <w:rFonts w:ascii="Times New Roman" w:hAnsi="Times New Roman"/>
          <w:sz w:val="20"/>
          <w:u w:val="single"/>
        </w:rPr>
        <w:t>Section 6.19,</w:t>
      </w:r>
      <w:r>
        <w:rPr>
          <w:rFonts w:ascii="Times New Roman" w:hAnsi="Times New Roman"/>
          <w:sz w:val="20"/>
        </w:rPr>
        <w:t xml:space="preserve"> as specifically set forth in </w:t>
      </w:r>
      <w:r>
        <w:rPr>
          <w:rFonts w:ascii="Times New Roman" w:hAnsi="Times New Roman"/>
          <w:sz w:val="20"/>
          <w:u w:val="single"/>
        </w:rPr>
        <w:t>Section 5.03</w:t>
      </w:r>
      <w:r>
        <w:rPr>
          <w:rFonts w:ascii="Times New Roman" w:hAnsi="Times New Roman"/>
          <w:sz w:val="20"/>
        </w:rPr>
        <w:t xml:space="preserve"> of the FBB Disclosure Schedule or as consented to in writing by DXL (such consent not to be unreasonably withheld, conditioned or delayed), FBB will not, and will not permit any of the FBB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in each case, except for (i) borrowings under credit facilities existing as of the date hereof, including that certain ABL Credit Agreement, dated as of July 30, 2019 (as amended), in accordance with the terms thereof and in the ordinary course of business for working capital management; (ii) among FBB and its wholly owned FBB Subsidiaries entered into in the ordinary course of business; and (iii) letters of credit or performance bonds entered into in connection with customer orders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on, or directly or indirectly redeem, purchase or otherwise acquire, any of its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FBB or any FBB Subsidiary or any FBB Voting Debt or (ii) any rights that are linked in any way to the price of any share capital of, or to the value of or of any part of, or to any dividends or distributions paid on any share capital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FBB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FBB may engage independent contractors who are natural persons who are terminable at will with fourteen (14) days notice; and provided, further, that the aggregate annualized compensation or wage rate for all such hires may not exceed $500,000, (iii) enter into, establish, adopt, amend or terminate any FBB Benefit Plan other than as required by applicable Law or pursuant to the terms of such FBB Benefit Plan as in effect on the date of this Agreement; provided, however, that FBB may amend any FBB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FBB Benefit Plan, (v) terminate the employment or services of any FBB Restricted Employee, other than for cause, (vi) hire or promote any individual who would be an FBB Restricted Employee, other than as a replacement hire receiving substantially similar terms of employment as the departed employee, (vii) change any actuarial or other assumptions used to calculate funding obligations with respect to any FBB Benefit Plan or change the manner in which contributions to such plans are made or the basis on which such contributions are determined, except as may be required by GAAP, (viii) pay, grant or award any FBB equity awards or other incentive awards, or (ix) loan or advance any money or other property to any current or former employee or other service provider of FBB or any FBB Subsidiary (other than advances for reimbursable employee expenses in the ordinary course of business and in accordance with FBB’s expense reimbursement policies);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FBB, any FBB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(e) effectuate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(f) (i) sell, transfer, mortgage, encumber or otherwise dispose of any of its tangible properties or assets in any transaction or series of transactions to any Person other than FBB or an FBB Subsidiary, other than in the ordinary course of business consistent with past practice, or (ii) cancel, release or assign to any such Person any material Indebtedness or any material claim held by FBB or any FBB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(g) sell, transfer, assign, pledge, license, convey, subject to any Lien (other than Permitted Liens) or otherwise dispose of any FBB IP Rights, in each case, other than non-exclusive licenses of Intellectual Property Rights granted to a contractor or service provider of FBB or its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change or amend any data privacy or information security policies or practices of FBB or the FBB Subsidiaries,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settle any claim, action or proceeding if such settlement would require any payment by FBB or any FBB Subsidiary of an amount in excess of $100,000 individually or $250,000 in the aggregate, or would obligate FBB or any FBB Subsidiary to admit any wrongdoing, to grant any material rights (other than agreement to pay the cash settlement amount agreed upon), to take any material action or impose any material restrictions or material liabilities on the business of FBB or any of the FBB Subsidiaries, or would not provide FBB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(k) other than in the ordinary course of business consistent with past practice, directly or indirectly make, or agree to directly or indirectly make, any acquisition or investment either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(l) other than as set forth in the FBB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(m) amend the FBB Charter in a manner that would reasonably be expected to prevent or hinder or delay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(n) (i) implement or adopt any material change in its Tax accounting or financial accounting policies, practices or methods, other than as may be required by applicable Law or GAAP or regulatory guidelines or to consummate the Transactions or (ii) make, change or revoke any material Tax election, except, in the case of each of clauses (i) and (ii),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 fail to keep or cause to be kept its material existing insurance policies (or substantial equivalents) in such amounts substantially as in force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(p) agree, commit, resolve or propose to take any of the actions prohibited by this </w:t>
      </w:r>
      <w:r>
        <w:rPr>
          <w:rFonts w:ascii="Times New Roman" w:hAnsi="Times New Roman"/>
          <w:sz w:val="20"/>
          <w:u w:val="single"/>
        </w:rPr>
        <w:t>Section 5.03</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3" w:name="anxa76201_70"/>
      <w:bookmarkEnd w:id="173"/>
      <w:r>
        <w:rPr>
          <w:rFonts w:ascii="Times New Roman" w:hAnsi="Times New Roman"/>
          <w:b/>
          <w:sz w:val="20"/>
        </w:rPr>
        <w:t xml:space="preserve">SECTION 5.04 </w:t>
      </w:r>
      <w:r>
        <w:rPr>
          <w:rFonts w:ascii="Times New Roman" w:hAnsi="Times New Roman"/>
          <w:b/>
          <w:sz w:val="20"/>
          <w:u w:val="single"/>
        </w:rPr>
        <w:t>Control of Other Party’s Business</w:t>
      </w:r>
      <w:r>
        <w:rPr>
          <w:rFonts w:ascii="Times New Roman" w:hAnsi="Times New Roman"/>
          <w:sz w:val="20"/>
        </w:rPr>
        <w:t xml:space="preserve">. Nothing contained in this Agreement will give DXL, directly or indirectly, the right to control FBB or direct the business or operations of FBB prior to the Effective Time. Nothing contained in this Agreement will give FBB, directly or indirectly, the right to control DXL or any of the DXL Subsidiaries or direct the business or operations of DXL or any of the DXL Subsidiaries prior to the Effective Time. Prior to the Effective Time, each of DXL and FBB will exercise, consistent with the terms and conditions of this Agreement, complete control and supervision over its operations and the operations of its Subsidiaries. Nothing in this Agreement, including any of the actions, rights or restrictions set forth herein, will be interpreted in such a way as to place FBB or DXL in violation of any rule, regulation or policy of any Regulatory Agency or applicable Law. </w:t>
      </w:r>
    </w:p>
    <w:p>
      <w:pPr>
        <w:pStyle w:val="TextBody"/>
        <w:bidi w:val="0"/>
        <w:spacing w:before="240" w:after="0"/>
        <w:jc w:val="left"/>
        <w:rPr>
          <w:rFonts w:ascii="Times New Roman" w:hAnsi="Times New Roman"/>
          <w:sz w:val="20"/>
        </w:rPr>
      </w:pPr>
      <w:bookmarkStart w:id="174" w:name="anxa76201_71"/>
      <w:bookmarkEnd w:id="174"/>
      <w:r>
        <w:rPr>
          <w:rFonts w:ascii="Times New Roman" w:hAnsi="Times New Roman"/>
          <w:b/>
          <w:sz w:val="20"/>
        </w:rPr>
        <w:t xml:space="preserve">SECTION 5.05 </w:t>
      </w:r>
      <w:r>
        <w:rPr>
          <w:rFonts w:ascii="Times New Roman" w:hAnsi="Times New Roman"/>
          <w:b/>
          <w:sz w:val="20"/>
          <w:u w:val="single"/>
        </w:rPr>
        <w:t>FBB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an FBB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(iii) execute or enter into any letter of intent, memorandum of understanding, agreement in principle, acquisition agreement, merger agreement, option or any other agreement (other than an Acceptable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regarding, or that is intended to result in, or would reasonably be expected to lead to, any FBB Takeover Proposal. FBB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an “</w:t>
      </w:r>
      <w:r>
        <w:rPr>
          <w:rFonts w:ascii="Times New Roman" w:hAnsi="Times New Roman"/>
          <w:sz w:val="20"/>
          <w:u w:val="single"/>
        </w:rPr>
        <w:t>FBB Takeover Proposal</w:t>
      </w:r>
      <w:r>
        <w:rPr>
          <w:rFonts w:ascii="Times New Roman" w:hAnsi="Times New Roman"/>
          <w:sz w:val="20"/>
        </w:rPr>
        <w:t xml:space="preserve">” means, in each case other than an Excluded Transaction,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thereof), (ii) direct or indirect acquisition or sale of outstanding or newly issued FBB Common Stock or other securities of FBB (including any outstanding or newly issued options, rights or warrants to purchase, or securities convertible into or exchangeable for, FBB Common Stock or other securities representing such voting power) representing (after giving effect to such acquisition) 20% or more of the outstanding FBB Common Stock or of the outstanding voting power of FBB, or any other direct or indirect acquisition of 20% or more of the outstanding voting power of FBB,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For the avoidance of doubt, neither the Merger nor the other Transactions shall be deemed an FBB Takeover Proposal. Wherever the term “group” is used in this </w:t>
      </w:r>
      <w:r>
        <w:rPr>
          <w:rFonts w:ascii="Times New Roman" w:hAnsi="Times New Roman"/>
          <w:sz w:val="20"/>
          <w:u w:val="single"/>
        </w:rPr>
        <w:t>Section 5.05</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(c) As used in this Agreement, an “</w:t>
      </w:r>
      <w:r>
        <w:rPr>
          <w:rFonts w:ascii="Times New Roman" w:hAnsi="Times New Roman"/>
          <w:sz w:val="20"/>
          <w:u w:val="single"/>
        </w:rPr>
        <w:t>Excluded Transaction</w:t>
      </w:r>
      <w:r>
        <w:rPr>
          <w:rFonts w:ascii="Times New Roman" w:hAnsi="Times New Roman"/>
          <w:sz w:val="20"/>
        </w:rPr>
        <w:t xml:space="preserve">” means any direct or indirect acquisition or sale of outstanding or newly issued FBB Common Stock by FBB, including pursuant to the Pre-Closing Investment (and which FBB Common Stock, for the avoidance of doubt, shall be issued prior to the Merger and be converted into the Merger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(d) FBB will promptly (but in any event within forty-eight (48) hours) (i) notify DXL in writing in the event that FBB or any of its Subsidiaries or Representatives receives an FBB Takeover Proposal (including an FBB Takeover Proposal received by any FBB stockholder and forwarded to FBB or any of its Subsidiaries or Representatives) and (ii) provide to DXL (x) an unredacted copy of any such FBB Takeover Proposal made in writing (including any financing commitments or other agreements related thereto) and unredacted copies of all other material written materials constituting or containing terms or conditions with respect to such FBB Takeover Proposal exchanged between FBB (or any of its Subsidiaries or Representatives) and such Person (or any of its Affiliates or its or their Representatives) or otherwise received by FBB (or any of its Subsidiaries or Representatives or any stockholder of FBB), in each case in connection with such FBB Takeover Proposal (except for redactions of proprietary information of such Person that does not relate to the material terms or conditions of such FBB Takeover Proposal) and (y) a written summary of all material terms and conditions of any such FBB Takeover Proposal to the extent not made in writing (and in each case including the identity of the Person or group making such FBB Takeover Proposal). From and after such notification, FBB will keep DXL informed on a prompt basis (and in any event within forty-eight (48) hours) of any material developments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any such FBB Takeover Proposal (including any changes to the material terms or conditions thereof) or any material substantive discussions or negotiations relating thereto. FBB will not, and will cause its Subsidiaries not to, enter into any confidentiality or similar agreement with any Person that prohibits FBB from providing to DXL any of the information required to be provided to DXL under this </w:t>
      </w:r>
      <w:r>
        <w:rPr>
          <w:rFonts w:ascii="Times New Roman" w:hAnsi="Times New Roman"/>
          <w:sz w:val="20"/>
          <w:u w:val="single"/>
        </w:rPr>
        <w:t>Section 5.05</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(e) It is understood and agreed that any violation of this </w:t>
      </w:r>
      <w:r>
        <w:rPr>
          <w:rFonts w:ascii="Times New Roman" w:hAnsi="Times New Roman"/>
          <w:sz w:val="20"/>
          <w:u w:val="single"/>
        </w:rPr>
        <w:t>Section 5.05</w:t>
      </w:r>
      <w:r>
        <w:rPr>
          <w:rFonts w:ascii="Times New Roman" w:hAnsi="Times New Roman"/>
          <w:sz w:val="20"/>
        </w:rPr>
        <w:t xml:space="preserve"> by any of FBB’s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05 by FBB. </w:t>
      </w:r>
    </w:p>
    <w:p>
      <w:pPr>
        <w:pStyle w:val="TextBody"/>
        <w:bidi w:val="0"/>
        <w:spacing w:before="240" w:after="0"/>
        <w:jc w:val="left"/>
        <w:rPr>
          <w:rFonts w:ascii="Times New Roman" w:hAnsi="Times New Roman"/>
          <w:sz w:val="20"/>
        </w:rPr>
      </w:pPr>
      <w:bookmarkStart w:id="175" w:name="anxa76201_72"/>
      <w:bookmarkEnd w:id="175"/>
      <w:r>
        <w:rPr>
          <w:rFonts w:ascii="Times New Roman" w:hAnsi="Times New Roman"/>
          <w:b/>
          <w:sz w:val="20"/>
        </w:rPr>
        <w:t xml:space="preserve">SECTION 5.06 </w:t>
      </w:r>
      <w:r>
        <w:rPr>
          <w:rFonts w:ascii="Times New Roman" w:hAnsi="Times New Roman"/>
          <w:b/>
          <w:sz w:val="20"/>
          <w:u w:val="single"/>
        </w:rPr>
        <w:t>DXL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DXL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 DXL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(other than upon receipt of a bona fide, unsolicited written DXL Takeover Proposal from any Person that did not result from a breach of this </w:t>
      </w:r>
      <w:r>
        <w:rPr>
          <w:rFonts w:ascii="Times New Roman" w:hAnsi="Times New Roman"/>
          <w:sz w:val="20"/>
          <w:u w:val="single"/>
        </w:rPr>
        <w:t>Section 5.06</w:t>
      </w:r>
      <w:r>
        <w:rPr>
          <w:rFonts w:ascii="Times New Roman" w:hAnsi="Times New Roman"/>
          <w:sz w:val="20"/>
        </w:rPr>
        <w:t xml:space="preserve">, solely to the extent necessary to ascertain facts or clarify terms with respect to a DXL Takeover Proposal for the DXL Board to be able to have sufficient information to make the determination described in </w:t>
      </w:r>
      <w:r>
        <w:rPr>
          <w:rFonts w:ascii="Times New Roman" w:hAnsi="Times New Roman"/>
          <w:sz w:val="20"/>
          <w:u w:val="single"/>
        </w:rPr>
        <w:t>Section 5.06(d)</w:t>
      </w:r>
      <w:r>
        <w:rPr>
          <w:rFonts w:ascii="Times New Roman" w:hAnsi="Times New Roman"/>
          <w:sz w:val="20"/>
        </w:rPr>
        <w:t>) or (iii) 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(a “</w:t>
      </w:r>
      <w:r>
        <w:rPr>
          <w:rFonts w:ascii="Times New Roman" w:hAnsi="Times New Roman"/>
          <w:sz w:val="20"/>
          <w:u w:val="single"/>
        </w:rPr>
        <w:t>DXL Acquisition Agreement</w:t>
      </w:r>
      <w:r>
        <w:rPr>
          <w:rFonts w:ascii="Times New Roman" w:hAnsi="Times New Roman"/>
          <w:sz w:val="20"/>
        </w:rPr>
        <w:t xml:space="preserve">”). DXL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 “</w:t>
      </w:r>
      <w:r>
        <w:rPr>
          <w:rFonts w:ascii="Times New Roman" w:hAnsi="Times New Roman"/>
          <w:sz w:val="20"/>
          <w:u w:val="single"/>
        </w:rPr>
        <w:t>DXL Takeover Proposal</w:t>
      </w:r>
      <w:r>
        <w:rPr>
          <w:rFonts w:ascii="Times New Roman" w:hAnsi="Times New Roman"/>
          <w:sz w:val="20"/>
        </w:rPr>
        <w:t xml:space="preserve">”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thereof), (ii) direct or indirect acquisition or sale of outstanding or newly issued DXL Common Stock or other securities of DXL (including any outstanding or newly issued options, rights or warrants to purchase, or securities convertible into or exchangeable for, DXL Common Stock or other securities representing such voting power) representing (after giving effect to such acquisition) 20% or more of the outstanding DXL Common Stock or of the outstanding voting power of DXL, or any other direct or indirect acquisition of 20% or more of the outstanding voting power of DXL,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power). For the avoidance of doubt, neither the Merger nor the other Transactions shall be deemed a DXL Takeover Proposal. Wherever the term “group” is used in this </w:t>
      </w:r>
      <w:r>
        <w:rPr>
          <w:rFonts w:ascii="Times New Roman" w:hAnsi="Times New Roman"/>
          <w:sz w:val="20"/>
          <w:u w:val="single"/>
        </w:rPr>
        <w:t>Section 5.06</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DXL will promptly (but in any event within forty-eight (48) hours) (i) notify FBB in writing in the event that DXL or any of its Subsidiaries or Representatives receives a DXL Takeover Proposal (including a DXL Takeover Proposal received by any DXL stockholder and forwarded to DXL or any of its Subsidiaries or Representatives) and (ii) provide to FBB (x) an unredacted copy of any such DXL Takeover Proposal made in writing (including any financing commitments or other agreements related thereto) and unredacted copies of all other material written materials constituting or containing terms or conditions with respect to such DXL Takeover Proposal exchanged between DXL (or any of its Subsidiaries or Representatives) and such Person (or any of its Affiliates or its or their Representatives) or otherwise received by DXL (or any of its Subsidiaries or Representatives or any stockholder of DXL), in each case in connection with such DXL Takeover Proposal (except for redactions of proprietary information of such Person that does not relate to the material terms or conditions of such DXL Takeover Proposal) and (y) a written summary of all material terms and conditions of any such DXL Takeover Proposal to the extent not made in writing (and in each case including the identity of the Person or group making such DXL Takeover Proposal). From and after such notification, DXL will keep FBB informed on a prompt basis (and in any event within forty-eight (48) hours) of any material developments with respect to any such DXL Takeover Proposal (including any changes to the material terms or conditions thereof) or any material substantive discussions or negotiations relating thereto. DXL will not, and will cause its Subsidiaries not to, enter into any confidentiality or similar agreement with any Person that prohibits DXL from providing to FBB any of the information required to be provided to FBB under this </w:t>
      </w:r>
      <w:r>
        <w:rPr>
          <w:rFonts w:ascii="Times New Roman" w:hAnsi="Times New Roman"/>
          <w:sz w:val="20"/>
          <w:u w:val="single"/>
        </w:rPr>
        <w:t>Section 5.06</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contained in this </w:t>
      </w:r>
      <w:r>
        <w:rPr>
          <w:rFonts w:ascii="Times New Roman" w:hAnsi="Times New Roman"/>
          <w:sz w:val="20"/>
          <w:u w:val="single"/>
        </w:rPr>
        <w:t>Section 5.06</w:t>
      </w:r>
      <w:r>
        <w:rPr>
          <w:rFonts w:ascii="Times New Roman" w:hAnsi="Times New Roman"/>
          <w:sz w:val="20"/>
        </w:rPr>
        <w:t xml:space="preserve"> to the contrary, if at any time prior to obtaining the Required DXL Stockholder Vote, the DXL stockholders, DXL or any of its Subsidiaries or Representatives receives a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the DXL Board or any committee thereof determines in good faith, after consultation with its financial advisor and outside counsel, that such DXL Takeover Proposal constitutes or would reasonably likely lead to a DXL Superior Proposal and the failure to take the actions in (x) or (y) below regarding such DXL Takeover Proposal would reasonably be expected to violate the fiduciary duties of DXL’s directors under applicable Law, then DXL, its Subsidiaries and its Representatives may, following written notice to FBB, (x) enter into an Acceptable Confidentiality Agreement with the Person or group making the DXL Takeover Proposal and thereafter furnish pursuant to such Acceptable Confidentiality Agreement information (including non-public information) with respect to DXL and its Subsidiaries to the Person or group making such DXL Takeover Proposal; provided, that DXL shall promptly (but in any event within forty-eight (48) hours) provide to FBB any written information that is provided to any Person or group given such access which was not previously provided to FBB and (y) engage in or otherwise participate in discussions or negotiations with the Person or group making such DXL Takeover Proposal. </w:t>
      </w:r>
    </w:p>
    <w:p>
      <w:pPr>
        <w:pStyle w:val="TextBody"/>
        <w:bidi w:val="0"/>
        <w:spacing w:before="240" w:after="0"/>
        <w:jc w:val="left"/>
        <w:rPr>
          <w:rFonts w:ascii="Times New Roman" w:hAnsi="Times New Roman"/>
          <w:sz w:val="20"/>
        </w:rPr>
      </w:pPr>
      <w:r>
        <w:rPr>
          <w:rFonts w:ascii="Times New Roman" w:hAnsi="Times New Roman"/>
          <w:sz w:val="20"/>
        </w:rPr>
        <w:t>(e) For purposes of this Agreement, the term “</w:t>
      </w:r>
      <w:r>
        <w:rPr>
          <w:rFonts w:ascii="Times New Roman" w:hAnsi="Times New Roman"/>
          <w:sz w:val="20"/>
          <w:u w:val="single"/>
        </w:rPr>
        <w:t>DXL Superior Proposal</w:t>
      </w:r>
      <w:r>
        <w:rPr>
          <w:rFonts w:ascii="Times New Roman" w:hAnsi="Times New Roman"/>
          <w:sz w:val="20"/>
        </w:rPr>
        <w:t xml:space="preserve">” means any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made by a third party and which, if consummated, would result in such third party (or in the case of a direct merger between such third party or an Affiliate of such third party and DXL, the stockholders of such third party) acquiring, directly or indirectly, more than 50% of the voting power of DXL and the issued and outstanding DXL Capital Stock or more than 50% of the consolidated assets of DXL and its Subsidiaries (based on the fair market value thereof), including in any such case through the acquisition of one or more DXL Subsidiaries owning such assets, for consideration consisting of cash and/or securities that the DXL Board or any committee thereof determines in good faith (after consultation with its financial advisor and outside counsel) would be more favorable from a financial point of view to DXL’s stockholders (in their capacities as such) than the Transactions, taking into account (i) any changes to the terms of the Transactions irrevocably and timely proposed by FBB in response to such offer, (ii) all legal, regulatory, financial and other aspects of such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of this Agreement deemed relevant by the DXL Board or any such committee in good faith and (iii) the obligation to pay the DXL Termination Fee. </w:t>
      </w:r>
    </w:p>
    <w:p>
      <w:pPr>
        <w:pStyle w:val="TextBody"/>
        <w:bidi w:val="0"/>
        <w:spacing w:before="240" w:after="0"/>
        <w:jc w:val="left"/>
        <w:rPr>
          <w:rFonts w:ascii="Times New Roman" w:hAnsi="Times New Roman"/>
          <w:sz w:val="20"/>
        </w:rPr>
      </w:pPr>
      <w:r>
        <w:rPr>
          <w:rFonts w:ascii="Times New Roman" w:hAnsi="Times New Roman"/>
          <w:sz w:val="20"/>
        </w:rPr>
        <w:t>(f) Neither the DXL Board nor any committee thereof will (i) withhold, withdraw or modify in a manner adverse to FBB the recommendation to stockholders of DXL that they give the Required DXL Stockholder Vote, (ii) recommend or approve the approval of, or publicly propose to recommend or approve the approval of, any DXL Takeover Proposal, (iii) refrain from recommending against any DXL Takeover Proposal that is a tender offer or exchange offer within ten (10) Business Days after the commencement thereof (each such action set forth in clauses (i), (ii) and (iii) being referred to herein as a “</w:t>
      </w:r>
      <w:r>
        <w:rPr>
          <w:rFonts w:ascii="Times New Roman" w:hAnsi="Times New Roman"/>
          <w:sz w:val="20"/>
          <w:u w:val="single"/>
        </w:rPr>
        <w:t>DXL Adverse Recommendation Change</w:t>
      </w:r>
      <w:r>
        <w:rPr>
          <w:rFonts w:ascii="Times New Roman" w:hAnsi="Times New Roman"/>
          <w:sz w:val="20"/>
        </w:rPr>
        <w:t xml:space="preserve">”) or (iv) enter into or propose publicly to execute or enter into (or cause or permit DXL or any of its Subsidiaries to execute or enter into or propose publicly to execute or enter into) a DXL Acquisition Agreement (other than any Acceptable Confidentiality Agreement entered into in accordance with this </w:t>
      </w:r>
      <w:r>
        <w:rPr>
          <w:rFonts w:ascii="Times New Roman" w:hAnsi="Times New Roman"/>
          <w:sz w:val="20"/>
          <w:u w:val="single"/>
        </w:rPr>
        <w:t>Section 5.06</w:t>
      </w:r>
      <w:r>
        <w:rPr>
          <w:rFonts w:ascii="Times New Roman" w:hAnsi="Times New Roman"/>
          <w:sz w:val="20"/>
        </w:rPr>
        <w:t xml:space="preserve">). Notwithstanding anything to the contrary in this </w:t>
      </w:r>
      <w:r>
        <w:rPr>
          <w:rFonts w:ascii="Times New Roman" w:hAnsi="Times New Roman"/>
          <w:sz w:val="20"/>
          <w:u w:val="single"/>
        </w:rPr>
        <w:t>Section 5.06,</w:t>
      </w:r>
      <w:r>
        <w:rPr>
          <w:rFonts w:ascii="Times New Roman" w:hAnsi="Times New Roman"/>
          <w:sz w:val="20"/>
        </w:rPr>
        <w:t xml:space="preserve"> prior to the time the Required DXL Stockholder Vote is obtained, but not after, the DXL Board or any committee thereof may (I) make a DXL Adverse Recommendation Change or (II) cause DXL to enter into a DXL Acquisition Agreement with respect to a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terminate this Agreement pursuant to </w:t>
      </w:r>
      <w:r>
        <w:rPr>
          <w:rFonts w:ascii="Times New Roman" w:hAnsi="Times New Roman"/>
          <w:sz w:val="20"/>
          <w:u w:val="single"/>
        </w:rPr>
        <w:t>Section 8.01(j),</w:t>
      </w:r>
      <w:r>
        <w:rPr>
          <w:rFonts w:ascii="Times New Roman" w:hAnsi="Times New Roman"/>
          <w:sz w:val="20"/>
        </w:rPr>
        <w:t xml:space="preserve"> in either case if the DXL Board or any committee thereof determines in good faith, after consultation with its financial advisor and outside counsel, that (A) to do otherwise would be reasonably expected to violate the fiduciary duties of DXL’s directors under applicable Law, and (B) in the case of clause (I) where the DXL Adverse Recommendation Change is made in response to a DXL Takeover Proposal or in the case of both clauses (I) and (II), such DXL Takeover Proposal constitutes a DXL Superior Proposal; provided, that the DXL Board (or any committee thereof) shall not, and shall cause DXL not to, take any action set forth in clause (I) or clause (II) unless (1) DXL has provided written notice to FBB (a “</w:t>
      </w:r>
      <w:r>
        <w:rPr>
          <w:rFonts w:ascii="Times New Roman" w:hAnsi="Times New Roman"/>
          <w:sz w:val="20"/>
          <w:u w:val="single"/>
        </w:rPr>
        <w:t>Notice of DXL Adverse Recommendation Change</w:t>
      </w:r>
      <w:r>
        <w:rPr>
          <w:rFonts w:ascii="Times New Roman" w:hAnsi="Times New Roman"/>
          <w:sz w:val="20"/>
        </w:rPr>
        <w:t xml:space="preserve">”) advising FBB that the DXL Board (or such committee) intends to take such action and the reasons therefor, (2) in the case of any Notice of DXL Adverse Recommendation Change provided in connection with a DXL Takeover Proposal, such Notice of DXL Adverse Recommendation Change specifies the material terms and conditions of such DXL Takeover Proposal, and includes a copy of the most current version of the agreement or proposal and all material related documentation with respect to such DXL Takeover Proposal, (3) 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the basis for such proposed action shall require a new Notice of DXL Adverse Recommendation Change and an additional four (4) Business Day period), (4) if requested by FBB, DXL has negotiated, and has caused its Subsidiaries and Representatives to negotiate, in good faith with FBB during such five (5) Business Day period (as extended pursuant to clause (3)) with respect to any changes to the terms of this Agreement proposed by FBB during such period and (5) taking into account any changes to the terms of this Agreement irrevocably and timely proposed by FBB, the DXL Board or any committee thereof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this Agreement pursuant to this sentence shall be void and of no force and effect unless the termination is in accordance with </w:t>
      </w:r>
      <w:r>
        <w:rPr>
          <w:rFonts w:ascii="Times New Roman" w:hAnsi="Times New Roman"/>
          <w:sz w:val="20"/>
          <w:u w:val="single"/>
        </w:rPr>
        <w:t>Section 8.01(j)</w:t>
      </w:r>
      <w:r>
        <w:rPr>
          <w:rFonts w:ascii="Times New Roman" w:hAnsi="Times New Roman"/>
          <w:sz w:val="20"/>
        </w:rPr>
        <w:t xml:space="preserve"> and DXL pays FBB the DXL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and agreed that any violation of this </w:t>
      </w:r>
      <w:r>
        <w:rPr>
          <w:rFonts w:ascii="Times New Roman" w:hAnsi="Times New Roman"/>
          <w:sz w:val="20"/>
          <w:u w:val="single"/>
        </w:rPr>
        <w:t>Section 5.06</w:t>
      </w:r>
      <w:r>
        <w:rPr>
          <w:rFonts w:ascii="Times New Roman" w:hAnsi="Times New Roman"/>
          <w:sz w:val="20"/>
        </w:rPr>
        <w:t xml:space="preserve"> by any of DXL’s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06 by DXL. </w:t>
      </w:r>
    </w:p>
    <w:p>
      <w:pPr>
        <w:pStyle w:val="TextBody"/>
        <w:bidi w:val="0"/>
        <w:spacing w:before="480" w:after="0"/>
        <w:jc w:val="center"/>
        <w:rPr>
          <w:rFonts w:ascii="Times New Roman" w:hAnsi="Times New Roman"/>
          <w:b/>
          <w:sz w:val="20"/>
        </w:rPr>
      </w:pPr>
      <w:bookmarkStart w:id="176" w:name="anxa76201_73"/>
      <w:bookmarkEnd w:id="176"/>
      <w:r>
        <w:rPr>
          <w:rFonts w:ascii="Times New Roman" w:hAnsi="Times New Roman"/>
          <w:b/>
          <w:sz w:val="20"/>
          <w:u w:val="single"/>
        </w:rPr>
        <w:t>ARTICLE VI</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ADDITIONAL AGREEMENTS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77" w:name="anxa76201_74"/>
      <w:bookmarkEnd w:id="177"/>
      <w:r>
        <w:rPr>
          <w:rFonts w:ascii="Times New Roman" w:hAnsi="Times New Roman"/>
          <w:b/>
          <w:sz w:val="20"/>
        </w:rPr>
        <w:t xml:space="preserve">SECTION 6.01 </w:t>
      </w:r>
      <w:r>
        <w:rPr>
          <w:rFonts w:ascii="Times New Roman" w:hAnsi="Times New Roman"/>
          <w:b/>
          <w:sz w:val="20"/>
          <w:u w:val="single"/>
        </w:rPr>
        <w:t>Preparation of the Proxy Statement; Stockholder Approvals; Listing Application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DXL and FBB each understand and agree that the shares of DXL Common Stock to be issued and transferred as contemplated in this Agreement to FBB Stockholders have not been registered under the securities Laws of the United States, including the Securities Act, or any other jurisdiction and will be issued and transferred pursuant to a “private placement” exemption from registration under the Securities Act by virtue of Regulation D promulgated thereunder. The shares of DXL Common Stock will be characterized as “restricted securities” under the Securities Act and may only be transferred pursuant to a registration statement or an applicable exemption under the Securities Act. Any book entries recording the record ownership of shares of DXL Common Stock shall bear such annotations as DXL may reasonably deem necessary in connection therewith. </w:t>
      </w:r>
    </w:p>
    <w:p>
      <w:pPr>
        <w:pStyle w:val="TextBody"/>
        <w:bidi w:val="0"/>
        <w:spacing w:before="240" w:after="0"/>
        <w:jc w:val="left"/>
        <w:rPr>
          <w:rFonts w:ascii="Times New Roman" w:hAnsi="Times New Roman"/>
          <w:sz w:val="20"/>
        </w:rPr>
      </w:pPr>
      <w:r>
        <w:rPr>
          <w:rFonts w:ascii="Times New Roman" w:hAnsi="Times New Roman"/>
          <w:sz w:val="20"/>
        </w:rPr>
        <w:t>(b) DXL and FBB shall prepare, and DXL shall file with the SEC, as promptly as practicable after the date of this Agreement, a proxy statement in preliminary form relating to the DXL Stockholders Meeting (such proxy statement, including any amendment or supplement thereto, the “</w:t>
      </w:r>
      <w:r>
        <w:rPr>
          <w:rFonts w:ascii="Times New Roman" w:hAnsi="Times New Roman"/>
          <w:sz w:val="20"/>
          <w:u w:val="single"/>
        </w:rPr>
        <w:t>Proxy Statement</w:t>
      </w:r>
      <w:r>
        <w:rPr>
          <w:rFonts w:ascii="Times New Roman" w:hAnsi="Times New Roman"/>
          <w:sz w:val="20"/>
        </w:rPr>
        <w:t>”). DXL covenants and agrees that the Proxy Statement will comply in all material respects with the applicable provisions of the Exchange Act and the rules and regulations thereunder. Each of DXL and FBB agrees, as to itself and its Affiliates, that none of the information supplied by it or any of its Affiliates for inclusion or incorporation by reference in the Proxy Statement will, at the date of mailing to stockholders of DXL or at the time of the DXL Stockholders Meeting, contain any untrue statement of a material fact or omit to state any material fact required to be stated therein or necessary in order to make the statements therein, in light of the circumstances under which they were made, not misleading. DXL shall promptly notify FBB of the receipt of all comments of the SEC with respect to the Proxy Statement and of any request by the SEC for any amendment or supplement thereto or for additional information and shall promptly provide to FBB copies of all written correspondence between DXL and/or any of its Representatives, on the one hand, and the SEC, on the other hand, with respect to the Proxy Statement. DXL and FBB shall each use their respective reasonable best efforts to promptly provide responses to the SEC with respect to all comments received on the Proxy Statement by the SEC and DXL shall cause the definitive Proxy Statement to be mailed as promptly as possible after the date that the Proxy Statement is cleared by the SEC for mailing to DXL’s stockholders (the “</w:t>
      </w:r>
      <w:r>
        <w:rPr>
          <w:rFonts w:ascii="Times New Roman" w:hAnsi="Times New Roman"/>
          <w:sz w:val="20"/>
          <w:u w:val="single"/>
        </w:rPr>
        <w:t>Clearance Date</w:t>
      </w:r>
      <w:r>
        <w:rPr>
          <w:rFonts w:ascii="Times New Roman" w:hAnsi="Times New Roman"/>
          <w:sz w:val="20"/>
        </w:rPr>
        <w:t>”). Notwithstanding the foregoing, prior to filing or distributing the Proxy Statement (or any amendment or supplement thereto) or responding to any comments from the SEC or the staff of the SEC with respect thereto, DXL (A) shall provide FBB with a reasonable opportunity to review and comment on such document or response, including the proposed final version of such document or response (unless, in the case of responding to comments from the SEC or the staff of the SEC, pursuant to a telephone call initiated by the SEC), (B) shall in good faith consider for inclusion in such document or response all comments reasonably proposed by FBB and (C) shall not file or distribute such document or respond to the SEC prior to receiving the approval of FBB, which approval shall not be unreasonably withheld, conditioned or delayed; provided</w:t>
      </w:r>
      <w:r>
        <w:rPr>
          <w:rFonts w:ascii="Times New Roman" w:hAnsi="Times New Roman"/>
          <w:sz w:val="20"/>
          <w:u w:val="single"/>
        </w:rPr>
        <w:t>,</w:t>
      </w:r>
      <w:r>
        <w:rPr>
          <w:rFonts w:ascii="Times New Roman" w:hAnsi="Times New Roman"/>
          <w:sz w:val="20"/>
        </w:rPr>
        <w:t xml:space="preserve"> that with respect to documents filed by DXL that are incorporated by reference in the Proxy Statement, this right of approval shall apply only with respect to information relating to FBB or its business, financial condition or results of operations, or the combined entity. Each of FBB and DXL shall also take any other action (other than qualifying to do business in any jurisdiction in which it is not now so qualified) required to be taken under the Securities Act, the Exchange Act, any applicable state securities or “blue sky” laws and the rules and regulations thereunder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(c) FBB shall use its reasonable best efforts to obtain the FBB Stockholder Approval and deliver a written consent of holders of FBB Capital Stock representing the FBB Stockholder Approval (the “</w:t>
      </w:r>
      <w:r>
        <w:rPr>
          <w:rFonts w:ascii="Times New Roman" w:hAnsi="Times New Roman"/>
          <w:sz w:val="20"/>
          <w:u w:val="single"/>
        </w:rPr>
        <w:t>FBB Written Consent</w:t>
      </w:r>
      <w:r>
        <w:rPr>
          <w:rFonts w:ascii="Times New Roman" w:hAnsi="Times New Roman"/>
          <w:sz w:val="20"/>
        </w:rPr>
        <w:t xml:space="preserve">”) as soon as reasonably practicable following the execution of this Agreement, but in no event more than forty-eight (48) hours following such execution. </w:t>
      </w:r>
    </w:p>
    <w:p>
      <w:pPr>
        <w:pStyle w:val="TextBody"/>
        <w:bidi w:val="0"/>
        <w:spacing w:before="240" w:after="0"/>
        <w:jc w:val="left"/>
        <w:rPr>
          <w:rFonts w:ascii="Times New Roman" w:hAnsi="Times New Roman"/>
          <w:sz w:val="20"/>
        </w:rPr>
      </w:pPr>
      <w:r>
        <w:rPr>
          <w:rFonts w:ascii="Times New Roman" w:hAnsi="Times New Roman"/>
          <w:sz w:val="20"/>
        </w:rPr>
        <w:t>(d) Promptly following the date of the FBB Stockholder Approval, FBB shall mail a notice (the “</w:t>
      </w:r>
      <w:r>
        <w:rPr>
          <w:rFonts w:ascii="Times New Roman" w:hAnsi="Times New Roman"/>
          <w:sz w:val="20"/>
          <w:u w:val="single"/>
        </w:rPr>
        <w:t>FBB Stockholder Notice</w:t>
      </w:r>
      <w:r>
        <w:rPr>
          <w:rFonts w:ascii="Times New Roman" w:hAnsi="Times New Roman"/>
          <w:sz w:val="20"/>
        </w:rPr>
        <w:t xml:space="preserve">”) to every holder of shares of FBB Capital Stock that did not execute the FBB Written Consent. The FBB Stockholder Notice shall (i) be a statement to the effect that the FBB Board unanimously determined that the Merger is advisable in accordance with Section 251(b) of the DGCL and in the best interests of the stockholders of FBB and unanimously approved and adopted this Agreement, the Merger, the FBB Charter Amendment, the COD Amendment and the other Transactions, (ii) provide the stockholders of FBB to whom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sent with notice of the actions taken in the FBB Written Consent, including the approval and adoption of this Agreement, the Merger, the FBB Charter Amendment, the COD Amendment and the other Transactions in accordance with Section 228(e) of the DGCL and the FBB Charter and (iii) notify such stockholders of their appraisal rights pursuant to Section 262 of the DGCL. The FBB Stockholder Notice shall include therewith a copy of, or hyperlink to, Section 262 of the DGCL and all such material information and other information as DXL shall reasonably request, and the date on which the FBB Stockholder Notice is given shall be the start of the twenty (20) day period during which a stockholder of FBB must demand appraisal of such stockholder’s FBB Common Stock as contemplated by Section 262(d)(2) of the DGCL. All materials submitted to the stockholders of FBB in accordance with this </w:t>
      </w:r>
      <w:r>
        <w:rPr>
          <w:rFonts w:ascii="Times New Roman" w:hAnsi="Times New Roman"/>
          <w:sz w:val="20"/>
          <w:u w:val="single"/>
        </w:rPr>
        <w:t>Section 6.01(d</w:t>
      </w:r>
      <w:r>
        <w:rPr>
          <w:rFonts w:ascii="Times New Roman" w:hAnsi="Times New Roman"/>
          <w:sz w:val="20"/>
        </w:rPr>
        <w:t xml:space="preserve">) shall be subject to DXL’s advance review and reasonable approval, which approval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(e) As soon as reasonably practicable following the execution of this Agreement, FBB and DXL shall jointly prepare and deliver to all holders of FBB Common Stock who are not “accredited investors” as defined in Rule 501(a) of Regulation D under the Securities Act an information statement (“</w:t>
      </w:r>
      <w:r>
        <w:rPr>
          <w:rFonts w:ascii="Times New Roman" w:hAnsi="Times New Roman"/>
          <w:sz w:val="20"/>
          <w:u w:val="single"/>
        </w:rPr>
        <w:t>Information Statement</w:t>
      </w:r>
      <w:r>
        <w:rPr>
          <w:rFonts w:ascii="Times New Roman" w:hAnsi="Times New Roman"/>
          <w:sz w:val="20"/>
        </w:rPr>
        <w:t xml:space="preserve">”) containing the information with respect to the DXL Common Stock required to comply with the information and disclosure requirements set forth in Rules 502 and 506 of Regulation D promulgated under the Securities Act. Each of DXL and FBB shall furnish all information (including financial statements) concerning such Person and its Affiliates to the other, and provide such other assistance, as may be reasonably requested in connection with the preparation and delivery of the Information Statement. DXL shall provide a draft of the Information Statement and related materials to FBB within a reasonable period of time prior to the dispatch thereof and will consider in good faith any comments proposed by FBB. </w:t>
      </w:r>
    </w:p>
    <w:p>
      <w:pPr>
        <w:pStyle w:val="TextBody"/>
        <w:bidi w:val="0"/>
        <w:spacing w:before="240" w:after="0"/>
        <w:jc w:val="left"/>
        <w:rPr>
          <w:rFonts w:ascii="Times New Roman" w:hAnsi="Times New Roman"/>
          <w:sz w:val="20"/>
        </w:rPr>
      </w:pPr>
      <w:r>
        <w:rPr>
          <w:rFonts w:ascii="Times New Roman" w:hAnsi="Times New Roman"/>
          <w:sz w:val="20"/>
        </w:rPr>
        <w:t xml:space="preserve">(f) As soon as reasonably practicable following the execution of this Agreement, DXL shall provide and FBB shall distribute to each FBB Stockholder an investor questionnaire in form and substance reasonably satisfactory to FBB regarding whether such FBB Stockholder is an “accredited investor” as defined in Rule 501(a) of Regulation D under the Securities Act. FBB shall use commercially reasonable efforts to cause each FBB Stockholder to return the investor questionnaires by the tenth (10th) Business Day following the date on which the investor questionnaire form was delivered. </w:t>
      </w:r>
    </w:p>
    <w:p>
      <w:pPr>
        <w:pStyle w:val="TextBody"/>
        <w:bidi w:val="0"/>
        <w:spacing w:before="240" w:after="0"/>
        <w:jc w:val="left"/>
        <w:rPr>
          <w:rFonts w:ascii="Times New Roman" w:hAnsi="Times New Roman"/>
          <w:sz w:val="20"/>
        </w:rPr>
      </w:pPr>
      <w:r>
        <w:rPr>
          <w:rFonts w:ascii="Times New Roman" w:hAnsi="Times New Roman"/>
          <w:sz w:val="20"/>
        </w:rPr>
        <w:t xml:space="preserve">(g) Simultaneously with the execution of this Agreement, DXL, as the sole stockholder of Merger Sub, has executed and delivered a written consent approving this Agreement effective after the execution and delivery of this Agreement in accordance with the DGCL and provided a copy of such written consent to FBB. </w:t>
      </w:r>
    </w:p>
    <w:p>
      <w:pPr>
        <w:pStyle w:val="TextBody"/>
        <w:bidi w:val="0"/>
        <w:spacing w:before="240" w:after="0"/>
        <w:jc w:val="left"/>
        <w:rPr>
          <w:rFonts w:ascii="Times New Roman" w:hAnsi="Times New Roman"/>
          <w:sz w:val="20"/>
        </w:rPr>
      </w:pPr>
      <w:r>
        <w:rPr>
          <w:rFonts w:ascii="Times New Roman" w:hAnsi="Times New Roman"/>
          <w:sz w:val="20"/>
        </w:rPr>
        <w:t xml:space="preserve">(h) DXL shall (i) as soon as reasonably practicable (but in any event within seven (7) Business Days) following the Clearance Date, establish a record date for, duly call and give notice of, and commence mailing (if required by applicable law) of the Proxy Statement to the DXL stockholders as of the record date established for, the DXL Stockholders Meeting and (ii) as soon as reasonably practicable (but in any event within twenty-five (25) Business Days) following the furnishing of the Proxy Statement to the SEC, convene and hold the DXL Stockholders Meeting; provided that DXL may adjourn or postpone the DXL Stockholders Meeting to a later date to the extent DXL believes in good faith that such adjournment or postponement is reasonably necessary (i) to ensure that any required supplement or amendment to the Proxy Statement is provided to the DXL stockholders within a reasonable amount of time in advance of the DXL Stockholders Meeting, (ii) to allow reasonable additional time to solicit additional proxies necessary to obtain the Required DXL Stockholder Vote, (iii) to ensure that there are sufficient shares of DXL Capital Stock represented (either in person or by proxy) to constitute a quorum necessary to conduct the business of the DXL Stockholders Meeting or (iv) otherwise to comply with applicable Law (provided, that, unless agreed in writing by DXL and FBB, all such adjournments, recesses or postponements shall be for periods of no more than twenty (20) Business Days each (not to exceed twenty (20) Business Days in the aggregate without FBB’s written consent)). DXL shall use its reasonable best efforts to solicit the Required DXL Stockholder Vote and shall, through the DXL Board, recommend to its stockholders that they give the Required DXL Stockholder Vote and shall include such recommendation in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8" w:name="anxa76201_75"/>
      <w:bookmarkEnd w:id="178"/>
      <w:r>
        <w:rPr>
          <w:rFonts w:ascii="Times New Roman" w:hAnsi="Times New Roman"/>
          <w:b/>
          <w:sz w:val="20"/>
        </w:rPr>
        <w:t xml:space="preserve">SECTION 6.02 </w:t>
      </w:r>
      <w:r>
        <w:rPr>
          <w:rFonts w:ascii="Times New Roman" w:hAnsi="Times New Roman"/>
          <w:b/>
          <w:sz w:val="20"/>
          <w:u w:val="single"/>
        </w:rPr>
        <w:t>Resale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shall use reasonable best efforts to prepare and file with the SEC within thirty (30) calendar days of the Closing a registration statement of DXL (the “</w:t>
      </w:r>
      <w:r>
        <w:rPr>
          <w:rFonts w:ascii="Times New Roman" w:hAnsi="Times New Roman"/>
          <w:sz w:val="20"/>
          <w:u w:val="single"/>
        </w:rPr>
        <w:t>Resale Registration Statement</w:t>
      </w:r>
      <w:r>
        <w:rPr>
          <w:rFonts w:ascii="Times New Roman" w:hAnsi="Times New Roman"/>
          <w:sz w:val="20"/>
        </w:rPr>
        <w:t>”) registering the resale by the FBB Stockholders (the “</w:t>
      </w:r>
      <w:r>
        <w:rPr>
          <w:rFonts w:ascii="Times New Roman" w:hAnsi="Times New Roman"/>
          <w:sz w:val="20"/>
          <w:u w:val="single"/>
        </w:rPr>
        <w:t>FBB Selling Stockholders</w:t>
      </w:r>
      <w:r>
        <w:rPr>
          <w:rFonts w:ascii="Times New Roman" w:hAnsi="Times New Roman"/>
          <w:sz w:val="20"/>
        </w:rPr>
        <w:t xml:space="preserve">”) of the Merger Consideration issued in connection with this Agreement and the Transactions. DXL will use its reasonable best efforts to ensure that the Resale Registration Statement, together with the documents incorporated by reference therein, complies as to form in all material respects with the applicable provisions of the Securities Act and the Exchange Act, as applicable. </w:t>
      </w:r>
    </w:p>
    <w:p>
      <w:pPr>
        <w:pStyle w:val="TextBody"/>
        <w:bidi w:val="0"/>
        <w:spacing w:before="240" w:after="0"/>
        <w:jc w:val="left"/>
        <w:rPr>
          <w:rFonts w:ascii="Times New Roman" w:hAnsi="Times New Roman"/>
          <w:sz w:val="20"/>
        </w:rPr>
      </w:pPr>
      <w:r>
        <w:rPr>
          <w:rFonts w:ascii="Times New Roman" w:hAnsi="Times New Roman"/>
          <w:sz w:val="20"/>
        </w:rPr>
        <w:t>(b) If the Resale Registration Statement is not an Automatic Shelf Registration Statement, DXL shall use its reasonable best efforts to have the Resale Registration Statement declared effective under the Securities Act as soon as practicable after such Resale Registration Statement is filed. Once declared effective, or, if DXL is eligible to file the Resale Registration Statement on Form S-3 pursuant to Rule 462(e) under the Securities Act (an “</w:t>
      </w:r>
      <w:r>
        <w:rPr>
          <w:rFonts w:ascii="Times New Roman" w:hAnsi="Times New Roman"/>
          <w:sz w:val="20"/>
          <w:u w:val="single"/>
        </w:rPr>
        <w:t>Automatic Shelf Registration Statement</w:t>
      </w:r>
      <w:r>
        <w:rPr>
          <w:rFonts w:ascii="Times New Roman" w:hAnsi="Times New Roman"/>
          <w:sz w:val="20"/>
        </w:rPr>
        <w:t xml:space="preserve">”), and such Resale Registration Statement is an Automatic Shelf Registration Statement, once the Resale Registration Statement is filed, DXL shall, subject to the other applicable provisions of this Agreement, use reasonable best efforts to cause the Resale Registration Statement to be continuously effective and usable until the date that is the 36-month anniversary of the Closing Date, or such earlier time as (i) all shares of DXL Common Stock covered by such Resale Registration Statement (as used in this </w:t>
      </w:r>
      <w:r>
        <w:rPr>
          <w:rFonts w:ascii="Times New Roman" w:hAnsi="Times New Roman"/>
          <w:sz w:val="20"/>
          <w:u w:val="single"/>
        </w:rPr>
        <w:t>Section 6.02,</w:t>
      </w:r>
      <w:r>
        <w:rPr>
          <w:rFonts w:ascii="Times New Roman" w:hAnsi="Times New Roman"/>
          <w:sz w:val="20"/>
        </w:rPr>
        <w:t xml:space="preserve"> “</w:t>
      </w:r>
      <w:r>
        <w:rPr>
          <w:rFonts w:ascii="Times New Roman" w:hAnsi="Times New Roman"/>
          <w:sz w:val="20"/>
          <w:u w:val="single"/>
        </w:rPr>
        <w:t>Registrable Securities</w:t>
      </w:r>
      <w:r>
        <w:rPr>
          <w:rFonts w:ascii="Times New Roman" w:hAnsi="Times New Roman"/>
          <w:sz w:val="20"/>
        </w:rPr>
        <w:t xml:space="preserve">”) have been sold pursuant to such Resale Registration Statement or otherwise or (ii) no FBB Significant Stockholder is an “affiliate” of DXL or owns at least 1% of the total DXL Common Stock then outstanding; provided, that if, during the period between (1) the 36-month anniversary and (2) the first date that no FBB Significant Stockholder (A) on an individual basis, directly holds five percent (5%) or more of the total DXL Common Stock then outstanding and (B) is an Affiliate of DXL (regardless of ownership percentage), DXL has not yet completed the Maximum Number of Takedowns at the request of any FBB Significant Stockholder permitted pursuant to </w:t>
      </w:r>
      <w:r>
        <w:rPr>
          <w:rFonts w:ascii="Times New Roman" w:hAnsi="Times New Roman"/>
          <w:sz w:val="20"/>
          <w:u w:val="single"/>
        </w:rPr>
        <w:t>Section 6.02(d)</w:t>
      </w:r>
      <w:r>
        <w:rPr>
          <w:rFonts w:ascii="Times New Roman" w:hAnsi="Times New Roman"/>
          <w:sz w:val="20"/>
        </w:rPr>
        <w:t xml:space="preserve"> hereof, DXL shall, upon receipt of a valid Demand Notice delivered at least ten (10) Business Days in advance by any FBB Significant Stockholder requesting that DXL facilitate a takedown pursuant to </w:t>
      </w:r>
      <w:r>
        <w:rPr>
          <w:rFonts w:ascii="Times New Roman" w:hAnsi="Times New Roman"/>
          <w:sz w:val="20"/>
          <w:u w:val="single"/>
        </w:rPr>
        <w:t>Section 6.02(d)</w:t>
      </w:r>
      <w:r>
        <w:rPr>
          <w:rFonts w:ascii="Times New Roman" w:hAnsi="Times New Roman"/>
          <w:sz w:val="20"/>
        </w:rPr>
        <w:t xml:space="preserve"> hereof, again file a Resale Registration Statement (or a registration statement on any such other form as DXL deems appropriate), which may be an Automatic Shelf Registration Statement, if DXL is so eligible, and facilitate a “takedown” (which may include Underwritten Offerings) pursuant to this </w:t>
      </w:r>
      <w:r>
        <w:rPr>
          <w:rFonts w:ascii="Times New Roman" w:hAnsi="Times New Roman"/>
          <w:sz w:val="20"/>
          <w:u w:val="single"/>
        </w:rPr>
        <w:t>Section 6.02</w:t>
      </w:r>
      <w:r>
        <w:rPr>
          <w:rFonts w:ascii="Times New Roman" w:hAnsi="Times New Roman"/>
          <w:sz w:val="20"/>
        </w:rPr>
        <w:t xml:space="preserve">, and shall have no further obligation to cause such Resale Registration Statement (or such other form) to be effective and usable beyond the completion of such takedown; provided, further, however, that DXL shall not be deemed to have breached its obligations under this </w:t>
      </w:r>
      <w:r>
        <w:rPr>
          <w:rFonts w:ascii="Times New Roman" w:hAnsi="Times New Roman"/>
          <w:sz w:val="20"/>
          <w:u w:val="single"/>
        </w:rPr>
        <w:t>Section 6.02</w:t>
      </w:r>
      <w:r>
        <w:rPr>
          <w:rFonts w:ascii="Times New Roman" w:hAnsi="Times New Roman"/>
          <w:sz w:val="20"/>
        </w:rPr>
        <w:t xml:space="preserve">, (x) if DXL shall fail to fulfill its obligations under this </w:t>
      </w:r>
      <w:r>
        <w:rPr>
          <w:rFonts w:ascii="Times New Roman" w:hAnsi="Times New Roman"/>
          <w:sz w:val="20"/>
          <w:u w:val="single"/>
        </w:rPr>
        <w:t>Section 6.02</w:t>
      </w:r>
      <w:r>
        <w:rPr>
          <w:rFonts w:ascii="Times New Roman" w:hAnsi="Times New Roman"/>
          <w:sz w:val="20"/>
        </w:rPr>
        <w:t xml:space="preserve"> at a time when trading of DXL Common Stock has been suspended under DXL’s insider trading policies, including if DXL reasonably believes that it is in possession of material nonpublic information involving DXL, the failure of which to be disclosed in the prospectus included in the Resale Registration Statement could result in a violation of applicable Law or (y) if FBB has failed to perform or comply with its covenants in this </w:t>
      </w:r>
      <w:r>
        <w:rPr>
          <w:rFonts w:ascii="Times New Roman" w:hAnsi="Times New Roman"/>
          <w:sz w:val="20"/>
          <w:u w:val="single"/>
        </w:rPr>
        <w:t>Section 6.02</w:t>
      </w:r>
      <w:r>
        <w:rPr>
          <w:rFonts w:ascii="Times New Roman" w:hAnsi="Times New Roman"/>
          <w:sz w:val="20"/>
        </w:rPr>
        <w:t xml:space="preserve">; provided, that the number of such suspensions or delays under this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in total the suspensions or delays shall not exceed a suspension or delay of more than ninety (90) calendar days during any such twelve (12) month period).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Effective Time, FBB shall cooperate (and use its reasonable best efforts to cause its Representatives to cooperate) with DXL, and use reasonable best efforts to promptly furnish to DXL (and use its reasonable best efforts to cause its Representatives to furnish) all information concerning it as is required by the SEC to be included in the Resale Registration Statement (including any financial statements required to be included therein or incorporated therein by reference) or in connection with DXL’s SEC reporting obligations related to this Agreement or the Transactions. Without limiting the foregoing, prior to the Effective Time, FBB shall use reasonable best efforts to provide (and use its reasonable best efforts to cause its Representatives to provide, as applicable) (i) audited annual and unaudited interim financial statements (including footnotes) that are timely reviewed by FBB’s independent auditor for the periods required to be included or incorporated by reference in the Resale Registration Statement, (ii) the consent of FBB’s independent auditor to include or incorporate by reference audited financial statement reports in the Resale Registration Statement, (iii) information necessary to enable DXL to prepare required pro forma financial statements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footnotes and (iv) any other information required to be included or incorporated by reference in the Resale Registration Statement, or in connection with DXL’s SEC reporting obligations related to this Agreement or the Transactions. FBB shall use its commercially reasonable efforts to cause each FBB Stockholder, no later than thirty (30) calendar days prior to the Closing, to deliver all documentation, in form and substance reasonably acceptable to DXL, necessary to determine whether or not such FBB Stockholder is an “accredited investor” (as such term is defined in Rule 501(a) under the Securities Act). Notwithstanding the foregoing, DXL may determine in its reasonable discretion that any such FBB Stockholder is an “accredited investor” (as such term is defined in Rule 501(a) under the Securities Act). </w:t>
      </w:r>
    </w:p>
    <w:p>
      <w:pPr>
        <w:pStyle w:val="TextBody"/>
        <w:bidi w:val="0"/>
        <w:spacing w:before="240" w:after="0"/>
        <w:jc w:val="left"/>
        <w:rPr>
          <w:rFonts w:ascii="Times New Roman" w:hAnsi="Times New Roman"/>
          <w:sz w:val="20"/>
        </w:rPr>
      </w:pPr>
      <w:r>
        <w:rPr>
          <w:rFonts w:ascii="Times New Roman" w:hAnsi="Times New Roman"/>
          <w:sz w:val="20"/>
        </w:rPr>
        <w:t>(d) Upon the written request (each, a “</w:t>
      </w:r>
      <w:r>
        <w:rPr>
          <w:rFonts w:ascii="Times New Roman" w:hAnsi="Times New Roman"/>
          <w:sz w:val="20"/>
          <w:u w:val="single"/>
        </w:rPr>
        <w:t>Demand Notice</w:t>
      </w:r>
      <w:r>
        <w:rPr>
          <w:rFonts w:ascii="Times New Roman" w:hAnsi="Times New Roman"/>
          <w:sz w:val="20"/>
        </w:rPr>
        <w:t xml:space="preserve">”) delivered at least ten (10) Business Days in advance by any FBB Significant Stockholder who (x) on an individual basis, directly holds five percent (5%) or more of the total DXL Common Stock then outstanding, or (y) is an Affiliate of DXL (regardless of ownership percentage), at any time and from time to time that the Resale Registration Statement is effective, DXL shall use commercially reasonable efforts to facilitate a “takedown” (which may include Underwritten Offerings) of all or any portion of such FBB Significant Stockholder’s Registrable Securities off of such Resale Registration Statement, based on the dollar amount or number of Registrable Securities specified in writing by such FBB Significant Stockholder to DXL. Notwithstanding the foregoing, DXL shall not be obligated to facilitate (i) a takedown unless such takedown shall include Registrable Securities proposed to be sold by such FBB Significant Stockholder with a total offering price reasonably expected to equal or exceed, in the aggregate, $10,000,000 (or, if less, 33% of the total number of Registrable Securities received by the FBB Significant Stockholder which submitted the Demand Notice) or (ii) more than the Maximum Number of Takedowns per such FBB Significant Stockholder under this </w:t>
      </w:r>
      <w:r>
        <w:rPr>
          <w:rFonts w:ascii="Times New Roman" w:hAnsi="Times New Roman"/>
          <w:sz w:val="20"/>
          <w:u w:val="single"/>
        </w:rPr>
        <w:t>Section 6.02(d</w:t>
      </w:r>
      <w:r>
        <w:rPr>
          <w:rFonts w:ascii="Times New Roman" w:hAnsi="Times New Roman"/>
          <w:sz w:val="20"/>
        </w:rPr>
        <w:t xml:space="preserve">) and, in any event, shall not be obligated to facilitate a takedown under this </w:t>
      </w:r>
      <w:r>
        <w:rPr>
          <w:rFonts w:ascii="Times New Roman" w:hAnsi="Times New Roman"/>
          <w:sz w:val="20"/>
          <w:u w:val="single"/>
        </w:rPr>
        <w:t>Section 6.02(d)</w:t>
      </w:r>
      <w:r>
        <w:rPr>
          <w:rFonts w:ascii="Times New Roman" w:hAnsi="Times New Roman"/>
          <w:sz w:val="20"/>
        </w:rPr>
        <w:t xml:space="preserve"> during a closed trading window period or if DXL reasonably believes that it is or may be in possession of material nonpublic information involving DXL, the failure of which to be disclosed in the prospectus included in the Resale Registration Statement or the documents incorporated by reference therein could result in a violation of applicable Law, in which case the filing of the applicable prospectus or prospectus supplement may be delayed until the earlier of the second Business Day after DXL ceases to be in such possession and the ninetieth (90th) calendar day after receipt by DXL of the written request from such FBB Significant Stockholder to effect a takedown under this </w:t>
      </w:r>
      <w:r>
        <w:rPr>
          <w:rFonts w:ascii="Times New Roman" w:hAnsi="Times New Roman"/>
          <w:sz w:val="20"/>
          <w:u w:val="single"/>
        </w:rPr>
        <w:t>Section 6.02(d</w:t>
      </w:r>
      <w:r>
        <w:rPr>
          <w:rFonts w:ascii="Times New Roman" w:hAnsi="Times New Roman"/>
          <w:sz w:val="20"/>
        </w:rPr>
        <w:t xml:space="preserve">); provided, that the number of any such delays or any delay pursuant to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no more than ninety (90) calendar days in any twelve (12) month period). In connection with any takedown pursuant to this </w:t>
      </w:r>
      <w:r>
        <w:rPr>
          <w:rFonts w:ascii="Times New Roman" w:hAnsi="Times New Roman"/>
          <w:sz w:val="20"/>
          <w:u w:val="single"/>
        </w:rPr>
        <w:t>Section 6.02(d)</w:t>
      </w:r>
      <w:r>
        <w:rPr>
          <w:rFonts w:ascii="Times New Roman" w:hAnsi="Times New Roman"/>
          <w:sz w:val="20"/>
        </w:rPr>
        <w:t xml:space="preserve">, DXL will as expeditiously as possible enter into such customary agreements (including an underwriting agreement in customary form with underwriters selected by such FBB Significant Stockholder and reasonably agreeable to DXL that shall consist of reputable nationally recognized investment banks), which shall include (x) customary indemnification provisions and procedures and (y) customary representations and warranties to the underwriters, with respect to the business of DXL and its Subsidiaries, in each case, in form, substance and scope as are customarily made by issuers to underwriters in underwritten offerings, and take such other actions as the underwriters, if any, reasonably request in order to expedite or facilitate the disposition of such Registrable Securities. A FBB Significant Stockholder that delivers a Demand Notice shall have the right to terminate (x) on a reasonable basis, any takedown pursuant to </w:t>
      </w:r>
      <w:r>
        <w:rPr>
          <w:rFonts w:ascii="Times New Roman" w:hAnsi="Times New Roman"/>
          <w:sz w:val="20"/>
          <w:u w:val="single"/>
        </w:rPr>
        <w:t>Section 6.02</w:t>
      </w:r>
      <w:r>
        <w:rPr>
          <w:rFonts w:ascii="Times New Roman" w:hAnsi="Times New Roman"/>
          <w:sz w:val="20"/>
        </w:rPr>
        <w:t xml:space="preserve"> at least two (2) Business Days prior to the “launch” of any marketing efforts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and (y) one takedown in any twelve (12)-month period pursuant to </w:t>
      </w:r>
      <w:r>
        <w:rPr>
          <w:rFonts w:ascii="Times New Roman" w:hAnsi="Times New Roman"/>
          <w:sz w:val="20"/>
          <w:u w:val="single"/>
        </w:rPr>
        <w:t>Section 6.02</w:t>
      </w:r>
      <w:r>
        <w:rPr>
          <w:rFonts w:ascii="Times New Roman" w:hAnsi="Times New Roman"/>
          <w:sz w:val="20"/>
        </w:rPr>
        <w:t xml:space="preserve"> after the “launch” of any marketing efforts of such takedown but before completion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in both cases, whether or not any other FBB Significant Stockholder or DXL has elected to include Registrable Securities in such takedown as provided in </w:t>
      </w:r>
      <w:r>
        <w:rPr>
          <w:rFonts w:ascii="Times New Roman" w:hAnsi="Times New Roman"/>
          <w:sz w:val="20"/>
          <w:u w:val="single"/>
        </w:rPr>
        <w:t>Section 6.02(e)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both cases, any Registration Expenses in connection with any such terminated takedown shall be borne by such FBB Significant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 Upon receipt of a validly submitted Demand Notice or upon DXL’s initiation of any registration of DXL Common Stock for its own account or for the account of any other stockholder (other than a registration relating solely to employee benefit plans or a registration relating solely to a transaction under Rule 145 of the Securities Act) (“</w:t>
      </w:r>
      <w:r>
        <w:rPr>
          <w:rFonts w:ascii="Times New Roman" w:hAnsi="Times New Roman"/>
          <w:sz w:val="20"/>
          <w:u w:val="single"/>
        </w:rPr>
        <w:t>DXL Initiated Registration</w:t>
      </w:r>
      <w:r>
        <w:rPr>
          <w:rFonts w:ascii="Times New Roman" w:hAnsi="Times New Roman"/>
          <w:sz w:val="20"/>
        </w:rPr>
        <w:t>”), DXL shall give written notice (each, a “</w:t>
      </w:r>
      <w:r>
        <w:rPr>
          <w:rFonts w:ascii="Times New Roman" w:hAnsi="Times New Roman"/>
          <w:sz w:val="20"/>
          <w:u w:val="single"/>
        </w:rPr>
        <w:t>Piggyback Notice</w:t>
      </w:r>
      <w:r>
        <w:rPr>
          <w:rFonts w:ascii="Times New Roman" w:hAnsi="Times New Roman"/>
          <w:sz w:val="20"/>
        </w:rPr>
        <w:t>”) of its proposed registration to all FBB Significant Stockholders who are holders of Registrable Securities as soon as practicable, which notice shall (x) describe the amount of DXL Common Stock to be included in such registration, the intended method(s) of distribution, and the name of the proposed managing underwriter or underwriters, if any, in such registration, and (y) offer to such FBB Significant Stockholders the opportunity to include in such registration such number of Registrable Securities as such FBB Significant Stockholders may request in writing within five (5) calendar days after receipt of such Piggyback Notice (such registered takedown, a “</w:t>
      </w:r>
      <w:r>
        <w:rPr>
          <w:rFonts w:ascii="Times New Roman" w:hAnsi="Times New Roman"/>
          <w:sz w:val="20"/>
          <w:u w:val="single"/>
        </w:rPr>
        <w:t>Piggyback Registration</w:t>
      </w:r>
      <w:r>
        <w:rPr>
          <w:rFonts w:ascii="Times New Roman" w:hAnsi="Times New Roman"/>
          <w:sz w:val="20"/>
        </w:rPr>
        <w:t xml:space="preserve">”). DXL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such FBB Significant Stockholders pursuant to this </w:t>
      </w:r>
      <w:r>
        <w:rPr>
          <w:rFonts w:ascii="Times New Roman" w:hAnsi="Times New Roman"/>
          <w:sz w:val="20"/>
          <w:u w:val="single"/>
        </w:rPr>
        <w:t>Section 6.02(e)</w:t>
      </w:r>
      <w:r>
        <w:rPr>
          <w:rFonts w:ascii="Times New Roman" w:hAnsi="Times New Roman"/>
          <w:sz w:val="20"/>
        </w:rPr>
        <w:t xml:space="preserve"> to be included therein on the same terms and conditions as any other Registrable Securities included in such registration and to permit the sale or other disposition of such Registrable Securities in accordance with the intended method(s) of distribution thereof. The inclusion of any FBB Significant Stockholder’s Registrable Securities in a Piggyback Registration shall be subject to such FBB Significant Stockholder’s agreement to enter into an underwriting agreement in customary form with the underwriter(s) selected for such registration pursuant to </w:t>
      </w:r>
      <w:r>
        <w:rPr>
          <w:rFonts w:ascii="Times New Roman" w:hAnsi="Times New Roman"/>
          <w:sz w:val="20"/>
          <w:u w:val="single"/>
        </w:rPr>
        <w:t>Section 6.02(d)</w:t>
      </w:r>
      <w:r>
        <w:rPr>
          <w:rFonts w:ascii="Times New Roman" w:hAnsi="Times New Roman"/>
          <w:sz w:val="20"/>
        </w:rPr>
        <w:t xml:space="preserve"> hereof, as negotiated in good faith and agreed upon among DXL, the FBB Significant Stockholder participating in such registration and such underwriter(s). Notwithstanding the foregoing, if the managing underwriter or underwriters in a registration that is to be a Piggyback Registration, in good faith, advise DXL and the FBB Significant Stockholders participating in the Piggyback Registration in writing that the dollar amount or number of shares of Registrable Securities exceeds the number of Registrable Securities which can reasonably be expected to be sold in such registration without adversely affecting the success of the registration (including the price, timing or distribution of the Registrable Securities to be sold in such registration), DXL shall include in such Piggyback Registration: (i) in the case of a Piggyback Registration initiated pursuant to a Demand Notice, (1) first, the Registrable Securities that the holder that submitted the Demand Notice proposes to sell in such registration, (2) second, any Registrable Securities requested to be included therein by any other FBB Significant Stockholder, allocated pro rata among such FBB Significant Stockholders on the basis of the number of Registrable Securities initially proposed to be included by each such holder in such registration, up to the number of Registrable Securities, if any, that the managing underwriters determine can be included in the registration without reasonably being expected to adversely affect the success of the registration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and (ii) in the case of a Piggyback Registration initiated pursuant to a DXL Initiated Registration, (1) first, shares of DXL Common Stock proposed to be sold pursuant to such DXL Initiated Registration, (2) second, any Registrable Securities requested to be included therein by any FBB Significant Stockholder, allocated pro rata among such FBB Significant Stockholders, up to the number of Registrable Securities, if any, that the managing underwriters determine can be included in the registration without reasonably being expected to adversely affect the success of the takedown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Each FBB Significant Stockholder that holds Registrable Securities agrees that in connection with any underwritten registration pursuant to </w:t>
      </w:r>
      <w:r>
        <w:rPr>
          <w:rFonts w:ascii="Times New Roman" w:hAnsi="Times New Roman"/>
          <w:sz w:val="20"/>
          <w:u w:val="single"/>
        </w:rPr>
        <w:t>Section 6.02(d)</w:t>
      </w:r>
      <w:r>
        <w:rPr>
          <w:rFonts w:ascii="Times New Roman" w:hAnsi="Times New Roman"/>
          <w:sz w:val="20"/>
        </w:rPr>
        <w:t xml:space="preserve"> or this </w:t>
      </w:r>
      <w:r>
        <w:rPr>
          <w:rFonts w:ascii="Times New Roman" w:hAnsi="Times New Roman"/>
          <w:sz w:val="20"/>
          <w:u w:val="single"/>
        </w:rPr>
        <w:t>Section 6.02(e)</w:t>
      </w:r>
      <w:r>
        <w:rPr>
          <w:rFonts w:ascii="Times New Roman" w:hAnsi="Times New Roman"/>
          <w:sz w:val="20"/>
        </w:rPr>
        <w:t xml:space="preserve">, and upon written request from the managing underwriter(s) for such registration, such holder shall not, without the prior written consent of such managing underwriter(s), during such period as is reasonably requested by the managing underwriter(s) (which period shall in no event be longer than seven (7) calendar days prior to and sixty (60) calendar days after the pricing of such offering), effect any public sale or distribution of any similar securities to those being registered, including any sale under Rule 144. Beginning one (1) year after the Closing Date, the Piggyback Notice contemplated herein shall not be required to be delivered to any FBB Significant Stockholder who is able to sell all of its Registrable Securities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restriction pursuant to Rule 144. In addition, to the extent the offering contemplated by the party submitting a Demand Notice or by DXL or any other stockholder is an overnight or one-day block trade or bought deal, the Piggyback Notice and other provisions contained in this </w:t>
      </w:r>
      <w:r>
        <w:rPr>
          <w:rFonts w:ascii="Times New Roman" w:hAnsi="Times New Roman"/>
          <w:sz w:val="20"/>
          <w:u w:val="single"/>
        </w:rPr>
        <w:t>Section 6.02(e)</w:t>
      </w:r>
      <w:r>
        <w:rPr>
          <w:rFonts w:ascii="Times New Roman" w:hAnsi="Times New Roman"/>
          <w:sz w:val="20"/>
        </w:rPr>
        <w:t xml:space="preserve"> shall not be applicable. </w:t>
      </w:r>
    </w:p>
    <w:p>
      <w:pPr>
        <w:pStyle w:val="TextBody"/>
        <w:bidi w:val="0"/>
        <w:spacing w:before="240" w:after="0"/>
        <w:jc w:val="left"/>
        <w:rPr>
          <w:rFonts w:ascii="Times New Roman" w:hAnsi="Times New Roman"/>
          <w:sz w:val="20"/>
        </w:rPr>
      </w:pPr>
      <w:r>
        <w:rPr>
          <w:rFonts w:ascii="Times New Roman" w:hAnsi="Times New Roman"/>
          <w:sz w:val="20"/>
        </w:rPr>
        <w:t xml:space="preserve">(f) In connection with a takedown, DXL agrees to (i) provide counsel to the applicable FBB Significant Stockholder and the lead managing underwriters, if any, commercially reasonable opportunity to review each prospectus (including any prospectus supplement) and such other opportunities to conduct a customary and reasonable due diligence investigation (in the context of a Underwritten Offering) of DXL, including reasonable access to (including responses to any reasonable inquiries by the lead managing underwriters and their counsel) DXL’s books and records, officers, accountants and other advisors; (ii) use commercially reasonable efforts to negotiate in good faith and execute all customary indemnities, underwriting agreements and other documents reasonably required under the terms of such underwriting arrangements, including using commercially reasonable efforts to procure customary legal opinions and auditor “comfort” letters and (iii) where the takedown contemplates marketing efforts, use commercially reasonable efforts to cooperate and make its senior officers available for participation in such marketing efforts. </w:t>
      </w:r>
    </w:p>
    <w:p>
      <w:pPr>
        <w:pStyle w:val="TextBody"/>
        <w:bidi w:val="0"/>
        <w:spacing w:before="240" w:after="0"/>
        <w:jc w:val="left"/>
        <w:rPr>
          <w:rFonts w:ascii="Times New Roman" w:hAnsi="Times New Roman"/>
          <w:sz w:val="20"/>
        </w:rPr>
      </w:pPr>
      <w:r>
        <w:rPr>
          <w:rFonts w:ascii="Times New Roman" w:hAnsi="Times New Roman"/>
          <w:sz w:val="20"/>
        </w:rPr>
        <w:t>(g) DXL hereby agrees to indemnify and hold harmless, to the fullest extent permitted by Law, each FBB Selling Stockholder, and their respective Affiliates, directors, officers, employees, partners, equityholders, managers and each other Person, if any, who controls such FBB Selling Stockholder within the meaning of the Securities Act (each, an “</w:t>
      </w:r>
      <w:r>
        <w:rPr>
          <w:rFonts w:ascii="Times New Roman" w:hAnsi="Times New Roman"/>
          <w:sz w:val="20"/>
          <w:u w:val="single"/>
        </w:rPr>
        <w:t>Indemnified Party</w:t>
      </w:r>
      <w:r>
        <w:rPr>
          <w:rFonts w:ascii="Times New Roman" w:hAnsi="Times New Roman"/>
          <w:sz w:val="20"/>
        </w:rPr>
        <w:t>” and collectively, the “</w:t>
      </w:r>
      <w:r>
        <w:rPr>
          <w:rFonts w:ascii="Times New Roman" w:hAnsi="Times New Roman"/>
          <w:sz w:val="20"/>
          <w:u w:val="single"/>
        </w:rPr>
        <w:t>Indemnified Parties</w:t>
      </w:r>
      <w:r>
        <w:rPr>
          <w:rFonts w:ascii="Times New Roman" w:hAnsi="Times New Roman"/>
          <w:sz w:val="20"/>
        </w:rPr>
        <w:t xml:space="preserve">”), against any and all losses, claims, damages or liabilities, joint or several, actions or proceedings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(x) any untrue statement or alleged untrue statement of any material fact contained in the Resale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DXL shall reimburse such Indemnified Party for any reasonable out of pocket legal fees or other reasonable and documented expenses incurred by it in connection with investigating or defending any such loss, claim, liability, action or proceeding; provided, that DXL shall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Indemnified Party furnished to DXL or FBB by such Indemnified Party expressly for use in the preparation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(h) If the indemnification provided for hereunder from the indemnifying party is insufficient or unavailable to an Indemnified Party hereunder in respect of any losses, claims, damages, liabilities or expenses referred to herein for reasons other than those described in the proviso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6.02(g)</w:t>
      </w:r>
      <w:r>
        <w:rPr>
          <w:rFonts w:ascii="Times New Roman" w:hAnsi="Times New Roman"/>
          <w:sz w:val="20"/>
        </w:rPr>
        <w:t xml:space="preserve">,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relates to information supplied by, such indemnifying party or Indemnified Parties, and the parties’ relative intent, knowledge, access to information and opportunity to correct or prevent such action. The amount paid or payable by a party under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6.02(h)</w:t>
      </w:r>
      <w:r>
        <w:rPr>
          <w:rFonts w:ascii="Times New Roman" w:hAnsi="Times New Roman"/>
          <w:sz w:val="20"/>
        </w:rPr>
        <w:t xml:space="preserve"> as a result of the losses, claims, damages, liabilities and expenses referred to above shall be deemed to include any reasonable out of pocket legal fees or other reasonable an documented expenses incurred by such party in connection with any investigation or proceeding. Any obligation of FBB Selling Stockholders to contribute pursuant to this </w:t>
      </w:r>
      <w:r>
        <w:rPr>
          <w:rFonts w:ascii="Times New Roman" w:hAnsi="Times New Roman"/>
          <w:sz w:val="20"/>
          <w:u w:val="single"/>
        </w:rPr>
        <w:t>Section 6.02(h)</w:t>
      </w:r>
      <w:r>
        <w:rPr>
          <w:rFonts w:ascii="Times New Roman" w:hAnsi="Times New Roman"/>
          <w:sz w:val="20"/>
        </w:rPr>
        <w:t xml:space="preserve"> shall be several in the same proportion that the dollar amount of the proceeds actually received by each such FBB Selling Stockholder bears to the total dollar amount of the proceeds received by all FBB Selling Stockholders and not joint. The parties hereto agree that it would not be just and equitable if contribution pursuant to this </w:t>
      </w:r>
      <w:r>
        <w:rPr>
          <w:rFonts w:ascii="Times New Roman" w:hAnsi="Times New Roman"/>
          <w:sz w:val="20"/>
          <w:u w:val="single"/>
        </w:rPr>
        <w:t>Section 6.02(h)</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6.02(h)</w:t>
      </w:r>
      <w:r>
        <w:rPr>
          <w:rFonts w:ascii="Times New Roman" w:hAnsi="Times New Roman"/>
          <w:sz w:val="20"/>
        </w:rPr>
        <w:t xml:space="preserve">.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(i) With a view to making available the benefits of certain rules and regulations of the SEC which may at any time permit the sale of Registrable Securities of DXL to the public without registration, DXL agrees: </w:t>
      </w:r>
    </w:p>
    <w:p>
      <w:pPr>
        <w:pStyle w:val="TextBody"/>
        <w:bidi w:val="0"/>
        <w:spacing w:before="120" w:after="0"/>
        <w:jc w:val="left"/>
        <w:rPr>
          <w:rFonts w:ascii="Times New Roman" w:hAnsi="Times New Roman"/>
          <w:sz w:val="20"/>
        </w:rPr>
      </w:pPr>
      <w:r>
        <w:rPr>
          <w:rFonts w:ascii="Times New Roman" w:hAnsi="Times New Roman"/>
          <w:sz w:val="20"/>
        </w:rPr>
        <w:t xml:space="preserve">(i) to use its commercially reasonable efforts to file with the SEC in a timely manner all reports and other documents required of DXL under the Securities Act and the Exchange Act (at any time after it has become subject to such reporting requirements); and </w:t>
      </w:r>
    </w:p>
    <w:p>
      <w:pPr>
        <w:pStyle w:val="TextBody"/>
        <w:bidi w:val="0"/>
        <w:spacing w:before="240" w:after="0"/>
        <w:jc w:val="left"/>
        <w:rPr>
          <w:rFonts w:ascii="Times New Roman" w:hAnsi="Times New Roman"/>
          <w:sz w:val="20"/>
        </w:rPr>
      </w:pPr>
      <w:r>
        <w:rPr>
          <w:rFonts w:ascii="Times New Roman" w:hAnsi="Times New Roman"/>
          <w:sz w:val="20"/>
        </w:rPr>
        <w:t xml:space="preserve">(ii) subject to receipt by DXL of customary representations and other documentation reasonably acceptable to DXL in connection therewith, upon the earlier of such time as the Registrable Securities (x) have been sold or transferred pursuant to an effective registration statement, (y) have been sold pursuant to Rule 144 or (z) are eligible for resale under Rule 144(b)(1) or any successor provision, to take any actions reasonably requested, and to use commercially reasonable efforts to cause its transfer agent to take any actions reasonably requested, including delivery of customary instructions and certificates and legal opinions of DXL’s counsel, in order to facilitate the removal of restrictive legends from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(j) DXL shall pay all Registration Expenses and the FBB Significant Stockholder who has sent the Demand Notice, together with each FBB Significant Stockholder participating in a Piggyback Registration, as applicable, shall pay all Selling Expenses in connection with this </w:t>
      </w:r>
      <w:r>
        <w:rPr>
          <w:rFonts w:ascii="Times New Roman" w:hAnsi="Times New Roman"/>
          <w:sz w:val="20"/>
          <w:u w:val="single"/>
        </w:rPr>
        <w:t>Section 6.02</w:t>
      </w:r>
      <w:r>
        <w:rPr>
          <w:rFonts w:ascii="Times New Roman" w:hAnsi="Times New Roman"/>
          <w:sz w:val="20"/>
        </w:rPr>
        <w:t xml:space="preserve">; provided, for the avoidance of doubt, that any holder of Registrable Securities participating in an offering shall pay the fees and expenses of its own legal counsel and any applicable underwriting fees, discounts, selling commissions, agency fees, brokers’ commissions and transfer taxes, if any, on the Registrable Securities sold by such holder and similar charges. </w:t>
      </w:r>
    </w:p>
    <w:p>
      <w:pPr>
        <w:pStyle w:val="TextBody"/>
        <w:bidi w:val="0"/>
        <w:spacing w:before="240" w:after="0"/>
        <w:jc w:val="left"/>
        <w:rPr>
          <w:rFonts w:ascii="Times New Roman" w:hAnsi="Times New Roman"/>
          <w:sz w:val="20"/>
        </w:rPr>
      </w:pPr>
      <w:r>
        <w:rPr>
          <w:rFonts w:ascii="Times New Roman" w:hAnsi="Times New Roman"/>
          <w:sz w:val="20"/>
        </w:rPr>
        <w:t xml:space="preserve">(k) DXL covenants and agrees that it shall not, without the prior written consent of each FBB Significant Stockholder (such consent not to be unreasonably withheld, conditioned or delayed), grant, issue or enter into any agreement to grant or issue any registration rights to any person or entity that are senior or superior to the registration rights granted to the FBB Significant Stockholders under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The covenants contained in this </w:t>
      </w:r>
      <w:r>
        <w:rPr>
          <w:rFonts w:ascii="Times New Roman" w:hAnsi="Times New Roman"/>
          <w:sz w:val="20"/>
          <w:u w:val="single"/>
        </w:rPr>
        <w:t>Section 6.02</w:t>
      </w:r>
      <w:r>
        <w:rPr>
          <w:rFonts w:ascii="Times New Roman" w:hAnsi="Times New Roman"/>
          <w:sz w:val="20"/>
        </w:rPr>
        <w:t xml:space="preserve"> shall survive the consummation of the Merger and are intended to be for the benefit of, and shall be enforceable by, each of the FBB Selling Stockholders and their respective heirs and assigns (from and after Closing) and shall not be deemed exclusive of any other rights to which any such Person is entitled, whether pursuant to Law,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DXL shall take commercially reasonable efforts to ensure that the successors or assigns or transferees of DXL or the Surviving Company, as the case may be, shall assume the obligations with respect to indemnification and contribution of the FBB Selling Stockholders as set forth in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9" w:name="anxa76201_76"/>
      <w:bookmarkEnd w:id="179"/>
      <w:r>
        <w:rPr>
          <w:rFonts w:ascii="Times New Roman" w:hAnsi="Times New Roman"/>
          <w:b/>
          <w:sz w:val="20"/>
        </w:rPr>
        <w:t xml:space="preserve">SECTION 6.03 </w:t>
      </w:r>
      <w:r>
        <w:rPr>
          <w:rFonts w:ascii="Times New Roman" w:hAnsi="Times New Roman"/>
          <w:b/>
          <w:sz w:val="20"/>
          <w:u w:val="single"/>
        </w:rPr>
        <w:t>Access to Information; Confidentiality</w:t>
      </w:r>
      <w:r>
        <w:rPr>
          <w:rFonts w:ascii="Times New Roman" w:hAnsi="Times New Roman"/>
          <w:sz w:val="20"/>
        </w:rPr>
        <w:t xml:space="preserve">. From the date of this Agreement until the Effective Time, upon reasonable notice and subject to applicable Law, each of FBB and DXL shall, and shall cause each of their respective Subsidiaries to, afford to the other party and such other party’s Subsidiaries and their Representatives reasonable access to all their respective properties, books, Contracts, senior management and records and, during such period, each of FBB and DXL shall, and shall cause each of their respective Subsidiaries to, furnish promptly to the other party information concerning their respective businesses, finances, properties and personnel, in each case, as such other party may reasonably request solely for the purposes of integration planning or the consummation of the Transactions; provided that in any event such access shall not include (i) employee personnel files or (ii) any requested books and records that are stored in an offsite archive location pursuant to the ordinary course document storage policies. Any access pursuant to this </w:t>
      </w:r>
      <w:r>
        <w:rPr>
          <w:rFonts w:ascii="Times New Roman" w:hAnsi="Times New Roman"/>
          <w:sz w:val="20"/>
          <w:u w:val="single"/>
        </w:rPr>
        <w:t>Section 6.03</w:t>
      </w:r>
      <w:r>
        <w:rPr>
          <w:rFonts w:ascii="Times New Roman" w:hAnsi="Times New Roman"/>
          <w:sz w:val="20"/>
        </w:rPr>
        <w:t xml:space="preserve"> shall be coordinated through the respective General Counsels of DXL and FBB or their respective designees thereof, and shall be conducted under the supervision of appropriate personnel of each of DXL and FBB and in such manner as not to unreasonably interfere with the conduct of the business of DXL or FBB. No investigation or access permitted or granted pursuant to this </w:t>
      </w:r>
      <w:r>
        <w:rPr>
          <w:rFonts w:ascii="Times New Roman" w:hAnsi="Times New Roman"/>
          <w:sz w:val="20"/>
          <w:u w:val="single"/>
        </w:rPr>
        <w:t>Section 6.03</w:t>
      </w:r>
      <w:r>
        <w:rPr>
          <w:rFonts w:ascii="Times New Roman" w:hAnsi="Times New Roman"/>
          <w:sz w:val="20"/>
        </w:rPr>
        <w:t xml:space="preserve"> shall affect or be deemed to modify any representation, warranty, covenant or agreement contained herein, the conditions to the obligations of the parties to consummate the Transactions in accordance with the terms and provisions hereof or otherwise limit, prejudice or affect in any way the rights and remedies available to DXL and FBB, nor shall any such information, knowledge or investigation be deemed to affect or modify DXL and FBB’s reliance on the representations, warranties, covenants and agreements made by the other in this Agreement. Notwithstanding the foregoing, either party may withhold any document or information (a) that is subject to the terms of a confidentiality agreement with a third party entered into prior to the date of this Agreement or entered into after the date of this Agreement in the ordinary course of business (provided that, in any case, the withholding party shall use its reasonable best efforts to obtain the required consent of such third party to such access or disclosure), (b) the disclosure of which would violate any Law (provided that the withholding party shall use its reasonable best efforts to make appropriate substitute arrangements to permit reasonable disclosure not in violation of any Law) or (c) that is subject to any attorney-client privilege (provided that the withholding party shall use its reasonable best efforts to allow for such access or disclosure to the maximum extent that does not result in a loss of attorney-client privilege). If any material is withheld by any party as permitted by the immediately preceding sentence, then such party shall inform the other party as to the general nature of what is being withheld. Notwithstanding anything to the contrary contained herein, prior to the Closing, without the prior written consent of the other party (which consent may be withheld for any reason), (x) neither party shall, and shall cause its Affiliates and its representatives not to, contact any vendor, supplier or customer of the other party regarding such other party’s business, operations, or prospects or this Agreement or the Transactions, and (y) neither party shall have the right to perform invasive or subsurface investigations of the properties or facilities of the other party. All information exchanged pursuant to this </w:t>
      </w:r>
      <w:r>
        <w:rPr>
          <w:rFonts w:ascii="Times New Roman" w:hAnsi="Times New Roman"/>
          <w:sz w:val="20"/>
          <w:u w:val="single"/>
        </w:rPr>
        <w:t>Section 6.03</w:t>
      </w:r>
      <w:r>
        <w:rPr>
          <w:rFonts w:ascii="Times New Roman" w:hAnsi="Times New Roman"/>
          <w:sz w:val="20"/>
        </w:rPr>
        <w:t xml:space="preserve"> shall be subject to that certain Mutual Confidentiality and Non-Disclosure Agreement, dated as of February 12, 2024, by and among DXL, FULLBEAUTY Brands, Inc., Oaktree Opportunities Fund Xb Holdings (Delaware), L.P., Oaktree Opportunities Fund XI Holdings (Delaware), L.P., and Goldman Sachs Specialty Lending Group, L.P., as amended by that certain First Amendment to Mutual Confidentiality and Non-Disclosure Agreement, dated as of October 18, 2024 (as amended, the “</w:t>
      </w:r>
      <w:r>
        <w:rPr>
          <w:rFonts w:ascii="Times New Roman" w:hAnsi="Times New Roman"/>
          <w:sz w:val="20"/>
          <w:u w:val="single"/>
        </w:rPr>
        <w:t>Confidentiality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0" w:name="anxa76201_77"/>
      <w:bookmarkEnd w:id="180"/>
      <w:r>
        <w:rPr>
          <w:rFonts w:ascii="Times New Roman" w:hAnsi="Times New Roman"/>
          <w:b/>
          <w:sz w:val="20"/>
        </w:rPr>
        <w:t xml:space="preserve">SECTION 6.04 </w:t>
      </w:r>
      <w:r>
        <w:rPr>
          <w:rFonts w:ascii="Times New Roman" w:hAnsi="Times New Roman"/>
          <w:b/>
          <w:sz w:val="20"/>
          <w:u w:val="single"/>
        </w:rPr>
        <w:t>Required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set forth in this Agreement, each of the parties agrees to use their respective commercially reasonable efforts to take, and cause their respective Affiliates to take, all actions that are necessary, proper or advisable to consummate and make effective, in the most expeditious manner practicable, the Transactions, including using commercially reasonable efforts to accomplish the following: (i) obtain all required consents, permits, waivers, approvals, clearances and authorizations orders of, or non-actions by (collectively, “</w:t>
      </w:r>
      <w:r>
        <w:rPr>
          <w:rFonts w:ascii="Times New Roman" w:hAnsi="Times New Roman"/>
          <w:sz w:val="20"/>
          <w:u w:val="single"/>
        </w:rPr>
        <w:t>Consents</w:t>
      </w:r>
      <w:r>
        <w:rPr>
          <w:rFonts w:ascii="Times New Roman" w:hAnsi="Times New Roman"/>
          <w:sz w:val="20"/>
        </w:rPr>
        <w:t xml:space="preserve">”) from, or participation in other discussions or negotiations with, third parties, including as required under any DXL Material Contract or FBB Material Contract, and (ii) execute and deliver any additional instruments necessary to consummate the Transactions and to fully carry out the purposes of this Agreement; provided, however, that neither the DXL, FBB nor any of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shall commit to the payment of any fee, penalty or other consideration or make any other concession, waiver or amendment under any Contract in connection with obtaining any consent without the prior written consent of the other party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(i) take all action necessary to ensure that no Takeover Statute or similar statute or regulation is or becomes applicable to this Agreement or any Transaction and (ii) if any Takeover Statute or similar statute or regulation becomes applicable to this Agreement or any Transaction, take all action necessary to ensure that the Merger and the other Transactions may be consummated as promptly as practicable on the terms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and, to the extent any of DXL’s Affiliates are required to under applicable Laws, DXL shall use commercially reasonable efforts to cause such Affiliates to, (i) provide all necessary notices, reports, registrations, submissions of information, applications and other filings, and obtain as promptly as practicable all Consents from any Governmental Entity and any other Person that are required to be effected or obtained by DXL, Merger Sub or FBB, or any of their respective Subsidiaries, in connection with the consummation of the Transactions, and take all necessary actions to obtain any such Consents from any Governmental Entity that are required to be so effected or obtained, (ii) to prosecute all such filings and Consents with all appropriate diligence, (iii) furnish all information required to be furnished in connection with the Consents of or filings with any Governmental Entity, and promptly cooperate with and furnish information in connection with any such requirements imposed upon either of them or any of their respective Subsidiaries in connection with this Agreement and the Transactions, (iv) execute and deliver any additional instruments necessary to consummate the Transactions and to fully carry out the purposes of this Agreement, (v) facilitate obtaining any final order, writ, judgment or decree approving the Transactions consistent with this Agreement, and (vi) take, or cause to be taken, all actions, and do, or cause to be done, and assist and cooperate with the other in doing, all things necessary to avoid or eliminate each and every legal impediment asserted by any Governmental Entity so as to enable the parties hereto to consummate and make effective, as promptly as practicable, the Merger and the other Transactions in accordance with the terms hereof; provided, that notwithstanding anything to the contrary in this Agreement, nothing in this Agreement shall require DXL or FBB or any of their respective Affiliates to (or permit DXL and its Affiliates, on the one hand, or FBB and its Affiliates, on the other hand, without the consent of the other of DXL or FBB, as applicable, to agree or accept), any action or remedy that would be material and adverse to DXL and its Subsidiaries (including FBB)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(d) Subject to applicable Law and the instructions of any Governmental Entity, DXL and FBB shall each advise the other promptly, but in any event within two (2) Business Days, of (and shall promptly furnish the other with copies of) any notice or other communication received by such party or any of its Affiliates from any Governmental Entity regarding any of the Transactions, and of any understandings, undertakings or agreements (oral or written) such party proposes to make or enter into with any Governmental Entity in connection with the Transactions, and each party shall generally keep the other apprised of the status of matters relating to completion of the Transactions. Subject to applicable Law, neither DXL nor FBB shall, and each shall not permit any of its Subsidiaries or Representatives to, participate in any substantive or material meeting, telephone conversation or other communication with any Governmental Entity in respect of any filings, investigation or other inquiry or proceeding with respect to the Transactions, unless, to the extent reasonably practicable under the circumstances, it consults with the other party in advance and, to the extent permitted by such Governmental Entity, gives the other party the opportunity to attend and participate in such meeting, conversation or other communication. Each of DXL and FBB shall (i) cooperate in the filing of any substantive memoranda, white papers, filings, correspondence or other written communications explaining or defending this Agreement or any of the Transactions, articulating any regulatory or competitive argument or responding to requests or objections made by any Governmental Entity and (ii) subject to applicable Law, furnish the other party with copies of all filings, submissions, correspondence and communications (and memoranda setting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substance thereof) between it and their respective Subsidiaries and Representatives, on the one hand, and any Governmental Entity or members of any Governmental Entity’s staff, on the other hand, with respect to this Agreement and the Transactions. </w:t>
      </w:r>
    </w:p>
    <w:p>
      <w:pPr>
        <w:pStyle w:val="TextBody"/>
        <w:bidi w:val="0"/>
        <w:spacing w:before="240" w:after="0"/>
        <w:jc w:val="left"/>
        <w:rPr>
          <w:rFonts w:ascii="Times New Roman" w:hAnsi="Times New Roman"/>
          <w:sz w:val="20"/>
        </w:rPr>
      </w:pPr>
      <w:bookmarkStart w:id="181" w:name="anxa76201_78"/>
      <w:bookmarkEnd w:id="181"/>
      <w:r>
        <w:rPr>
          <w:rFonts w:ascii="Times New Roman" w:hAnsi="Times New Roman"/>
          <w:b/>
          <w:sz w:val="20"/>
        </w:rPr>
        <w:t xml:space="preserve">SECTION 6.05 </w:t>
      </w:r>
      <w:r>
        <w:rPr>
          <w:rFonts w:ascii="Times New Roman" w:hAnsi="Times New Roman"/>
          <w:b/>
          <w:sz w:val="20"/>
          <w:u w:val="single"/>
        </w:rPr>
        <w:t>Stockholder Litigation</w:t>
      </w:r>
      <w:r>
        <w:rPr>
          <w:rFonts w:ascii="Times New Roman" w:hAnsi="Times New Roman"/>
          <w:sz w:val="20"/>
        </w:rPr>
        <w:t xml:space="preserve">. Each party shall give each other party prompt notice of any stockholder litigation against such party or its directors or officers relating to the Transactions contemplated by this Agreement, and shall give each other party the opportunity to participate (at such other’s party’s expense) in the defense or settlement of any such litigation. Each party shall give the other the right to review and comment on all filings or responses to be made by such party in connection with any such litigation, and will in good faith take such comments into account. No party shall agree to settle any such litigation without the other party’s prior written consent, which consent shall not be unreasonably withheld, conditioned or delayed; provided, that each other party shall not be obligated to consent to any settlement which does not include a full release of such other party and its affiliates or which imposes an injunction or other equitable relief after the Effective Time upon the Surviving Company or any of its affiliates. </w:t>
      </w:r>
    </w:p>
    <w:p>
      <w:pPr>
        <w:pStyle w:val="TextBody"/>
        <w:bidi w:val="0"/>
        <w:spacing w:before="240" w:after="0"/>
        <w:jc w:val="left"/>
        <w:rPr>
          <w:rFonts w:ascii="Times New Roman" w:hAnsi="Times New Roman"/>
          <w:sz w:val="20"/>
        </w:rPr>
      </w:pPr>
      <w:bookmarkStart w:id="182" w:name="anxa76201_79"/>
      <w:bookmarkEnd w:id="182"/>
      <w:r>
        <w:rPr>
          <w:rFonts w:ascii="Times New Roman" w:hAnsi="Times New Roman"/>
          <w:b/>
          <w:sz w:val="20"/>
        </w:rPr>
        <w:t xml:space="preserve">SECTION 6.06 </w:t>
      </w:r>
      <w:r>
        <w:rPr>
          <w:rFonts w:ascii="Times New Roman" w:hAnsi="Times New Roman"/>
          <w:b/>
          <w:sz w:val="20"/>
          <w:u w:val="single"/>
        </w:rPr>
        <w:t>DXL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anything contained in, and subject to, </w:t>
      </w:r>
      <w:r>
        <w:rPr>
          <w:rFonts w:ascii="Times New Roman" w:hAnsi="Times New Roman"/>
          <w:sz w:val="20"/>
          <w:u w:val="single"/>
        </w:rPr>
        <w:t>Section 6.01(a)</w:t>
      </w:r>
      <w:r>
        <w:rPr>
          <w:rFonts w:ascii="Times New Roman" w:hAnsi="Times New Roman"/>
          <w:sz w:val="20"/>
        </w:rPr>
        <w:t xml:space="preserve">, DXL shall take all action necessary under all applicable Laws to set a record date for, call, give notice of and hold the DXL Stockholders Meeting for purposes of seeking the Required DXL Stockholder Vote. Subject to the notice requirements under all applicable Laws and under the DXL Charter, the DXL Stockholders Meeting shall be held (on a date selected by DXL and consented to by FBB (such consent not to be unreasonably withheld, conditioned or delayed)) as promptly as practicable after the date hereof and no later than the date that the DXL Stockholders Meeting is required to be held in accordance with </w:t>
      </w:r>
      <w:r>
        <w:rPr>
          <w:rFonts w:ascii="Times New Roman" w:hAnsi="Times New Roman"/>
          <w:sz w:val="20"/>
          <w:u w:val="single"/>
        </w:rPr>
        <w:t>Section 6.01(h)</w:t>
      </w:r>
      <w:r>
        <w:rPr>
          <w:rFonts w:ascii="Times New Roman" w:hAnsi="Times New Roman"/>
          <w:sz w:val="20"/>
        </w:rPr>
        <w:t xml:space="preserve">. DXL shall use reasonable best efforts to solicit from its stockholders proxies for voting on the matters to be voted on at the DXL Stockholders Meeting as contemplated under this Agreement, including the issuance of the DXL Common Stock to be issued in respect of the Merger Consideration. DXL shall call, notice, convene, hold, conduct and solicit all proxies in connection with the DXL Stockholders Meeting in compliance with all applicable Laws, including the DGCL and the DXL Charter. </w:t>
      </w:r>
    </w:p>
    <w:p>
      <w:pPr>
        <w:pStyle w:val="TextBody"/>
        <w:bidi w:val="0"/>
        <w:spacing w:before="240" w:after="0"/>
        <w:jc w:val="left"/>
        <w:rPr>
          <w:rFonts w:ascii="Times New Roman" w:hAnsi="Times New Roman"/>
          <w:sz w:val="20"/>
        </w:rPr>
      </w:pPr>
      <w:r>
        <w:rPr>
          <w:rFonts w:ascii="Times New Roman" w:hAnsi="Times New Roman"/>
          <w:sz w:val="20"/>
        </w:rPr>
        <w:t xml:space="preserve">(b) The DXL Board shall recommend without reservation that DXL’s stockholders provide the Required DXL Stockholder Vote; and neither the DXL Board nor any committee thereof shall withhold, withdraw, amend, modify, change or propose or resolve to withhold, withdraw, amend, modify or change, in each case in a manner materially adverse to FBB or which would prevent or delay consummation of the Merger, the recommendation of the DXL Board that DXL’s stockholders provide the Required DXL Stockholder Vote. </w:t>
      </w:r>
    </w:p>
    <w:p>
      <w:pPr>
        <w:pStyle w:val="TextBody"/>
        <w:bidi w:val="0"/>
        <w:spacing w:before="240" w:after="0"/>
        <w:jc w:val="left"/>
        <w:rPr>
          <w:rFonts w:ascii="Times New Roman" w:hAnsi="Times New Roman"/>
          <w:sz w:val="20"/>
        </w:rPr>
      </w:pPr>
      <w:bookmarkStart w:id="183" w:name="anxa76201_80"/>
      <w:bookmarkEnd w:id="183"/>
      <w:r>
        <w:rPr>
          <w:rFonts w:ascii="Times New Roman" w:hAnsi="Times New Roman"/>
          <w:b/>
          <w:sz w:val="20"/>
        </w:rPr>
        <w:t xml:space="preserve">SECTION 6.07 </w:t>
      </w:r>
      <w:r>
        <w:rPr>
          <w:rFonts w:ascii="Times New Roman" w:hAnsi="Times New Roman"/>
          <w:b/>
          <w:sz w:val="20"/>
          <w:u w:val="single"/>
        </w:rPr>
        <w:t>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explicitly provided in this Agreement, all costs and expenses incurred in connection with this Agreement, the Merger and the other Transactions will be paid by the party incurring such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pursuant to </w:t>
      </w:r>
      <w:r>
        <w:rPr>
          <w:rFonts w:ascii="Times New Roman" w:hAnsi="Times New Roman"/>
          <w:sz w:val="20"/>
          <w:u w:val="single"/>
        </w:rPr>
        <w:t xml:space="preserve">Section 8.01(j) </w:t>
      </w:r>
      <w:r>
        <w:rPr>
          <w:rFonts w:ascii="Times New Roman" w:hAnsi="Times New Roman"/>
          <w:sz w:val="20"/>
        </w:rPr>
        <w:t xml:space="preserve">(accepting a DXL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is terminated by FBB pursuant to </w:t>
      </w:r>
      <w:r>
        <w:rPr>
          <w:rFonts w:ascii="Times New Roman" w:hAnsi="Times New Roman"/>
          <w:sz w:val="20"/>
          <w:u w:val="single"/>
        </w:rPr>
        <w:t>Section 8.01(k)</w:t>
      </w:r>
      <w:r>
        <w:rPr>
          <w:rFonts w:ascii="Times New Roman" w:hAnsi="Times New Roman"/>
          <w:sz w:val="20"/>
        </w:rPr>
        <w:t xml:space="preserve"> (change in DXL Board recommendation); or </w:t>
      </w:r>
    </w:p>
    <w:p>
      <w:pPr>
        <w:pStyle w:val="TextBody"/>
        <w:bidi w:val="0"/>
        <w:spacing w:before="240" w:after="0"/>
        <w:jc w:val="left"/>
        <w:rPr>
          <w:rFonts w:ascii="Times New Roman" w:hAnsi="Times New Roman"/>
          <w:sz w:val="20"/>
        </w:rPr>
      </w:pPr>
      <w:r>
        <w:rPr>
          <w:rFonts w:ascii="Times New Roman" w:hAnsi="Times New Roman"/>
          <w:sz w:val="20"/>
        </w:rPr>
        <w:t xml:space="preserve">(iii) (x) a DXL Takeover Proposal shall have been publicly announced or disclosed or otherwise communicated to DXL or the DXL Board after the date of this Agreement but prior to the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this Agreement and this Agreement is terminated pursuant to </w:t>
      </w:r>
      <w:r>
        <w:rPr>
          <w:rFonts w:ascii="Times New Roman" w:hAnsi="Times New Roman"/>
          <w:sz w:val="20"/>
          <w:u w:val="single"/>
        </w:rPr>
        <w:t>Section 8.01(c)</w:t>
      </w:r>
      <w:r>
        <w:rPr>
          <w:rFonts w:ascii="Times New Roman" w:hAnsi="Times New Roman"/>
          <w:sz w:val="20"/>
        </w:rPr>
        <w:t xml:space="preserve"> (failure to obtain Required DXL Stockholder Vote), </w:t>
      </w:r>
      <w:r>
        <w:rPr>
          <w:rFonts w:ascii="Times New Roman" w:hAnsi="Times New Roman"/>
          <w:sz w:val="20"/>
          <w:u w:val="single"/>
        </w:rPr>
        <w:t>Section 8.01(e)</w:t>
      </w:r>
      <w:r>
        <w:rPr>
          <w:rFonts w:ascii="Times New Roman" w:hAnsi="Times New Roman"/>
          <w:sz w:val="20"/>
        </w:rPr>
        <w:t xml:space="preserve"> (lapse of End Date) or </w:t>
      </w:r>
      <w:r>
        <w:rPr>
          <w:rFonts w:ascii="Times New Roman" w:hAnsi="Times New Roman"/>
          <w:sz w:val="20"/>
          <w:u w:val="single"/>
        </w:rPr>
        <w:t>Section 8.01(g)</w:t>
      </w:r>
      <w:r>
        <w:rPr>
          <w:rFonts w:ascii="Times New Roman" w:hAnsi="Times New Roman"/>
          <w:sz w:val="20"/>
        </w:rPr>
        <w:t xml:space="preserve"> (DXL breach) and (y) within twelve (12) months after the date of such termination, DXL enters into an agreement with respect to, or consummates, a Subsequent Transaction in respect of the DXL Takeover Proposal referred to in the immediately preceding clause (x); </w:t>
      </w:r>
    </w:p>
    <w:p>
      <w:pPr>
        <w:pStyle w:val="TextBody"/>
        <w:bidi w:val="0"/>
        <w:spacing w:before="240" w:after="0"/>
        <w:jc w:val="left"/>
        <w:rPr>
          <w:rFonts w:ascii="Times New Roman" w:hAnsi="Times New Roman"/>
          <w:sz w:val="20"/>
        </w:rPr>
      </w:pPr>
      <w:r>
        <w:rPr>
          <w:rFonts w:ascii="Times New Roman" w:hAnsi="Times New Roman"/>
          <w:sz w:val="20"/>
        </w:rPr>
        <w:t>then DXL shall pay FBB a fee equal to $2,500,000 (the “</w:t>
      </w:r>
      <w:r>
        <w:rPr>
          <w:rFonts w:ascii="Times New Roman" w:hAnsi="Times New Roman"/>
          <w:sz w:val="20"/>
          <w:u w:val="single"/>
        </w:rPr>
        <w:t>DXL Termination Fee</w:t>
      </w:r>
      <w:r>
        <w:rPr>
          <w:rFonts w:ascii="Times New Roman" w:hAnsi="Times New Roman"/>
          <w:sz w:val="20"/>
        </w:rPr>
        <w:t xml:space="preserve">”), by wire transfer of same day funds to an account designated by FBB, in each case substantially concurrently with, or prior to, such termination (in the case of a termination referred to in </w:t>
      </w:r>
      <w:r>
        <w:rPr>
          <w:rFonts w:ascii="Times New Roman" w:hAnsi="Times New Roman"/>
          <w:sz w:val="20"/>
          <w:u w:val="single"/>
        </w:rPr>
        <w:t>Section 6.07(b)(i)</w:t>
      </w:r>
      <w:r>
        <w:rPr>
          <w:rFonts w:ascii="Times New Roman" w:hAnsi="Times New Roman"/>
          <w:sz w:val="20"/>
        </w:rPr>
        <w:t xml:space="preserve"> or </w:t>
      </w:r>
      <w:r>
        <w:rPr>
          <w:rFonts w:ascii="Times New Roman" w:hAnsi="Times New Roman"/>
          <w:sz w:val="20"/>
          <w:u w:val="single"/>
        </w:rPr>
        <w:t>Section 6.07(b)(ii)</w:t>
      </w:r>
      <w:r>
        <w:rPr>
          <w:rFonts w:ascii="Times New Roman" w:hAnsi="Times New Roman"/>
          <w:sz w:val="20"/>
        </w:rPr>
        <w:t xml:space="preserve">) or within two (2) Business Days following the earlier of entering into the agreement in respect of, or consummation of, the Subsequent Transaction referred to in </w:t>
      </w:r>
      <w:r>
        <w:rPr>
          <w:rFonts w:ascii="Times New Roman" w:hAnsi="Times New Roman"/>
          <w:sz w:val="20"/>
          <w:u w:val="single"/>
        </w:rPr>
        <w:t>Section 6.07(b)(ii)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or FBB pursuant to </w:t>
      </w:r>
      <w:r>
        <w:rPr>
          <w:rFonts w:ascii="Times New Roman" w:hAnsi="Times New Roman"/>
          <w:sz w:val="20"/>
          <w:u w:val="single"/>
        </w:rPr>
        <w:t xml:space="preserve">Section 8.01(c) </w:t>
      </w:r>
      <w:r>
        <w:rPr>
          <w:rFonts w:ascii="Times New Roman" w:hAnsi="Times New Roman"/>
          <w:sz w:val="20"/>
        </w:rPr>
        <w:t xml:space="preserve">(failure to obtain Required DXL Stockholder Vote); or </w:t>
      </w:r>
    </w:p>
    <w:p>
      <w:pPr>
        <w:pStyle w:val="TextBody"/>
        <w:bidi w:val="0"/>
        <w:spacing w:before="240" w:after="0"/>
        <w:jc w:val="left"/>
        <w:rPr>
          <w:rFonts w:ascii="Times New Roman" w:hAnsi="Times New Roman"/>
          <w:sz w:val="20"/>
        </w:rPr>
      </w:pPr>
      <w:r>
        <w:rPr>
          <w:rFonts w:ascii="Times New Roman" w:hAnsi="Times New Roman"/>
          <w:sz w:val="20"/>
        </w:rPr>
        <w:t xml:space="preserve">(ii) there is any payment of the DXL Termination Fee in accordance with </w:t>
      </w:r>
      <w:r>
        <w:rPr>
          <w:rFonts w:ascii="Times New Roman" w:hAnsi="Times New Roman"/>
          <w:sz w:val="20"/>
          <w:u w:val="single"/>
        </w:rPr>
        <w:t>Section 6.07(b)(i</w:t>
      </w:r>
      <w:r>
        <w:rPr>
          <w:rFonts w:ascii="Times New Roman" w:hAnsi="Times New Roman"/>
          <w:sz w:val="20"/>
        </w:rPr>
        <w:t>) -</w:t>
      </w:r>
      <w:r>
        <w:rPr>
          <w:rFonts w:ascii="Times New Roman" w:hAnsi="Times New Roman"/>
          <w:sz w:val="20"/>
          <w:u w:val="single"/>
        </w:rPr>
        <w:t>(iii)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then DXL shall reimburse FBB for all reasonable out of pocket fees and expenses incurred by FBB in connection with the negotiation of this Agreement and the Transactions, up to a maximum of $950,000, by wire transfer of same day funds to an account designated by FBB, in each case substantially concurrently with, or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this Agreement is terminated by DXL pursuant to </w:t>
      </w:r>
      <w:r>
        <w:rPr>
          <w:rFonts w:ascii="Times New Roman" w:hAnsi="Times New Roman"/>
          <w:sz w:val="20"/>
          <w:u w:val="single"/>
        </w:rPr>
        <w:t xml:space="preserve">Section 8.01(h), </w:t>
      </w:r>
      <w:r>
        <w:rPr>
          <w:rFonts w:ascii="Times New Roman" w:hAnsi="Times New Roman"/>
          <w:sz w:val="20"/>
        </w:rPr>
        <w:t xml:space="preserve">then FBB shall pay DXL a fee equal to $2,500,000, by wire transfer of same day funds to an account designated by DXL, substantially concurrently with, or prior to, such termination, and FBB shall reimburse DXL for all reasonable out of pocket fees and expenses incurred by DXL in connection with the negotiation of this Agreement and the Transactions contemplated hereby, up to a maximum of $950,000, by wire transfer of same day funds to an account designated by DXL, substantially concurrently with, or prior to, such termination. For the avoidance of doubt, in the event DXL does not exercise its right to terminate this Agreement pursuant to </w:t>
      </w:r>
      <w:r>
        <w:rPr>
          <w:rFonts w:ascii="Times New Roman" w:hAnsi="Times New Roman"/>
          <w:sz w:val="20"/>
          <w:u w:val="single"/>
        </w:rPr>
        <w:t>Section 8.01(h</w:t>
      </w:r>
      <w:r>
        <w:rPr>
          <w:rFonts w:ascii="Times New Roman" w:hAnsi="Times New Roman"/>
          <w:sz w:val="20"/>
        </w:rPr>
        <w:t xml:space="preserve">), but there is a breach by FBB or failure by FBB to perform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 and </w:t>
      </w:r>
      <w:r>
        <w:rPr>
          <w:rFonts w:ascii="Times New Roman" w:hAnsi="Times New Roman"/>
          <w:sz w:val="20"/>
          <w:u w:val="single"/>
        </w:rPr>
        <w:t>Section 6.19</w:t>
      </w:r>
      <w:r>
        <w:rPr>
          <w:rFonts w:ascii="Times New Roman" w:hAnsi="Times New Roman"/>
          <w:sz w:val="20"/>
        </w:rPr>
        <w:t xml:space="preserve"> which would result in the failure of the condition set forth in </w:t>
      </w:r>
      <w:r>
        <w:rPr>
          <w:rFonts w:ascii="Times New Roman" w:hAnsi="Times New Roman"/>
          <w:sz w:val="20"/>
          <w:u w:val="single"/>
        </w:rPr>
        <w:t>Section 7.01(d)</w:t>
      </w:r>
      <w:r>
        <w:rPr>
          <w:rFonts w:ascii="Times New Roman" w:hAnsi="Times New Roman"/>
          <w:sz w:val="20"/>
        </w:rPr>
        <w:t xml:space="preserve">, then DXL shall maintain all of its rights and remedies set forth in this Agreement, including, but not limited to, </w:t>
      </w:r>
      <w:r>
        <w:rPr>
          <w:rFonts w:ascii="Times New Roman" w:hAnsi="Times New Roman"/>
          <w:sz w:val="20"/>
          <w:u w:val="single"/>
        </w:rPr>
        <w:t>Section 9.</w:t>
      </w:r>
      <w:r>
        <w:rPr>
          <w:rFonts w:ascii="Times New Roman" w:hAnsi="Times New Roman"/>
          <w:sz w:val="20"/>
        </w:rPr>
        <w:t xml:space="preserve">11. </w:t>
      </w:r>
    </w:p>
    <w:p>
      <w:pPr>
        <w:pStyle w:val="TextBody"/>
        <w:bidi w:val="0"/>
        <w:spacing w:before="240" w:after="0"/>
        <w:jc w:val="left"/>
        <w:rPr>
          <w:rFonts w:ascii="Times New Roman" w:hAnsi="Times New Roman"/>
          <w:sz w:val="20"/>
        </w:rPr>
      </w:pPr>
      <w:r>
        <w:rPr>
          <w:rFonts w:ascii="Times New Roman" w:hAnsi="Times New Roman"/>
          <w:sz w:val="20"/>
        </w:rPr>
        <w:t xml:space="preserve">(e) If either DXL or FBB fails to pay when due any amount payable under this </w:t>
      </w:r>
      <w:r>
        <w:rPr>
          <w:rFonts w:ascii="Times New Roman" w:hAnsi="Times New Roman"/>
          <w:sz w:val="20"/>
          <w:u w:val="single"/>
        </w:rPr>
        <w:t>Section 6.07</w:t>
      </w:r>
      <w:r>
        <w:rPr>
          <w:rFonts w:ascii="Times New Roman" w:hAnsi="Times New Roman"/>
          <w:sz w:val="20"/>
        </w:rPr>
        <w:t xml:space="preserve">, then (i) either DXL or FBB, as applicable, shall reimburse the other party for all costs and expenses (including reasonable fees and disbursements of counsel) incurred in connection with the collection of such overdue amount and the enforcement by such other party of its rights under this </w:t>
      </w:r>
      <w:r>
        <w:rPr>
          <w:rFonts w:ascii="Times New Roman" w:hAnsi="Times New Roman"/>
          <w:sz w:val="20"/>
          <w:u w:val="single"/>
        </w:rPr>
        <w:t>Section 6.07</w:t>
      </w:r>
      <w:r>
        <w:rPr>
          <w:rFonts w:ascii="Times New Roman" w:hAnsi="Times New Roman"/>
          <w:sz w:val="20"/>
        </w:rPr>
        <w:t xml:space="preserve">, and (ii) either DXL or FBB, as applicable, shall pay interest on such overdue amount (for the period commencing as of the date such overdue amount was originally required to be paid and ending on the date such overdue amount is actually paid to the other party in full) at a rate per annum equal to prime rate quoted in the print edition of </w:t>
      </w:r>
      <w:r>
        <w:rPr>
          <w:rFonts w:ascii="Times New Roman" w:hAnsi="Times New Roman"/>
          <w:i/>
          <w:sz w:val="20"/>
        </w:rPr>
        <w:t>The Wall Street Journal</w:t>
      </w:r>
      <w:r>
        <w:rPr>
          <w:rFonts w:ascii="Times New Roman" w:hAnsi="Times New Roman"/>
          <w:sz w:val="20"/>
        </w:rPr>
        <w:t xml:space="preserve">, “Money Rates” section on the date such overdue amount was originally required to be paid. </w:t>
      </w:r>
    </w:p>
    <w:p>
      <w:pPr>
        <w:pStyle w:val="TextBody"/>
        <w:bidi w:val="0"/>
        <w:spacing w:before="240" w:after="0"/>
        <w:jc w:val="left"/>
        <w:rPr>
          <w:rFonts w:ascii="Times New Roman" w:hAnsi="Times New Roman"/>
          <w:sz w:val="20"/>
        </w:rPr>
      </w:pPr>
      <w:bookmarkStart w:id="184" w:name="anxa76201_81"/>
      <w:bookmarkEnd w:id="184"/>
      <w:r>
        <w:rPr>
          <w:rFonts w:ascii="Times New Roman" w:hAnsi="Times New Roman"/>
          <w:b/>
          <w:sz w:val="20"/>
        </w:rPr>
        <w:t xml:space="preserve">SECTION 6.08 </w:t>
      </w:r>
      <w:r>
        <w:rPr>
          <w:rFonts w:ascii="Times New Roman" w:hAnsi="Times New Roman"/>
          <w:b/>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for United States federal income tax purposes, the Merger shall qualify for the Intended Tax Treatment. The Merger shall be reported by the parties for all Tax purposes in accordance with the foregoing, and no party shall take any position on any Tax Return that is inconsistent with the Intended Tax Treatment, unless otherwise required by a Governmental Entity as a result of a “determination”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 of Section 1313(a) of the Code (or any similar state, local or non-U.S. Tax Law). The parties’ right to take any action disclosed in </w:t>
      </w:r>
      <w:r>
        <w:rPr>
          <w:rFonts w:ascii="Times New Roman" w:hAnsi="Times New Roman"/>
          <w:sz w:val="20"/>
          <w:u w:val="single"/>
        </w:rPr>
        <w:t>Section 5.01</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or </w:t>
      </w:r>
      <w:r>
        <w:rPr>
          <w:rFonts w:ascii="Times New Roman" w:hAnsi="Times New Roman"/>
          <w:sz w:val="20"/>
          <w:u w:val="single"/>
        </w:rPr>
        <w:t>5.03</w:t>
      </w:r>
      <w:r>
        <w:rPr>
          <w:rFonts w:ascii="Times New Roman" w:hAnsi="Times New Roman"/>
          <w:sz w:val="20"/>
        </w:rPr>
        <w:t xml:space="preserve"> of the DXL Disclosure Schedule or the FBB Disclosure Schedule, as applicable, shall be subject to and subordinate to the parties’ respective obligations under this </w:t>
      </w:r>
      <w:r>
        <w:rPr>
          <w:rFonts w:ascii="Times New Roman" w:hAnsi="Times New Roman"/>
          <w:sz w:val="20"/>
          <w:u w:val="single"/>
        </w:rPr>
        <w:t>Section 6.08(a)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FBB shall deliver to DXL and Merger Sub a certificate pursuant to Treasury Regulations Sections 1.1445-2(c) and 1.897- 2(h), together with a form of notice to the IRS in accordance with the requirements of Treasury Regulations Section 1.897-2(h), in each case, in form and substance reasonably acceptable to DXL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(c) Each of DXL, Merger Sub and FBB shall use commercially reasonable efforts to promptly notify the other party if such party becomes aware of any non-public fact or circumstance that, to such party’s Knowledge, would reasonably be likely to prevent or impede the Merger from qualifying for the Intended Tax Treatment. The parties shall cooperate with each other and their respective counsel to document and support the Tax treatment of the Merger as qualifying for the Intended Tax Treatment. Each of DXL, FBB and Merger Sub shall use their respective reasonable best efforts to cause the Merger to qualify for, and will not take any action or cause any action to be taken (whether prior to, on or subsequent to the Closing Date) which action would reasonably be expected to prevent the Merger from qualifying for or jeopardize the Intended Tax Treatment. </w:t>
      </w:r>
    </w:p>
    <w:p>
      <w:pPr>
        <w:pStyle w:val="TextBody"/>
        <w:bidi w:val="0"/>
        <w:spacing w:before="240" w:after="0"/>
        <w:jc w:val="left"/>
        <w:rPr>
          <w:rFonts w:ascii="Times New Roman" w:hAnsi="Times New Roman"/>
          <w:sz w:val="20"/>
        </w:rPr>
      </w:pPr>
      <w:bookmarkStart w:id="185" w:name="anxa76201_82"/>
      <w:bookmarkEnd w:id="185"/>
      <w:r>
        <w:rPr>
          <w:rFonts w:ascii="Times New Roman" w:hAnsi="Times New Roman"/>
          <w:b/>
          <w:sz w:val="20"/>
        </w:rPr>
        <w:t xml:space="preserve">SECTION 6.09 </w:t>
      </w:r>
      <w:r>
        <w:rPr>
          <w:rFonts w:ascii="Times New Roman" w:hAnsi="Times New Roman"/>
          <w:b/>
          <w:sz w:val="20"/>
          <w:u w:val="single"/>
        </w:rPr>
        <w:t>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DXL shall take all such action within its power as may be necessary or appropriate such that effective upon and immediately following the Effective Time, the Board of Directors of DXL and committees thereof shall be comprised of the following individuals: (i) four (4) members of the Board of Directors designated by DXL (the “</w:t>
      </w:r>
      <w:r>
        <w:rPr>
          <w:rFonts w:ascii="Times New Roman" w:hAnsi="Times New Roman"/>
          <w:sz w:val="20"/>
          <w:u w:val="single"/>
        </w:rPr>
        <w:t>DXL Nominee Directors</w:t>
      </w:r>
      <w:r>
        <w:rPr>
          <w:rFonts w:ascii="Times New Roman" w:hAnsi="Times New Roman"/>
          <w:sz w:val="20"/>
        </w:rPr>
        <w:t>”), (ii) four (4) members of the Board of Directors designated by FBB, one of which shall be the Chief Executive Officer of FBB as of the date hereof (the “</w:t>
      </w:r>
      <w:r>
        <w:rPr>
          <w:rFonts w:ascii="Times New Roman" w:hAnsi="Times New Roman"/>
          <w:sz w:val="20"/>
          <w:u w:val="single"/>
        </w:rPr>
        <w:t>FBB Nominee Directors</w:t>
      </w:r>
      <w:r>
        <w:rPr>
          <w:rFonts w:ascii="Times New Roman" w:hAnsi="Times New Roman"/>
          <w:sz w:val="20"/>
        </w:rPr>
        <w:t>”), and (iii) one (1) member of the Board of Directors mutually agreed to by both DXL and FBB (the “</w:t>
      </w:r>
      <w:r>
        <w:rPr>
          <w:rFonts w:ascii="Times New Roman" w:hAnsi="Times New Roman"/>
          <w:sz w:val="20"/>
          <w:u w:val="single"/>
        </w:rPr>
        <w:t>Independent Director</w:t>
      </w:r>
      <w:r>
        <w:rPr>
          <w:rFonts w:ascii="Times New Roman" w:hAnsi="Times New Roman"/>
          <w:sz w:val="20"/>
        </w:rPr>
        <w:t>,” and together with the DXL Nominee Directors and the FBB Nominee Directors, the “</w:t>
      </w:r>
      <w:r>
        <w:rPr>
          <w:rFonts w:ascii="Times New Roman" w:hAnsi="Times New Roman"/>
          <w:sz w:val="20"/>
          <w:u w:val="single"/>
        </w:rPr>
        <w:t>Post-Closing Directors</w:t>
      </w:r>
      <w:r>
        <w:rPr>
          <w:rFonts w:ascii="Times New Roman" w:hAnsi="Times New Roman"/>
          <w:sz w:val="20"/>
        </w:rPr>
        <w:t xml:space="preserve">”); provided that such Post-Closing Directors shall have completed a background check reasonably satisfactory to DXL and be “independent” directors for purposes of Nasdaq rules (which, for the avoidance of doubt, shall not include such rules as are applicable to audit committee members) and otherwise in compliance with the Nasdaq and SEC rules and requirements governing directors. Promptly following the date of this Agreement, but in any event no later than the Effective Time, DXL Nominee Directors shall, in consultation with the FBB Nominee Directors, appoint the initial Chairperson of the Board of Directors of DXL. </w:t>
      </w:r>
    </w:p>
    <w:p>
      <w:pPr>
        <w:pStyle w:val="TextBody"/>
        <w:bidi w:val="0"/>
        <w:spacing w:before="240" w:after="0"/>
        <w:jc w:val="left"/>
        <w:rPr>
          <w:rFonts w:ascii="Times New Roman" w:hAnsi="Times New Roman"/>
          <w:sz w:val="20"/>
        </w:rPr>
      </w:pPr>
      <w:r>
        <w:rPr>
          <w:rFonts w:ascii="Times New Roman" w:hAnsi="Times New Roman"/>
          <w:sz w:val="20"/>
        </w:rPr>
        <w:t xml:space="preserve">(b) DXL and FBB shall cooperate to take all reasonable actions necessary to cause, effective as of the Effective Time, (i) the Chief Executive Officer of FBB immediately prior to the Effective Time to serve as the Chief Executive Officer of DXL from and after the Effective Time and (ii) the officers of DXL from and after the Effective Time to be such individuals as DXL and FBB shall agree, through a process overseen by the Chief Executive Officer of FBB in consultation with the DXL Nominee Directors and FBB Nominee Directors, cooperating in good faith to identify such individuals prior to the Effective Time, in the case of each of clauses (i) and (ii), serving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bookmarkStart w:id="186" w:name="anxa76201_83"/>
      <w:bookmarkEnd w:id="186"/>
      <w:r>
        <w:rPr>
          <w:rFonts w:ascii="Times New Roman" w:hAnsi="Times New Roman"/>
          <w:b/>
          <w:sz w:val="20"/>
        </w:rPr>
        <w:t xml:space="preserve">SECTION 6.10 </w:t>
      </w:r>
      <w:r>
        <w:rPr>
          <w:rFonts w:ascii="Times New Roman" w:hAnsi="Times New Roman"/>
          <w:b/>
          <w:sz w:val="20"/>
          <w:u w:val="single"/>
        </w:rPr>
        <w:t>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Commencing on the Effective Time and thereafter during the periods specified below, unless otherwise mutually determined by FBB and DXL, DXL shall provide, or shall cause the DXL Subsidiaries (including, without limitation, the Surviving Corporation) to provide to each DXL Employee and each FBB Employee who at the Effective Time are an employee of DXL or the DXL Subsidiaries (including, without limitation, the Surviving Corporation) (the “</w:t>
      </w:r>
      <w:r>
        <w:rPr>
          <w:rFonts w:ascii="Times New Roman" w:hAnsi="Times New Roman"/>
          <w:sz w:val="20"/>
          <w:u w:val="single"/>
        </w:rPr>
        <w:t>Continuing Employees</w:t>
      </w:r>
      <w:r>
        <w:rPr>
          <w:rFonts w:ascii="Times New Roman" w:hAnsi="Times New Roman"/>
          <w:sz w:val="20"/>
        </w:rPr>
        <w:t xml:space="preserve">”) with the following compensation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benefits: (i) for the period commencing at the Effective Time and ending on the one-year anniversary of the Closing Date, (A) a base salary or base wage rate, as applicable, that is no less favorable than the base salary or base wage rate, as applicable, provided to such Continuing Employee immediately prior to the Effective Time, and (B) annual cash or other short-term incentive compensation opportunities that are no less favorable than the annual cash or other short-term incentive compensation opportunities provided to such Continuing Employee immediately prior to the Effective Time and (ii) for the period commencing on the Effective Time until such time as the Surviving Company in the Merger and DXL adopt the New Benefit Plans (as defined below),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(provided that DXL may satisfy its obligations under this </w:t>
      </w:r>
      <w:r>
        <w:rPr>
          <w:rFonts w:ascii="Times New Roman" w:hAnsi="Times New Roman"/>
          <w:sz w:val="20"/>
          <w:u w:val="single"/>
        </w:rPr>
        <w:t>Section 6.10(c)(ii)</w:t>
      </w:r>
      <w:r>
        <w:rPr>
          <w:rFonts w:ascii="Times New Roman" w:hAnsi="Times New Roman"/>
          <w:sz w:val="20"/>
        </w:rPr>
        <w:t xml:space="preserve"> for a transitional period through December 31 of the year in which the Effective Time occurs by providing (x) for Continuing Employees who were FBB Employees immediately prior to the Effective Time, employee benefits under the FBB Benefit Plans in effect as of the Closing and (y) for Continuing Employees who were DXL Employees immediately prior to the Effective Time, employee benefits under the DXL Benefit Plans in effect as of the Closing). Notwithstanding anything in this Agreement to the contrary, with respect to any Continuing Employees who are covered by a collective bargaining agreement or other agreement with a union, DXL’s obligations under this </w:t>
      </w:r>
      <w:r>
        <w:rPr>
          <w:rFonts w:ascii="Times New Roman" w:hAnsi="Times New Roman"/>
          <w:sz w:val="20"/>
          <w:u w:val="single"/>
        </w:rPr>
        <w:t>Section 6.10</w:t>
      </w:r>
      <w:r>
        <w:rPr>
          <w:rFonts w:ascii="Times New Roman" w:hAnsi="Times New Roman"/>
          <w:sz w:val="20"/>
        </w:rPr>
        <w:t xml:space="preserve"> shall be in addition to, and not in contravention of, any obligations under the applicable collective bargaining agreement or union agreement or applicable Law. </w:t>
      </w:r>
    </w:p>
    <w:p>
      <w:pPr>
        <w:pStyle w:val="TextBody"/>
        <w:bidi w:val="0"/>
        <w:spacing w:before="240" w:after="0"/>
        <w:jc w:val="left"/>
        <w:rPr>
          <w:rFonts w:ascii="Times New Roman" w:hAnsi="Times New Roman"/>
          <w:sz w:val="20"/>
        </w:rPr>
      </w:pPr>
      <w:r>
        <w:rPr>
          <w:rFonts w:ascii="Times New Roman" w:hAnsi="Times New Roman"/>
          <w:sz w:val="20"/>
        </w:rPr>
        <w:t>(b) Prior to the Closing, FBB and DXL shall cooperate in reviewing, evaluating and analyzing the DXL Benefit Plans and FBB Benefit Plans with a view towards developing appropriate new benefit plans with respect to Continuing Employees (collectively, the “</w:t>
      </w:r>
      <w:r>
        <w:rPr>
          <w:rFonts w:ascii="Times New Roman" w:hAnsi="Times New Roman"/>
          <w:sz w:val="20"/>
          <w:u w:val="single"/>
        </w:rPr>
        <w:t>New Benefit Plans</w:t>
      </w:r>
      <w:r>
        <w:rPr>
          <w:rFonts w:ascii="Times New Roman" w:hAnsi="Times New Roman"/>
          <w:sz w:val="20"/>
        </w:rPr>
        <w:t xml:space="preserve">”) for the Continuing Employees covered thereby, which New Benefit Plans will, to the extent permitted by applicable law, and among other things, (A) treat similarly situated employees on a substantially equivalent basis, taking into account all relevant factors, including duties, geographic location, tenure, qualifications and abilities, and (B) not discriminate between employees who were covered by DXL Benefit Plans, on the one hand, and those covered by FBB Benefit Plans, on the other hand, at the Effective Time. </w:t>
      </w:r>
    </w:p>
    <w:p>
      <w:pPr>
        <w:pStyle w:val="TextBody"/>
        <w:bidi w:val="0"/>
        <w:spacing w:before="240" w:after="0"/>
        <w:jc w:val="left"/>
        <w:rPr>
          <w:rFonts w:ascii="Times New Roman" w:hAnsi="Times New Roman"/>
          <w:sz w:val="20"/>
        </w:rPr>
      </w:pPr>
      <w:r>
        <w:rPr>
          <w:rFonts w:ascii="Times New Roman" w:hAnsi="Times New Roman"/>
          <w:sz w:val="20"/>
        </w:rPr>
        <w:t>(c) In the event any Continuing Employee first becomes eligible to participate under any employee benefit plan or compensation plan maintained by DXL or a DXL Subsidiary (including, without limitation, the Surviving Company) (each a “</w:t>
      </w:r>
      <w:r>
        <w:rPr>
          <w:rFonts w:ascii="Times New Roman" w:hAnsi="Times New Roman"/>
          <w:sz w:val="20"/>
          <w:u w:val="single"/>
        </w:rPr>
        <w:t>New Plan</w:t>
      </w:r>
      <w:r>
        <w:rPr>
          <w:rFonts w:ascii="Times New Roman" w:hAnsi="Times New Roman"/>
          <w:sz w:val="20"/>
        </w:rPr>
        <w:t xml:space="preserve">”), or any DXL Benefit Plan, following the Effective Time, DXL shall (i) waive any pre-existing condition, exclusions, actively-at-work requirements, and waiting periods with respect to participation and coverage requirements applicable to any Continuing Employee under any Surviving Company or DXL Benefit Plan providing medical, dental or vision benefits to the same extent such limitation would have been waived or satisfied under any similar FBB Benefit Plan in which the Continuing Employees participated immediately prior to coverage under the Surviving Company or DXL Benefit Plan; and (ii) use commercially reasonable efforts to provide each Continuing Employee with full credit for any co-payments, out-of-pocket expenditures and deductibles or similar payments paid or incurred prior to the Continuing Employees’ coverage under New Plan or DXL Benefit Plan during the plan year in which the Effective Time occurs, to the same extent such credit was given under any similar FBB Benefit Plan that Continuing Employees participated in immediately prior to the Effective Time, for the plan year in which the Effective Time occurs. </w:t>
      </w:r>
    </w:p>
    <w:p>
      <w:pPr>
        <w:pStyle w:val="TextBody"/>
        <w:bidi w:val="0"/>
        <w:spacing w:before="240" w:after="0"/>
        <w:jc w:val="left"/>
        <w:rPr>
          <w:rFonts w:ascii="Times New Roman" w:hAnsi="Times New Roman"/>
          <w:sz w:val="20"/>
        </w:rPr>
      </w:pPr>
      <w:r>
        <w:rPr>
          <w:rFonts w:ascii="Times New Roman" w:hAnsi="Times New Roman"/>
          <w:sz w:val="20"/>
        </w:rPr>
        <w:t xml:space="preserve">(d) As of the Closing Date, DXL and DXL Subsidiaries (including, without limitation, the Surviving Company) shall recognize all service of each Continuing Employee prior to the Closing Date to DXL and any of its Subsidiaries or FBB and any of its Subsidiaries, as applicable, to the same extent such service was recognized by DXL and FBB, respectively, for each Continuing Employee immediately prior to the Closing Date for purposes of eligibility, participation, vesting and level of benefits (except not for purposes of benefit accrual under any defined benefit pension plan, vesting under any equity or equity-based compensation plan or to the extent that such credit would result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Prior to making any communications to any employees of either party or their respective Subsidiaries regarding the Transactions or any related compensation or benefit matters, each of DXL and its Subsidiaries and FBB and its Subsidiaries shall provide the other party with copies of the text of the intended communication and the other party must have a reasonable opportunity to review and comment on such communications (and the relevant party must consider any such comments in good faith) prior to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The parties acknowledge and agree that all provisions contained in this </w:t>
      </w:r>
      <w:r>
        <w:rPr>
          <w:rFonts w:ascii="Times New Roman" w:hAnsi="Times New Roman"/>
          <w:sz w:val="20"/>
          <w:u w:val="single"/>
        </w:rPr>
        <w:t>Section 6.10</w:t>
      </w:r>
      <w:r>
        <w:rPr>
          <w:rFonts w:ascii="Times New Roman" w:hAnsi="Times New Roman"/>
          <w:sz w:val="20"/>
        </w:rPr>
        <w:t xml:space="preserve"> with respect to DXL Employees and FBB Employees are included for the sole benefit of the respective parties to this Agreement and shall not (i) create any right in any other Person, including current employees, former employees, any participant or any beneficiary thereof, under this Agreement, DXL Benefit Plan or in any FBB Benefit Plan, (ii) create any right to continued employment with FBB, DXL, the Surviving Company or their respective Subsidiaries or Affiliates, (iii) prevent or restrict in any way the right of DXL or any DXL Subsidiary (including without limitation, the Surviving Company) to terminate the service of any Continuing Employee at any time following the Closing; (iv) be deemed to establish, amend, modify or cause to be adopted any DXL Benefit Plan, FBB Benefit Plan or any other benefit plan, program, agreement or arrangement maintained or sponsored by DXL or any of its Affiliates, or (v) limit the ability of DXL, any DXL Subsidiary (including without limitation, the Surviving Company) or any of its Affiliates from establishing, amending, modifying or terminating any benefit plan, program, agreement or arrangement at any time assumed, established, sponsored or maintained by any of them, in each case, following the Closing. </w:t>
      </w:r>
    </w:p>
    <w:p>
      <w:pPr>
        <w:pStyle w:val="TextBody"/>
        <w:bidi w:val="0"/>
        <w:spacing w:before="240" w:after="0"/>
        <w:jc w:val="left"/>
        <w:rPr>
          <w:rFonts w:ascii="Times New Roman" w:hAnsi="Times New Roman"/>
          <w:sz w:val="20"/>
        </w:rPr>
      </w:pPr>
      <w:bookmarkStart w:id="187" w:name="anxa76201_84"/>
      <w:bookmarkEnd w:id="187"/>
      <w:r>
        <w:rPr>
          <w:rFonts w:ascii="Times New Roman" w:hAnsi="Times New Roman"/>
          <w:b/>
          <w:sz w:val="20"/>
        </w:rPr>
        <w:t xml:space="preserve">SECTION 6.11 </w:t>
      </w:r>
      <w:r>
        <w:rPr>
          <w:rFonts w:ascii="Times New Roman" w:hAnsi="Times New Roman"/>
          <w:b/>
          <w:sz w:val="20"/>
          <w:u w:val="single"/>
        </w:rPr>
        <w:t>Directors’ and Officers’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and Merger Sub agree that all rights to indemnification, advancement of expenses and exculpation from liabilities for acts or omissions occurring at or prior to the Effective Time in favor of any Person who was or becomes prior to the Effective Time a current or former director, officer or employee of FBB, including any person who is or was serving at the request of FBB as a current or former officer, director or employee of a Subsidiary of FBB (the “</w:t>
      </w:r>
      <w:r>
        <w:rPr>
          <w:rFonts w:ascii="Times New Roman" w:hAnsi="Times New Roman"/>
          <w:sz w:val="20"/>
          <w:u w:val="single"/>
        </w:rPr>
        <w:t>D&amp;O Indemnified Parties</w:t>
      </w:r>
      <w:r>
        <w:rPr>
          <w:rFonts w:ascii="Times New Roman" w:hAnsi="Times New Roman"/>
          <w:sz w:val="20"/>
        </w:rPr>
        <w:t xml:space="preserve">”) as provided in the FBB Charter or in the Charter Documents of any Subsidiary of FBB (in each case, as in effect on the date of this Agreement) shall survive the Merger and shall continue in full force and effect in accordance with their terms. For a period of six (6) years from the Effective Time, the Surviving Company shall, and DXL shall cause the Surviving Company to, (i) cause the Surviving Company’s Charter Documents and the Charter Documents of any Subsidiary of FBB to contain provisions with respect to indemnification and exculpation of, and advancement of expenses to, D&amp;O Indemnified Parties that are at least as favorable to such D&amp;O Indemnified Parties, in all material respects, as the indemnification, exculpation and advancement of expenses provisions contained in the Charter Documents of FBB, as applicable, as in effect on the date of this Agreement and (ii) maintain any indemnification agreements of FBB and its Subsidiaries with any D&amp;O Indemnified Party existing prior to the date of this Agreement and set forth on </w:t>
      </w:r>
      <w:r>
        <w:rPr>
          <w:rFonts w:ascii="Times New Roman" w:hAnsi="Times New Roman"/>
          <w:sz w:val="20"/>
          <w:u w:val="single"/>
        </w:rPr>
        <w:t>Section 6.11</w:t>
      </w:r>
      <w:r>
        <w:rPr>
          <w:rFonts w:ascii="Times New Roman" w:hAnsi="Times New Roman"/>
          <w:sz w:val="20"/>
        </w:rPr>
        <w:t xml:space="preserve"> of the FBB Disclosure Schedule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other rights provided for in this </w:t>
      </w:r>
      <w:r>
        <w:rPr>
          <w:rFonts w:ascii="Times New Roman" w:hAnsi="Times New Roman"/>
          <w:sz w:val="20"/>
          <w:u w:val="single"/>
        </w:rPr>
        <w:t>Section 6.11</w:t>
      </w:r>
      <w:r>
        <w:rPr>
          <w:rFonts w:ascii="Times New Roman" w:hAnsi="Times New Roman"/>
          <w:sz w:val="20"/>
        </w:rPr>
        <w:t xml:space="preserve"> and not in limitation thereof, at or prior to the Effective Time, FBB shall, with DXL’s prior written consent (not to be unreasonably withheld), purchase a six (6) year “tail” policy with terms, conditions, and coverage that are no less favorable than the terms, conditions and coverage provided to the D&amp;O Indemnified Parties under FBB’s existing policies as of the date of this Agreement (the “</w:t>
      </w:r>
      <w:r>
        <w:rPr>
          <w:rFonts w:ascii="Times New Roman" w:hAnsi="Times New Roman"/>
          <w:sz w:val="20"/>
          <w:u w:val="single"/>
        </w:rPr>
        <w:t>Tail Policy</w:t>
      </w:r>
      <w:r>
        <w:rPr>
          <w:rFonts w:ascii="Times New Roman" w:hAnsi="Times New Roman"/>
          <w:sz w:val="20"/>
        </w:rPr>
        <w:t xml:space="preserve">”). The Surviving Company and DXL shall cause the Tail Policy to be maintained in full force and effect, for its full term; provided that, if the Tail Policy becomes unavailable, DXL shall cause the Surviving Company to obtain the greatest coverage available for a cost not exceeding an annual premium equal to the foregoing maximum premium. </w:t>
      </w:r>
    </w:p>
    <w:p>
      <w:pPr>
        <w:pStyle w:val="TextBody"/>
        <w:bidi w:val="0"/>
        <w:spacing w:before="240" w:after="0"/>
        <w:jc w:val="left"/>
        <w:rPr>
          <w:rFonts w:ascii="Times New Roman" w:hAnsi="Times New Roman"/>
          <w:sz w:val="20"/>
        </w:rPr>
      </w:pPr>
      <w:r>
        <w:rPr>
          <w:rFonts w:ascii="Times New Roman" w:hAnsi="Times New Roman"/>
          <w:sz w:val="20"/>
        </w:rPr>
        <w:t xml:space="preserve">(c) The covenants contained in this </w:t>
      </w:r>
      <w:r>
        <w:rPr>
          <w:rFonts w:ascii="Times New Roman" w:hAnsi="Times New Roman"/>
          <w:sz w:val="20"/>
          <w:u w:val="single"/>
        </w:rPr>
        <w:t>Section 6.11</w:t>
      </w:r>
      <w:r>
        <w:rPr>
          <w:rFonts w:ascii="Times New Roman" w:hAnsi="Times New Roman"/>
          <w:sz w:val="20"/>
        </w:rPr>
        <w:t xml:space="preserve"> shall survive the consummation of the Merger and are intended to be for the benefit of, and shall be enforceable by, each of the D&amp;O Indemnified Parties and their respective heirs and assigns and shall not be deemed exclusive of any other rights to which any such Person is entitled, whether pursuant to Law,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adequate provision shall be made so that the successors or assigns or transferees of DXL or the Surviving Company, as the case may be, shall assume the obligations with respect to indemnification, exculpation and advancement of expenses to the D&amp;O Indemnified Parties as set forth in this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8" w:name="anxa76201_85"/>
      <w:bookmarkEnd w:id="188"/>
      <w:r>
        <w:rPr>
          <w:rFonts w:ascii="Times New Roman" w:hAnsi="Times New Roman"/>
          <w:b/>
          <w:sz w:val="20"/>
        </w:rPr>
        <w:t xml:space="preserve">SECTION 6.12 </w:t>
      </w:r>
      <w:r>
        <w:rPr>
          <w:rFonts w:ascii="Times New Roman" w:hAnsi="Times New Roman"/>
          <w:b/>
          <w:sz w:val="20"/>
          <w:u w:val="single"/>
        </w:rPr>
        <w:t>Financial Statements</w:t>
      </w:r>
      <w:r>
        <w:rPr>
          <w:rFonts w:ascii="Times New Roman" w:hAnsi="Times New Roman"/>
          <w:sz w:val="20"/>
        </w:rPr>
        <w:t xml:space="preserve">As soon as available, but in any event within forty-five (45) calendar days after the end of each fiscal quarter prior to the Closing, on an as-reported basis, FBB shall deliver, or cause to be delivered, to DXL unaudited condensed consolidated balance sheets and related statements of operations, statements of stockholders’ equity and statements of cash flows of FBB and its Subsidiaries for the period from the beginning of the fiscal quarter to the end of such fiscal quarter, and all such statements shall be derived from FBB and its Subsidiaries’ financial statements and shall be prepared in accordance with GAAP (except for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(b) As soon as available, but in any event no later than one-hundred and twenty (120) calendar days after the end of each fiscal year prior to Closing, FBB shall deliver, or cause to be delivered, to DXL audited consolidated balance sheets and related statements of operations, statements of stockholders’ equity and statements of cash flows of FBB and its Subsidiaries as of the end of such fiscal year, including the notes thereto,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The financial statements delivered by FBB hereunder shall comply with the applicable accounting requirements and rules and regulations of the SEC, the Exchange Act and Securities Act, as applicable, including Rule 3-05 of Regulation S-X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DXL and FBB shall reasonably cooperate with one another, and each shall cause its officers and employees to reasonably cooperate with the other, in the preparation of any pro forma financial statements required to be included or incorporated by reference in the Proxy Statement or Resale Registration Statement. </w:t>
      </w:r>
    </w:p>
    <w:p>
      <w:pPr>
        <w:pStyle w:val="TextBody"/>
        <w:bidi w:val="0"/>
        <w:spacing w:before="240" w:after="0"/>
        <w:jc w:val="left"/>
        <w:rPr>
          <w:rFonts w:ascii="Times New Roman" w:hAnsi="Times New Roman"/>
          <w:sz w:val="20"/>
        </w:rPr>
      </w:pPr>
      <w:bookmarkStart w:id="189" w:name="anxa76201_86"/>
      <w:bookmarkEnd w:id="189"/>
      <w:r>
        <w:rPr>
          <w:rFonts w:ascii="Times New Roman" w:hAnsi="Times New Roman"/>
          <w:b/>
          <w:sz w:val="20"/>
        </w:rPr>
        <w:t xml:space="preserve">SECTION 6.13 </w:t>
      </w:r>
      <w:r>
        <w:rPr>
          <w:rFonts w:ascii="Times New Roman" w:hAnsi="Times New Roman"/>
          <w:b/>
          <w:sz w:val="20"/>
          <w:u w:val="single"/>
        </w:rPr>
        <w:t>Notification of Certain Matters</w:t>
      </w:r>
      <w:r>
        <w:rPr>
          <w:rFonts w:ascii="Times New Roman" w:hAnsi="Times New Roman"/>
          <w:sz w:val="20"/>
        </w:rPr>
        <w:t xml:space="preserve">. Prior to the Effective Time, DXL shall give prompt notice to FBB, and FBB shall give prompt notice to DXL, of (a) any notice or other communication received from any Person alleging that the consent of such Person is or may be required in connection with the Transactions, if the subject matter of such communication or the failure of such party to obtain such consent could reasonably be expected, individually or in the aggregate, to be material to FBB, the Surviving Company, DXL, Merger Sub or the Merger, (b) any legal proceeding commenced or, to either the Knowledge of FBB or the Knowledge of DXL, threatened in writing against any party that relates to this Agreement or the Transactions and (c) any Change that (i) has had or would reasonably be expected to result in any Material Adverse Effect on FBB or (ii) has resulted in, or could reasonably be expected to result in, the failure of any of the conditions set forth in Article VII to be satisfied; provided that the delivery of any notice pursuant to this </w:t>
      </w:r>
      <w:r>
        <w:rPr>
          <w:rFonts w:ascii="Times New Roman" w:hAnsi="Times New Roman"/>
          <w:sz w:val="20"/>
          <w:u w:val="single"/>
        </w:rPr>
        <w:t>Section 6.13</w:t>
      </w:r>
      <w:r>
        <w:rPr>
          <w:rFonts w:ascii="Times New Roman" w:hAnsi="Times New Roman"/>
          <w:sz w:val="20"/>
        </w:rPr>
        <w:t xml:space="preserve"> shall not limit or otherwise affect any rights or remedies available to the party receiving such notice or be deemed to amend or supplement the FBB Disclosure Schedule or the DXL Disclosure Schedule or prevent or cure any misrepresentation, breach of warranty or breach of covenant. </w:t>
      </w:r>
    </w:p>
    <w:p>
      <w:pPr>
        <w:pStyle w:val="TextBody"/>
        <w:bidi w:val="0"/>
        <w:spacing w:before="240" w:after="0"/>
        <w:jc w:val="left"/>
        <w:rPr>
          <w:rFonts w:ascii="Times New Roman" w:hAnsi="Times New Roman"/>
          <w:sz w:val="20"/>
        </w:rPr>
      </w:pPr>
      <w:bookmarkStart w:id="190" w:name="anxa76201_87"/>
      <w:bookmarkEnd w:id="190"/>
      <w:r>
        <w:rPr>
          <w:rFonts w:ascii="Times New Roman" w:hAnsi="Times New Roman"/>
          <w:b/>
          <w:sz w:val="20"/>
        </w:rPr>
        <w:t xml:space="preserve">SECTION 6.14 </w:t>
      </w:r>
      <w:r>
        <w:rPr>
          <w:rFonts w:ascii="Times New Roman" w:hAnsi="Times New Roman"/>
          <w:b/>
          <w:sz w:val="20"/>
          <w:u w:val="single"/>
        </w:rPr>
        <w:t>Obligations of Merger Sub</w:t>
      </w:r>
      <w:r>
        <w:rPr>
          <w:rFonts w:ascii="Times New Roman" w:hAnsi="Times New Roman"/>
          <w:sz w:val="20"/>
        </w:rPr>
        <w:t xml:space="preserve">. DXL shall take all action necessary to cause Merger Sub to perform its obligations under this Agreement and to consummate the Transactions upon the terms and subject to the conditions set forth in this Agreement. </w:t>
      </w:r>
    </w:p>
    <w:p>
      <w:pPr>
        <w:pStyle w:val="TextBody"/>
        <w:bidi w:val="0"/>
        <w:spacing w:before="240" w:after="0"/>
        <w:jc w:val="left"/>
        <w:rPr>
          <w:rFonts w:ascii="Times New Roman" w:hAnsi="Times New Roman"/>
          <w:sz w:val="20"/>
        </w:rPr>
      </w:pPr>
      <w:bookmarkStart w:id="191" w:name="anxa76201_88"/>
      <w:bookmarkEnd w:id="191"/>
      <w:r>
        <w:rPr>
          <w:rFonts w:ascii="Times New Roman" w:hAnsi="Times New Roman"/>
          <w:b/>
          <w:sz w:val="20"/>
        </w:rPr>
        <w:t xml:space="preserve">SECTION 6.15 </w:t>
      </w:r>
      <w:r>
        <w:rPr>
          <w:rFonts w:ascii="Times New Roman" w:hAnsi="Times New Roman"/>
          <w:b/>
          <w:sz w:val="20"/>
          <w:u w:val="single"/>
        </w:rPr>
        <w:t>Payment for Third Party Consents</w:t>
      </w:r>
      <w:r>
        <w:rPr>
          <w:rFonts w:ascii="Times New Roman" w:hAnsi="Times New Roman"/>
          <w:sz w:val="20"/>
        </w:rPr>
        <w:t xml:space="preserve">. Each of DXL and FBB shall pay all amounts, which payments are expressly required by the terms of any Contract, payable by DXL or FBB, as applicable, in connection with third-party consents, waivers, amendments, and the like, required for the Transactions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2" w:name="anxa76201_89"/>
      <w:bookmarkEnd w:id="192"/>
      <w:r>
        <w:rPr>
          <w:rFonts w:ascii="Times New Roman" w:hAnsi="Times New Roman"/>
          <w:b/>
          <w:sz w:val="20"/>
        </w:rPr>
        <w:t xml:space="preserve">SECTION 6.16 </w:t>
      </w:r>
      <w:r>
        <w:rPr>
          <w:rFonts w:ascii="Times New Roman" w:hAnsi="Times New Roman"/>
          <w:b/>
          <w:sz w:val="20"/>
          <w:u w:val="single"/>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Closing, FBB shall use reasonable best efforts to take, or cause to be taken, all reasonable actions and do, or cause to be done, all things necessary, proper or advisable to consummate the transactions contemplated by the Commitment and Subscription Agreements, including maintaining in effect such Commitment and Subscription Agreements and shall use its reasonable best efforts to: (i) satisfy in all material respects on a timely basis all conditions and covenants applicable to such party in such Commitment and Subscription Agreements and otherwise comply with its obligations thereunder, and (ii) consummate the transactions contemplated by such Commitment and Subscription Agreements at or prior to Closing, and in each case of clauses (i) and (ii), DXL shall cooperate with FBB in such efforts.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all conditions in the Commitment and Subscription Agreements have been satisfied, FBB shall use its reasonable best efforts to take, or to cause to be taken, all actions required, necessary or that it otherwise deems to be proper or advisable to consummate the transactions contemplated by the Commitment and Subscription Agreements on or prior to the Closing on the terms described therein, including (i) to enforce the rights of FBB under the Commitment and Subscription Agreements to cause the FBB Investors to pay to (or as directed by) FBB the applicable purchase price under each FBB Investor’s applicable Commitment and Subscription Agreement in accordance with its terms; (ii) confer with DXL regarding timing of the expected Closing Date (as defined in the Commitment and Subscription Agreements); and (iii) deliver notices to counterparties to the Commitment and Subscription Agreements sufficiently in advance of the Closing to cause them to fund their obligations as far in advance of the Closing as permitted by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(c) Each of DXL and FBB (for the purposes of this </w:t>
      </w:r>
      <w:r>
        <w:rPr>
          <w:rFonts w:ascii="Times New Roman" w:hAnsi="Times New Roman"/>
          <w:sz w:val="20"/>
          <w:u w:val="single"/>
        </w:rPr>
        <w:t>Section 6.16(c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each, a “</w:t>
      </w:r>
      <w:r>
        <w:rPr>
          <w:rFonts w:ascii="Times New Roman" w:hAnsi="Times New Roman"/>
          <w:sz w:val="20"/>
          <w:u w:val="single"/>
        </w:rPr>
        <w:t>Cooperating Party</w:t>
      </w:r>
      <w:r>
        <w:rPr>
          <w:rFonts w:ascii="Times New Roman" w:hAnsi="Times New Roman"/>
          <w:sz w:val="20"/>
        </w:rPr>
        <w:t>”) shall, and shall cause its respective Subsidiaries to, use reasonable best efforts to cooperate with the other Cooperating Party in connection with (i) the amendment and restatement of FBB’s Existing Term Loan Facility (including any related guarantees or security arrangements) to authorize and give effect to the Transactions and the capital structure of the Surviving Company following the Closing (the “</w:t>
      </w:r>
      <w:r>
        <w:rPr>
          <w:rFonts w:ascii="Times New Roman" w:hAnsi="Times New Roman"/>
          <w:sz w:val="20"/>
          <w:u w:val="single"/>
        </w:rPr>
        <w:t>A&amp;R Term Loan Amendment</w:t>
      </w:r>
      <w:r>
        <w:rPr>
          <w:rFonts w:ascii="Times New Roman" w:hAnsi="Times New Roman"/>
          <w:sz w:val="20"/>
        </w:rPr>
        <w:t>”) and (ii) the establishment, documentation and closing of a combined asset-based revolving credit facility for the Surviving Company and its Subsidiaries on the Closing Date, whether through (A) an amendment or amendment and restatement of the Existing FBB ABL Agreement or (B), if reasonably determined by FBB in consultation with DXL, an amendment or amendment and restatement of the Existing DXL ABL Agreement or a new ABL credit agreement (each, the “</w:t>
      </w:r>
      <w:r>
        <w:rPr>
          <w:rFonts w:ascii="Times New Roman" w:hAnsi="Times New Roman"/>
          <w:sz w:val="20"/>
          <w:u w:val="single"/>
        </w:rPr>
        <w:t>Combined ABL Facility</w:t>
      </w:r>
      <w:r>
        <w:rPr>
          <w:rFonts w:ascii="Times New Roman" w:hAnsi="Times New Roman"/>
          <w:sz w:val="20"/>
        </w:rPr>
        <w:t>”, and, together with the Existing Term Loan Facility and A&amp;R Term Loan Facility, the “</w:t>
      </w:r>
      <w:r>
        <w:rPr>
          <w:rFonts w:ascii="Times New Roman" w:hAnsi="Times New Roman"/>
          <w:sz w:val="20"/>
          <w:u w:val="single"/>
        </w:rPr>
        <w:t>Debt</w:t>
      </w:r>
      <w:r>
        <w:rPr>
          <w:rFonts w:ascii="Times New Roman" w:hAnsi="Times New Roman"/>
          <w:sz w:val="20"/>
        </w:rPr>
        <w:t xml:space="preserve"> </w:t>
      </w:r>
      <w:r>
        <w:rPr>
          <w:rFonts w:ascii="Times New Roman" w:hAnsi="Times New Roman"/>
          <w:sz w:val="20"/>
          <w:u w:val="single"/>
        </w:rPr>
        <w:t>Financing</w:t>
      </w:r>
      <w:r>
        <w:rPr>
          <w:rFonts w:ascii="Times New Roman" w:hAnsi="Times New Roman"/>
          <w:sz w:val="20"/>
        </w:rPr>
        <w:t xml:space="preserve">”). For the avoidance of doubt, no Cooperating Party shall be required, in connection with the cooperation contemplated by this </w:t>
      </w:r>
      <w:r>
        <w:rPr>
          <w:rFonts w:ascii="Times New Roman" w:hAnsi="Times New Roman"/>
          <w:sz w:val="20"/>
          <w:u w:val="single"/>
        </w:rPr>
        <w:t>Section 6.16</w:t>
      </w:r>
      <w:r>
        <w:rPr>
          <w:rFonts w:ascii="Times New Roman" w:hAnsi="Times New Roman"/>
          <w:sz w:val="20"/>
        </w:rPr>
        <w:t xml:space="preserve">, to incur incremental out-of-pocket expenses (other than de minimis amounts), prepare financial information not customarily prepared or readily available in the ordinary course, or take any action that would reasonably be expected to conflict with its organizational documents or applicable law. FBB and its advisors shall take the lead in the negotiations of the terms of A&amp;R Term Loan Amendment and the Combined ABL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(1) the leading Cooperating Party shall reasonably consult with the other Cooperating Party, consider in good faith its comments and keep it reasonably informed of material developments, (2) no material economic or structural term affecting the Surviving Company or its Subsidiaries shall be agreed without DXL’s prior written consent (not to be unreasonably withheld, conditioned or delayed), and (3) the parties shall coordinate in good faith regarding the substance and timing of all lender communications, draft deliverables and closing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generality of </w:t>
      </w:r>
      <w:r>
        <w:rPr>
          <w:rFonts w:ascii="Times New Roman" w:hAnsi="Times New Roman"/>
          <w:sz w:val="20"/>
          <w:u w:val="single"/>
        </w:rPr>
        <w:t>Section 6.16(c</w:t>
      </w:r>
      <w:r>
        <w:rPr>
          <w:rFonts w:ascii="Times New Roman" w:hAnsi="Times New Roman"/>
          <w:sz w:val="20"/>
        </w:rPr>
        <w:t xml:space="preserve">), each Cooperating Party, as applicable, shall, and shall cause its Subsidiaries to, use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furnish to the other Cooperating Party, its Representatives and Debt Financing Sources such financial, corporate, organizational and collateral information regarding such Cooperating Party and its Subsidiaries as is reasonably requested in connection with the preparation, effectiveness and implementation of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(ii) provide customary certificates, organizational documents, schedules, instruments and other deliverables reasonably requested by lenders, including information necessary to add such Cooperating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and its Subsidiaries as obligors under the A&amp;R Term Loan Facility and Combined ABL Facility, as applicable, at or following the Closing; provided that such deliverables shall be limited to those necessary for such purpose and shall not require the preparation of financial or other information not customarily prepared or readily available in the ordinary course of the Cooperating Party’s business; </w:t>
      </w:r>
    </w:p>
    <w:p>
      <w:pPr>
        <w:pStyle w:val="TextBody"/>
        <w:bidi w:val="0"/>
        <w:spacing w:before="240" w:after="0"/>
        <w:jc w:val="left"/>
        <w:rPr>
          <w:rFonts w:ascii="Times New Roman" w:hAnsi="Times New Roman"/>
          <w:sz w:val="20"/>
        </w:rPr>
      </w:pPr>
      <w:r>
        <w:rPr>
          <w:rFonts w:ascii="Times New Roman" w:hAnsi="Times New Roman"/>
          <w:sz w:val="20"/>
        </w:rPr>
        <w:t xml:space="preserve">(iii) reasonably participate in customary diligence and coordination sessions relating to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(iv) to the extent requested in writing at least eight (8) Business Days prior to the Closing Date, provide to the Debt Financing Sources, at least four (4) Business Days prior to the Closing Date, all documentation and information regarding such Cooperating Party and its Subsidiaries and its beneficial owners that is reasonably requested in connection with applicable “know-your-customer,” and anti-money laundering rules and regulations, including the USA Patriot Act, and the requirements of 31 C.F.R. §1010.230; and </w:t>
      </w:r>
    </w:p>
    <w:p>
      <w:pPr>
        <w:pStyle w:val="TextBody"/>
        <w:bidi w:val="0"/>
        <w:spacing w:before="240" w:after="0"/>
        <w:jc w:val="left"/>
        <w:rPr>
          <w:rFonts w:ascii="Times New Roman" w:hAnsi="Times New Roman"/>
          <w:sz w:val="20"/>
        </w:rPr>
      </w:pPr>
      <w:r>
        <w:rPr>
          <w:rFonts w:ascii="Times New Roman" w:hAnsi="Times New Roman"/>
          <w:sz w:val="20"/>
        </w:rPr>
        <w:t xml:space="preserve">(v) executing and delivering as of Closing (but not prior to Closing) any guarantee, pledge and security documents, other definitive financing documents, or other certificates or documents as may be reasonably requested by the leading Cooperating Party or the Debt Financing Sources; it being understood that such documents shall only be effective at Closing, and otherwise reasonably facilitating the pledging of collateral and the granting of security interests in respect of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Agreement, nothing in </w:t>
      </w:r>
      <w:r>
        <w:rPr>
          <w:rFonts w:ascii="Times New Roman" w:hAnsi="Times New Roman"/>
          <w:sz w:val="20"/>
          <w:u w:val="single"/>
        </w:rPr>
        <w:t>Section 6.16(c)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shall require any Cooperating Party or any of its Subsidiaries to (i) pay any commitment, arrangement or similar fee, (ii) incur any liability, guarantee, indemnity or other obligation under any credit or financing agreement prior to the Closing, or (iii) take any action that would materially and unreasonably interfere with the ongoing operations of such Cooperating Party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Each Cooperating Party and their Subsidiaries consent to the reasonable use of their logos in connection with the Debt Financing if such logos are used solely in a customary manner that is not intended to or reasonably likely to harm or disparage either Cooperating Party or any of their respective Affiliates or Subsidiaries or the reputation or goodwill of any of the foregoing. Each Cooperating Party shall be permitted to disclose information subject to the Confidentiality Agreement to rating agencies, the Debt Financing Sources and its other financing sources and prospective lenders, investors and financing sources, subject to the Debt Financing Sources, financing sources and such prospective lenders, investors and financing sources entering into customary confidentiality undertakings with respect to such information. </w:t>
      </w:r>
    </w:p>
    <w:p>
      <w:pPr>
        <w:pStyle w:val="TextBody"/>
        <w:bidi w:val="0"/>
        <w:spacing w:before="240" w:after="0"/>
        <w:jc w:val="left"/>
        <w:rPr>
          <w:rFonts w:ascii="Times New Roman" w:hAnsi="Times New Roman"/>
          <w:sz w:val="20"/>
        </w:rPr>
      </w:pPr>
      <w:bookmarkStart w:id="193" w:name="anxa76201_90"/>
      <w:bookmarkEnd w:id="193"/>
      <w:r>
        <w:rPr>
          <w:rFonts w:ascii="Times New Roman" w:hAnsi="Times New Roman"/>
          <w:b/>
          <w:sz w:val="20"/>
        </w:rPr>
        <w:t xml:space="preserve">SECTION 6.17 </w:t>
      </w:r>
      <w:r>
        <w:rPr>
          <w:rFonts w:ascii="Times New Roman" w:hAnsi="Times New Roman"/>
          <w:b/>
          <w:sz w:val="20"/>
          <w:u w:val="single"/>
        </w:rPr>
        <w:t>Updated Capitalization Information</w:t>
      </w:r>
      <w:r>
        <w:rPr>
          <w:rFonts w:ascii="Times New Roman" w:hAnsi="Times New Roman"/>
          <w:sz w:val="20"/>
        </w:rPr>
        <w:t xml:space="preserve">. At least three (3) Business Days prior to the Closing, and again immediately prior to the Closing, DXL shall deliver to FBB a written document that sets forth all of the information that DXL would have been required to include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the DXL Disclosure Schedule in order to make the representations and warranties set forth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3.02</w:t>
      </w:r>
      <w:r>
        <w:rPr>
          <w:rFonts w:ascii="Times New Roman" w:hAnsi="Times New Roman"/>
          <w:sz w:val="20"/>
        </w:rPr>
        <w:t xml:space="preserve"> to the date of this Agreement shall be deemed to be references to the date of the Closing). At least three (3) Business Days prior to the Closing, and again immediately prior to the Closing, FBB shall deliver to DXL a written document that sets forth all of the information that FBB would have been required to include in </w:t>
      </w:r>
      <w:r>
        <w:rPr>
          <w:rFonts w:ascii="Times New Roman" w:hAnsi="Times New Roman"/>
          <w:sz w:val="20"/>
          <w:u w:val="single"/>
        </w:rPr>
        <w:t>Section 4.02</w:t>
      </w:r>
      <w:r>
        <w:rPr>
          <w:rFonts w:ascii="Times New Roman" w:hAnsi="Times New Roman"/>
          <w:sz w:val="20"/>
        </w:rPr>
        <w:t xml:space="preserve"> of the FBB Disclosure Schedule in order to make the representations and warranties set forth in </w:t>
      </w:r>
      <w:r>
        <w:rPr>
          <w:rFonts w:ascii="Times New Roman" w:hAnsi="Times New Roman"/>
          <w:sz w:val="20"/>
          <w:u w:val="single"/>
        </w:rPr>
        <w:t>Section 4.02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4.02</w:t>
      </w:r>
      <w:r>
        <w:rPr>
          <w:rFonts w:ascii="Times New Roman" w:hAnsi="Times New Roman"/>
          <w:sz w:val="20"/>
        </w:rPr>
        <w:t xml:space="preserve"> to the date of this Agreement shall be deemed to be references to the date of the Closing). Notwithstanding the foregoing, nothing contained in this </w:t>
      </w:r>
      <w:r>
        <w:rPr>
          <w:rFonts w:ascii="Times New Roman" w:hAnsi="Times New Roman"/>
          <w:sz w:val="20"/>
          <w:u w:val="single"/>
        </w:rPr>
        <w:t>Section 6.17</w:t>
      </w:r>
      <w:r>
        <w:rPr>
          <w:rFonts w:ascii="Times New Roman" w:hAnsi="Times New Roman"/>
          <w:sz w:val="20"/>
        </w:rPr>
        <w:t xml:space="preserve">, including the delivery by DXL to FBB and FBB to DXL of the updated capitalization information required by this </w:t>
      </w:r>
      <w:r>
        <w:rPr>
          <w:rFonts w:ascii="Times New Roman" w:hAnsi="Times New Roman"/>
          <w:sz w:val="20"/>
          <w:u w:val="single"/>
        </w:rPr>
        <w:t>Section 6.17</w:t>
      </w:r>
      <w:r>
        <w:rPr>
          <w:rFonts w:ascii="Times New Roman" w:hAnsi="Times New Roman"/>
          <w:sz w:val="20"/>
        </w:rPr>
        <w:t xml:space="preserve">, shall (i) update any information contained in the DXL Disclosure Schedule or the FBB Disclosure Schedule, (ii) modify, amend or affect any representation or warranty contained in this Agreement or (iii) permit action or non-action otherwise prohibited by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5.01</w:t>
      </w:r>
      <w:r>
        <w:rPr>
          <w:rFonts w:ascii="Times New Roman" w:hAnsi="Times New Roman"/>
          <w:sz w:val="20"/>
        </w:rPr>
        <w:t xml:space="preserve">,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w:t>
      </w:r>
      <w:r>
        <w:rPr>
          <w:rFonts w:ascii="Times New Roman" w:hAnsi="Times New Roman"/>
          <w:sz w:val="20"/>
        </w:rPr>
        <w:t xml:space="preserve">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4" w:name="anxa76201_91"/>
      <w:bookmarkEnd w:id="194"/>
      <w:r>
        <w:rPr>
          <w:rFonts w:ascii="Times New Roman" w:hAnsi="Times New Roman"/>
          <w:b/>
          <w:sz w:val="20"/>
        </w:rPr>
        <w:t xml:space="preserve">SECTION 6.18 </w:t>
      </w:r>
      <w:r>
        <w:rPr>
          <w:rFonts w:ascii="Times New Roman" w:hAnsi="Times New Roman"/>
          <w:b/>
          <w:sz w:val="20"/>
          <w:u w:val="single"/>
        </w:rPr>
        <w:t>Listing of DXL Common Stock on Nasdaq</w:t>
      </w:r>
      <w:r>
        <w:rPr>
          <w:rFonts w:ascii="Times New Roman" w:hAnsi="Times New Roman"/>
          <w:sz w:val="20"/>
        </w:rPr>
        <w:t xml:space="preserve">. Prior to the Effective Time, DXL shall prepare and submit to the Nasdaq a listing application or notification, as applicable, covering the shares of DXL Common Stock to be issued as Merger Consideration, and shall use its reasonable best efforts (including paying all applicable listing fees) to cause the DXL Common Stock to be issued as Merger Consideration to be authorized for listing on Nasdaq, subject to official notice of issuance, and FBB shall reasonably cooperate with DXL in connection with the foregoing, including by providing information reasonably requested by DXL in connection therewith. </w:t>
      </w:r>
    </w:p>
    <w:p>
      <w:pPr>
        <w:pStyle w:val="TextBody"/>
        <w:bidi w:val="0"/>
        <w:spacing w:before="240" w:after="0"/>
        <w:jc w:val="left"/>
        <w:rPr>
          <w:rFonts w:ascii="Times New Roman" w:hAnsi="Times New Roman"/>
          <w:sz w:val="20"/>
        </w:rPr>
      </w:pPr>
      <w:bookmarkStart w:id="195" w:name="anxa76201_92"/>
      <w:bookmarkEnd w:id="195"/>
      <w:r>
        <w:rPr>
          <w:rFonts w:ascii="Times New Roman" w:hAnsi="Times New Roman"/>
          <w:b/>
          <w:sz w:val="20"/>
        </w:rPr>
        <w:t xml:space="preserve">SECTION 6.19 </w:t>
      </w:r>
      <w:r>
        <w:rPr>
          <w:rFonts w:ascii="Times New Roman" w:hAnsi="Times New Roman"/>
          <w:b/>
          <w:sz w:val="20"/>
          <w:u w:val="single"/>
        </w:rPr>
        <w:t>FBB Corporate Actions</w:t>
      </w:r>
      <w:r>
        <w:rPr>
          <w:rFonts w:ascii="Times New Roman" w:hAnsi="Times New Roman"/>
          <w:sz w:val="20"/>
        </w:rPr>
        <w:t>. Prior to the Effective Time, FBB shall (i) amend the FBB Charter to increase the total number of authorized shares sufficient to permit the consummation of the Pre-Closing Investment (the “</w:t>
      </w:r>
      <w:r>
        <w:rPr>
          <w:rFonts w:ascii="Times New Roman" w:hAnsi="Times New Roman"/>
          <w:sz w:val="20"/>
          <w:u w:val="single"/>
        </w:rPr>
        <w:t>FBB Charter Amendment</w:t>
      </w:r>
      <w:r>
        <w:rPr>
          <w:rFonts w:ascii="Times New Roman" w:hAnsi="Times New Roman"/>
          <w:sz w:val="20"/>
        </w:rPr>
        <w:t>”), (ii) amend the certificate of designation of the FBB Preferred Stock (the “</w:t>
      </w:r>
      <w:r>
        <w:rPr>
          <w:rFonts w:ascii="Times New Roman" w:hAnsi="Times New Roman"/>
          <w:sz w:val="20"/>
          <w:u w:val="single"/>
        </w:rPr>
        <w:t>Certificate of Designation</w:t>
      </w:r>
      <w:r>
        <w:rPr>
          <w:rFonts w:ascii="Times New Roman" w:hAnsi="Times New Roman"/>
          <w:sz w:val="20"/>
        </w:rPr>
        <w:t>”) pursuant to an amendment (the “</w:t>
      </w:r>
      <w:r>
        <w:rPr>
          <w:rFonts w:ascii="Times New Roman" w:hAnsi="Times New Roman"/>
          <w:sz w:val="20"/>
          <w:u w:val="single"/>
        </w:rPr>
        <w:t>COD Amendment</w:t>
      </w:r>
      <w:r>
        <w:rPr>
          <w:rFonts w:ascii="Times New Roman" w:hAnsi="Times New Roman"/>
          <w:sz w:val="20"/>
        </w:rPr>
        <w:t xml:space="preserve">”) to cause the conversion of all issued and outstanding shares of FBB Preferred Stock into shares of FBB Common Stock and (iii) take all actions necessary to cause the conversion of all issued and outstanding shares of FBB Preferred Stock into shares of FBB Common Stock. </w:t>
      </w:r>
    </w:p>
    <w:p>
      <w:pPr>
        <w:pStyle w:val="TextBody"/>
        <w:bidi w:val="0"/>
        <w:spacing w:before="480" w:after="0"/>
        <w:jc w:val="center"/>
        <w:rPr>
          <w:rFonts w:ascii="Times New Roman" w:hAnsi="Times New Roman"/>
          <w:b/>
          <w:sz w:val="20"/>
        </w:rPr>
      </w:pPr>
      <w:bookmarkStart w:id="196" w:name="anxa76201_93"/>
      <w:bookmarkEnd w:id="196"/>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u w:val="single"/>
        </w:rPr>
        <w:t>CONDITIONS PRECEDENT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97" w:name="anxa76201_94"/>
      <w:bookmarkEnd w:id="197"/>
      <w:r>
        <w:rPr>
          <w:rFonts w:ascii="Times New Roman" w:hAnsi="Times New Roman"/>
          <w:b/>
          <w:sz w:val="20"/>
        </w:rPr>
        <w:t xml:space="preserve">SECTION 7.01 </w:t>
      </w:r>
      <w:r>
        <w:rPr>
          <w:rFonts w:ascii="Times New Roman" w:hAnsi="Times New Roman"/>
          <w:b/>
          <w:sz w:val="20"/>
          <w:u w:val="single"/>
        </w:rPr>
        <w:t>Conditions to Each Party’s Obligation to Effect the Merger</w:t>
      </w:r>
      <w:r>
        <w:rPr>
          <w:rFonts w:ascii="Times New Roman" w:hAnsi="Times New Roman"/>
          <w:sz w:val="20"/>
        </w:rPr>
        <w:t xml:space="preserve">. The respective obligations of the parties to effect the Merger shall be subject to the satisfaction, or waiver by each of the parties,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FBB Stockholder Approval</w:t>
      </w:r>
      <w:r>
        <w:rPr>
          <w:rFonts w:ascii="Times New Roman" w:hAnsi="Times New Roman"/>
          <w:sz w:val="20"/>
        </w:rPr>
        <w:t xml:space="preserve">. The FBB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Required DXL Stockholder Vote</w:t>
      </w:r>
      <w:r>
        <w:rPr>
          <w:rFonts w:ascii="Times New Roman" w:hAnsi="Times New Roman"/>
          <w:sz w:val="20"/>
        </w:rPr>
        <w:t xml:space="preserve">. The Required DXL Stockholder Vote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Listing</w:t>
      </w:r>
      <w:r>
        <w:rPr>
          <w:rFonts w:ascii="Times New Roman" w:hAnsi="Times New Roman"/>
          <w:sz w:val="20"/>
        </w:rPr>
        <w:t xml:space="preserve">. The DXL Common Stock to be issued as Merger Consideration shall have been authorized for listing on the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Pre-Closing Investment</w:t>
      </w:r>
      <w:r>
        <w:rPr>
          <w:rFonts w:ascii="Times New Roman" w:hAnsi="Times New Roman"/>
          <w:sz w:val="20"/>
        </w:rPr>
        <w:t xml:space="preserve">. The Pre-Closing Investment shall have been consummated pursuant to, and in the amounts set forth in,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Injunctions or Restraints; Illegality</w:t>
      </w:r>
      <w:r>
        <w:rPr>
          <w:rFonts w:ascii="Times New Roman" w:hAnsi="Times New Roman"/>
          <w:sz w:val="20"/>
        </w:rPr>
        <w:t xml:space="preserve">. No Injunction preventing the consummation of the Merger or any of the other Transactions shall be in effect. No statute, rule, regulation or Injunction shall have been enacted, entered, promulgated or enforced by any Governmental Entity that prohibits or makes illegal consummation of the Merger. </w:t>
      </w:r>
    </w:p>
    <w:p>
      <w:pPr>
        <w:pStyle w:val="TextBody"/>
        <w:bidi w:val="0"/>
        <w:spacing w:before="240" w:after="0"/>
        <w:jc w:val="left"/>
        <w:rPr>
          <w:rFonts w:ascii="Times New Roman" w:hAnsi="Times New Roman"/>
          <w:sz w:val="20"/>
        </w:rPr>
      </w:pPr>
      <w:bookmarkStart w:id="198" w:name="anxa76201_95"/>
      <w:bookmarkEnd w:id="198"/>
      <w:r>
        <w:rPr>
          <w:rFonts w:ascii="Times New Roman" w:hAnsi="Times New Roman"/>
          <w:b/>
          <w:sz w:val="20"/>
        </w:rPr>
        <w:t xml:space="preserve">SECTION 7.02 </w:t>
      </w:r>
      <w:r>
        <w:rPr>
          <w:rFonts w:ascii="Times New Roman" w:hAnsi="Times New Roman"/>
          <w:b/>
          <w:sz w:val="20"/>
          <w:u w:val="single"/>
        </w:rPr>
        <w:t>Conditions to Obligations of DXL</w:t>
      </w:r>
      <w:r>
        <w:rPr>
          <w:rFonts w:ascii="Times New Roman" w:hAnsi="Times New Roman"/>
          <w:sz w:val="20"/>
        </w:rPr>
        <w:t xml:space="preserve">. The obligation of DXL to effect the Merger is also subject to the satisfaction, or waiver by DXL,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FBB (other than as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4.01(b)</w:t>
      </w:r>
      <w:r>
        <w:rPr>
          <w:rFonts w:ascii="Times New Roman" w:hAnsi="Times New Roman"/>
          <w:sz w:val="20"/>
        </w:rPr>
        <w:t xml:space="preserve"> (Capitalization), </w:t>
      </w:r>
      <w:r>
        <w:rPr>
          <w:rFonts w:ascii="Times New Roman" w:hAnsi="Times New Roman"/>
          <w:sz w:val="20"/>
          <w:u w:val="single"/>
        </w:rPr>
        <w:t>4.03</w:t>
      </w:r>
      <w:r>
        <w:rPr>
          <w:rFonts w:ascii="Times New Roman" w:hAnsi="Times New Roman"/>
          <w:sz w:val="20"/>
        </w:rPr>
        <w:t xml:space="preserve"> (Authority; No Violation), </w:t>
      </w:r>
      <w:r>
        <w:rPr>
          <w:rFonts w:ascii="Times New Roman" w:hAnsi="Times New Roman"/>
          <w:sz w:val="20"/>
          <w:u w:val="single"/>
        </w:rPr>
        <w:t>4.06</w:t>
      </w:r>
      <w:r>
        <w:rPr>
          <w:rFonts w:ascii="Times New Roman" w:hAnsi="Times New Roman"/>
          <w:sz w:val="20"/>
        </w:rPr>
        <w:t xml:space="preserve"> (Advisors’ Fees), and </w:t>
      </w:r>
      <w:r>
        <w:rPr>
          <w:rFonts w:ascii="Times New Roman" w:hAnsi="Times New Roman"/>
          <w:sz w:val="20"/>
          <w:u w:val="single"/>
        </w:rPr>
        <w:t>4.07(a)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FBB, (ii) the representations and warranties of FBB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4.02</w:t>
      </w:r>
      <w:r>
        <w:rPr>
          <w:rFonts w:ascii="Times New Roman" w:hAnsi="Times New Roman"/>
          <w:sz w:val="20"/>
        </w:rPr>
        <w:t xml:space="preserve"> (Capitalization),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4.03</w:t>
      </w:r>
      <w:r>
        <w:rPr>
          <w:rFonts w:ascii="Times New Roman" w:hAnsi="Times New Roman"/>
          <w:sz w:val="20"/>
        </w:rPr>
        <w:t xml:space="preserve"> (Authority; No Violation) and </w:t>
      </w:r>
      <w:r>
        <w:rPr>
          <w:rFonts w:ascii="Times New Roman" w:hAnsi="Times New Roman"/>
          <w:sz w:val="20"/>
          <w:u w:val="single"/>
        </w:rPr>
        <w:t>4.06</w:t>
      </w:r>
      <w:r>
        <w:rPr>
          <w:rFonts w:ascii="Times New Roman" w:hAnsi="Times New Roman"/>
          <w:sz w:val="20"/>
        </w:rPr>
        <w:t xml:space="preserve"> (Advisors’ Fee)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and, with respect to </w:t>
      </w:r>
      <w:r>
        <w:rPr>
          <w:rFonts w:ascii="Times New Roman" w:hAnsi="Times New Roman"/>
          <w:sz w:val="20"/>
          <w:u w:val="single"/>
        </w:rPr>
        <w:t>Section 4.02</w:t>
      </w:r>
      <w:r>
        <w:rPr>
          <w:rFonts w:ascii="Times New Roman" w:hAnsi="Times New Roman"/>
          <w:sz w:val="20"/>
        </w:rPr>
        <w:t xml:space="preserve"> (Capitalization), subject to any transactions contemplated and permitted under this Agreement), and (iii) the representations and warranties of FBB set forth in </w:t>
      </w:r>
      <w:r>
        <w:rPr>
          <w:rFonts w:ascii="Times New Roman" w:hAnsi="Times New Roman"/>
          <w:sz w:val="20"/>
          <w:u w:val="single"/>
        </w:rPr>
        <w:t>Section 4.07(a)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FBB</w:t>
      </w:r>
      <w:r>
        <w:rPr>
          <w:rFonts w:ascii="Times New Roman" w:hAnsi="Times New Roman"/>
          <w:sz w:val="20"/>
        </w:rPr>
        <w:t xml:space="preserve">. FBB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FBB</w:t>
      </w:r>
      <w:r>
        <w:rPr>
          <w:rFonts w:ascii="Times New Roman" w:hAnsi="Times New Roman"/>
          <w:sz w:val="20"/>
        </w:rPr>
        <w:t xml:space="preserve">. Since the date of this Agreement, no event or events or developments shall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FBB shall have delivered to DXL a certificate certifying the satisfaction of the conditions contained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sz w:val="20"/>
          <w:u w:val="single"/>
        </w:rPr>
        <w:t>Section 7.02(b)</w:t>
      </w:r>
      <w:r>
        <w:rPr>
          <w:rFonts w:ascii="Times New Roman" w:hAnsi="Times New Roman"/>
          <w:sz w:val="20"/>
        </w:rPr>
        <w:t xml:space="preserve"> and </w:t>
      </w:r>
      <w:r>
        <w:rPr>
          <w:rFonts w:ascii="Times New Roman" w:hAnsi="Times New Roman"/>
          <w:sz w:val="20"/>
          <w:u w:val="single"/>
        </w:rPr>
        <w:t>Section 7.02(c)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FBB Corporate Actions</w:t>
      </w:r>
      <w:r>
        <w:rPr>
          <w:rFonts w:ascii="Times New Roman" w:hAnsi="Times New Roman"/>
          <w:sz w:val="20"/>
        </w:rPr>
        <w:t xml:space="preserve">. The actions set forth in </w:t>
      </w:r>
      <w:r>
        <w:rPr>
          <w:rFonts w:ascii="Times New Roman" w:hAnsi="Times New Roman"/>
          <w:sz w:val="20"/>
          <w:u w:val="single"/>
        </w:rPr>
        <w:t>Section 6.19</w:t>
      </w:r>
      <w:r>
        <w:rPr>
          <w:rFonts w:ascii="Times New Roman" w:hAnsi="Times New Roman"/>
          <w:sz w:val="20"/>
        </w:rPr>
        <w:t xml:space="preserve"> shall have been duly effected. </w:t>
      </w:r>
    </w:p>
    <w:p>
      <w:pPr>
        <w:pStyle w:val="TextBody"/>
        <w:bidi w:val="0"/>
        <w:spacing w:before="240" w:after="0"/>
        <w:jc w:val="left"/>
        <w:rPr>
          <w:rFonts w:ascii="Times New Roman" w:hAnsi="Times New Roman"/>
          <w:sz w:val="20"/>
        </w:rPr>
      </w:pPr>
      <w:bookmarkStart w:id="199" w:name="anxa76201_96"/>
      <w:bookmarkEnd w:id="199"/>
      <w:r>
        <w:rPr>
          <w:rFonts w:ascii="Times New Roman" w:hAnsi="Times New Roman"/>
          <w:b/>
          <w:sz w:val="20"/>
        </w:rPr>
        <w:t xml:space="preserve">SECTION 7.03 </w:t>
      </w:r>
      <w:r>
        <w:rPr>
          <w:rFonts w:ascii="Times New Roman" w:hAnsi="Times New Roman"/>
          <w:b/>
          <w:sz w:val="20"/>
          <w:u w:val="single"/>
        </w:rPr>
        <w:t>Conditions to Obligations of FBB</w:t>
      </w:r>
      <w:r>
        <w:rPr>
          <w:rFonts w:ascii="Times New Roman" w:hAnsi="Times New Roman"/>
          <w:sz w:val="20"/>
        </w:rPr>
        <w:t xml:space="preserve">. The obligation of FBB to effect the Merger is also subject to the satisfaction, or waiver by FBB, at or prior to the Effective Time,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DXL (other than as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3.02</w:t>
      </w:r>
      <w:r>
        <w:rPr>
          <w:rFonts w:ascii="Times New Roman" w:hAnsi="Times New Roman"/>
          <w:sz w:val="20"/>
        </w:rPr>
        <w:t xml:space="preserve"> (Capitalization), </w:t>
      </w:r>
      <w:r>
        <w:rPr>
          <w:rFonts w:ascii="Times New Roman" w:hAnsi="Times New Roman"/>
          <w:sz w:val="20"/>
          <w:u w:val="single"/>
        </w:rPr>
        <w:t>3.03</w:t>
      </w:r>
      <w:r>
        <w:rPr>
          <w:rFonts w:ascii="Times New Roman" w:hAnsi="Times New Roman"/>
          <w:sz w:val="20"/>
        </w:rPr>
        <w:t xml:space="preserve"> (Authority; No Violation), </w:t>
      </w:r>
      <w:r>
        <w:rPr>
          <w:rFonts w:ascii="Times New Roman" w:hAnsi="Times New Roman"/>
          <w:sz w:val="20"/>
          <w:u w:val="single"/>
        </w:rPr>
        <w:t>Section 3.07</w:t>
      </w:r>
      <w:r>
        <w:rPr>
          <w:rFonts w:ascii="Times New Roman" w:hAnsi="Times New Roman"/>
          <w:sz w:val="20"/>
        </w:rPr>
        <w:t xml:space="preserve"> (Advisors’ Fees) and </w:t>
      </w:r>
      <w:r>
        <w:rPr>
          <w:rFonts w:ascii="Times New Roman" w:hAnsi="Times New Roman"/>
          <w:sz w:val="20"/>
          <w:u w:val="single"/>
        </w:rPr>
        <w:t>3.08(a)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DXL, (ii) the representations and warranties of DXL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3.03</w:t>
      </w:r>
      <w:r>
        <w:rPr>
          <w:rFonts w:ascii="Times New Roman" w:hAnsi="Times New Roman"/>
          <w:sz w:val="20"/>
        </w:rPr>
        <w:t xml:space="preserve"> (Authority; No Violation) and </w:t>
      </w:r>
      <w:r>
        <w:rPr>
          <w:rFonts w:ascii="Times New Roman" w:hAnsi="Times New Roman"/>
          <w:sz w:val="20"/>
          <w:u w:val="single"/>
        </w:rPr>
        <w:t>Section 3.07</w:t>
      </w:r>
      <w:r>
        <w:rPr>
          <w:rFonts w:ascii="Times New Roman" w:hAnsi="Times New Roman"/>
          <w:sz w:val="20"/>
        </w:rPr>
        <w:t xml:space="preserve"> (Advisors’ Fees)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(iii) the representations and warranties of DXL set forth in </w:t>
      </w:r>
      <w:r>
        <w:rPr>
          <w:rFonts w:ascii="Times New Roman" w:hAnsi="Times New Roman"/>
          <w:sz w:val="20"/>
          <w:u w:val="single"/>
        </w:rPr>
        <w:t>Section 3.02</w:t>
      </w:r>
      <w:r>
        <w:rPr>
          <w:rFonts w:ascii="Times New Roman" w:hAnsi="Times New Roman"/>
          <w:sz w:val="20"/>
        </w:rPr>
        <w:t xml:space="preserve"> (Capitalization) shall be true and correct in all respects on the date of this Agreement and as of the Closing Date, as if made at and as of such date, subject only to </w:t>
      </w:r>
      <w:r>
        <w:rPr>
          <w:rFonts w:ascii="Times New Roman" w:hAnsi="Times New Roman"/>
          <w:i/>
          <w:sz w:val="20"/>
        </w:rPr>
        <w:t>de minimis</w:t>
      </w:r>
      <w:r>
        <w:rPr>
          <w:rFonts w:ascii="Times New Roman" w:hAnsi="Times New Roman"/>
          <w:sz w:val="20"/>
        </w:rPr>
        <w:t xml:space="preserve"> inaccuracies on the date of this Agreement, and as of the Closing Date and (iv) the representations and warranties of DXL set forth in </w:t>
      </w:r>
      <w:r>
        <w:rPr>
          <w:rFonts w:ascii="Times New Roman" w:hAnsi="Times New Roman"/>
          <w:sz w:val="20"/>
          <w:u w:val="single"/>
        </w:rPr>
        <w:t>Section 3.08(a)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DXL</w:t>
      </w:r>
      <w:r>
        <w:rPr>
          <w:rFonts w:ascii="Times New Roman" w:hAnsi="Times New Roman"/>
          <w:sz w:val="20"/>
        </w:rPr>
        <w:t xml:space="preserve">. DXL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DXL</w:t>
      </w:r>
      <w:r>
        <w:rPr>
          <w:rFonts w:ascii="Times New Roman" w:hAnsi="Times New Roman"/>
          <w:sz w:val="20"/>
        </w:rPr>
        <w:t xml:space="preserve">. Since the date of this Agreement, no event or events or development or developments shall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DXL shall have delivered to FBB a certificate certifying the satisfaction of the conditions contained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sz w:val="20"/>
          <w:u w:val="single"/>
        </w:rPr>
        <w:t>Section 7.03(b)</w:t>
      </w:r>
      <w:r>
        <w:rPr>
          <w:rFonts w:ascii="Times New Roman" w:hAnsi="Times New Roman"/>
          <w:sz w:val="20"/>
        </w:rPr>
        <w:t xml:space="preserve">, and </w:t>
      </w:r>
      <w:r>
        <w:rPr>
          <w:rFonts w:ascii="Times New Roman" w:hAnsi="Times New Roman"/>
          <w:sz w:val="20"/>
          <w:u w:val="single"/>
        </w:rPr>
        <w:t>Section 7.03(c)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0" w:name="anxa76201_97"/>
      <w:bookmarkEnd w:id="200"/>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u w:val="single"/>
        </w:rPr>
        <w:t>TERMINATION AND AMENDMENT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1" w:name="anxa76201_98"/>
      <w:bookmarkEnd w:id="201"/>
      <w:r>
        <w:rPr>
          <w:rFonts w:ascii="Times New Roman" w:hAnsi="Times New Roman"/>
          <w:b/>
          <w:sz w:val="20"/>
        </w:rPr>
        <w:t xml:space="preserve">SECTION 8.01 </w:t>
      </w:r>
      <w:r>
        <w:rPr>
          <w:rFonts w:ascii="Times New Roman" w:hAnsi="Times New Roman"/>
          <w:b/>
          <w:sz w:val="20"/>
          <w:u w:val="single"/>
        </w:rPr>
        <w:t>Termination</w:t>
      </w:r>
      <w:r>
        <w:rPr>
          <w:rFonts w:ascii="Times New Roman" w:hAnsi="Times New Roman"/>
          <w:sz w:val="20"/>
        </w:rPr>
        <w:t xml:space="preserve">. This Agreement may be terminated at any time prior to the Effective Time, whether before or after receipt of the FBB Stockholder Approval or the Required DXL Stockholder Vote, by action taken or authorized by the board of directors of the terminating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DXL and FBB in a written instrument; </w:t>
      </w:r>
    </w:p>
    <w:p>
      <w:pPr>
        <w:pStyle w:val="TextBody"/>
        <w:bidi w:val="0"/>
        <w:spacing w:before="240" w:after="0"/>
        <w:jc w:val="left"/>
        <w:rPr>
          <w:rFonts w:ascii="Times New Roman" w:hAnsi="Times New Roman"/>
          <w:sz w:val="20"/>
        </w:rPr>
      </w:pPr>
      <w:r>
        <w:rPr>
          <w:rFonts w:ascii="Times New Roman" w:hAnsi="Times New Roman"/>
          <w:sz w:val="20"/>
        </w:rPr>
        <w:t xml:space="preserve">(b) by either DXL or FBB if any Governmental Entity of competent jurisdiction shall have issued a final and non-appealable order permanently enjoining or otherwise prohibiting the consummation of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by either DXL or FBB if the Required DXL Stockholder Vote shall not have been obtained at the DXL Stockholders Meeting or any adjournment or postponement thereof at which the vote was taken; provided that DXL may not terminate this Agreement pursuant to this </w:t>
      </w:r>
      <w:r>
        <w:rPr>
          <w:rFonts w:ascii="Times New Roman" w:hAnsi="Times New Roman"/>
          <w:sz w:val="20"/>
          <w:u w:val="single"/>
        </w:rPr>
        <w:t>Section 8.01(c)</w:t>
      </w:r>
      <w:r>
        <w:rPr>
          <w:rFonts w:ascii="Times New Roman" w:hAnsi="Times New Roman"/>
          <w:sz w:val="20"/>
        </w:rPr>
        <w:t xml:space="preserve"> if DXL’s breach of its obligations under this Agreement proximately contributed to the failure to have obtained the Required DXL Stockholder Vote at the DXL Stockholders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(d) by either DXL or FBB if the FBB Stockholder Approval shall not have been obtained within five (5) calendar days of the date hereof; provided that FBB may not terminate this Agreement pursuant to this </w:t>
      </w:r>
      <w:r>
        <w:rPr>
          <w:rFonts w:ascii="Times New Roman" w:hAnsi="Times New Roman"/>
          <w:sz w:val="20"/>
          <w:u w:val="single"/>
        </w:rPr>
        <w:t>Section 8.01(d)</w:t>
      </w:r>
      <w:r>
        <w:rPr>
          <w:rFonts w:ascii="Times New Roman" w:hAnsi="Times New Roman"/>
          <w:sz w:val="20"/>
        </w:rPr>
        <w:t xml:space="preserve"> if FBB’s breach of its obligations under this Agreement proximately contributed to the failure to have obtained the FBB Stockholder Approval; </w:t>
      </w:r>
    </w:p>
    <w:p>
      <w:pPr>
        <w:pStyle w:val="TextBody"/>
        <w:bidi w:val="0"/>
        <w:spacing w:before="240" w:after="0"/>
        <w:jc w:val="left"/>
        <w:rPr>
          <w:rFonts w:ascii="Times New Roman" w:hAnsi="Times New Roman"/>
          <w:sz w:val="20"/>
        </w:rPr>
      </w:pPr>
      <w:r>
        <w:rPr>
          <w:rFonts w:ascii="Times New Roman" w:hAnsi="Times New Roman"/>
          <w:sz w:val="20"/>
        </w:rPr>
        <w:t>(e) by either DXL or FBB if the Merger shall not have been consummated on or before September 11, 2026 (the “</w:t>
      </w:r>
      <w:r>
        <w:rPr>
          <w:rFonts w:ascii="Times New Roman" w:hAnsi="Times New Roman"/>
          <w:sz w:val="20"/>
          <w:u w:val="single"/>
        </w:rPr>
        <w:t>End Date</w:t>
      </w:r>
      <w:r>
        <w:rPr>
          <w:rFonts w:ascii="Times New Roman" w:hAnsi="Times New Roman"/>
          <w:sz w:val="20"/>
        </w:rPr>
        <w:t xml:space="preserve">”), subject to extension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8.04</w:t>
      </w:r>
      <w:r>
        <w:rPr>
          <w:rFonts w:ascii="Times New Roman" w:hAnsi="Times New Roman"/>
          <w:sz w:val="20"/>
        </w:rPr>
        <w:t xml:space="preserve">; provided that no party may terminate this Agreement pursuant to this </w:t>
      </w:r>
      <w:r>
        <w:rPr>
          <w:rFonts w:ascii="Times New Roman" w:hAnsi="Times New Roman"/>
          <w:sz w:val="20"/>
          <w:u w:val="single"/>
        </w:rPr>
        <w:t>Section 8.01(e)</w:t>
      </w:r>
      <w:r>
        <w:rPr>
          <w:rFonts w:ascii="Times New Roman" w:hAnsi="Times New Roman"/>
          <w:sz w:val="20"/>
        </w:rPr>
        <w:t xml:space="preserve"> if such party’s breach of its obligations under this Agreement proximately contributed to the failure of the Closing to occur by the End Date (or any extension of the End Date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04); </w:t>
      </w:r>
    </w:p>
    <w:p>
      <w:pPr>
        <w:pStyle w:val="TextBody"/>
        <w:bidi w:val="0"/>
        <w:spacing w:before="240" w:after="0"/>
        <w:jc w:val="left"/>
        <w:rPr>
          <w:rFonts w:ascii="Times New Roman" w:hAnsi="Times New Roman"/>
          <w:sz w:val="20"/>
        </w:rPr>
      </w:pPr>
      <w:r>
        <w:rPr>
          <w:rFonts w:ascii="Times New Roman" w:hAnsi="Times New Roman"/>
          <w:sz w:val="20"/>
        </w:rPr>
        <w:t xml:space="preserve">(f) by DXL if there shall have been a breach of any of the covenants or agreements or any inaccuracy of any of the representations or warranties set forth in this Agreement on the part of FBB,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(g) by FBB if there shall have been a breach of any of the covenants or agreements or any inaccuracy of any of the representations or warranties set forth in this Agreement on the part of DXL,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DXL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DXL shall not have commenced good faith efforts to cure the breach or inaccuracy within ten (10) calendar days following receipt of written notice from FBB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(h) by DXL if there shall have been a breach or failure to perform on the part of FBB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(a), </w:t>
      </w:r>
      <w:r>
        <w:rPr>
          <w:rFonts w:ascii="Times New Roman" w:hAnsi="Times New Roman"/>
          <w:sz w:val="20"/>
          <w:u w:val="single"/>
        </w:rPr>
        <w:t>Section 6.16(b)</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6.19</w:t>
      </w:r>
      <w:r>
        <w:rPr>
          <w:rFonts w:ascii="Times New Roman" w:hAnsi="Times New Roman"/>
          <w:sz w:val="20"/>
        </w:rPr>
        <w:t xml:space="preserve">, which breach or failure, either individually or in the aggregate, would result in, if occurring or continuing on the Closing Date, the failure of the condition set forth in </w:t>
      </w:r>
      <w:r>
        <w:rPr>
          <w:rFonts w:ascii="Times New Roman" w:hAnsi="Times New Roman"/>
          <w:sz w:val="20"/>
          <w:u w:val="single"/>
        </w:rPr>
        <w:t>Section 7.01(d)</w:t>
      </w:r>
      <w:r>
        <w:rPr>
          <w:rFonts w:ascii="Times New Roman" w:hAnsi="Times New Roman"/>
          <w:sz w:val="20"/>
        </w:rPr>
        <w:t xml:space="preserve"> , and such breach or failure to perform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(i) by FBB if Nasdaq shall have informed FBB or DXL, whether orally or in writing, that Nasdaq will not list the Merger Consideration upon consummation of the Merger and otherwise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(j) by DXL, at any time prior to the receipt of the Required DXL Stockholder Vote in connection with entering into a DXL Acquisition Agreement in accordance with </w:t>
      </w:r>
      <w:r>
        <w:rPr>
          <w:rFonts w:ascii="Times New Roman" w:hAnsi="Times New Roman"/>
          <w:sz w:val="20"/>
          <w:u w:val="single"/>
        </w:rPr>
        <w:t>Section 5.06(f)</w:t>
      </w:r>
      <w:r>
        <w:rPr>
          <w:rFonts w:ascii="Times New Roman" w:hAnsi="Times New Roman"/>
          <w:sz w:val="20"/>
        </w:rPr>
        <w:t xml:space="preserve">; provided, that DXL concurrently pays FBB the DXL Termination Fee in accordance with </w:t>
      </w:r>
      <w:r>
        <w:rPr>
          <w:rFonts w:ascii="Times New Roman" w:hAnsi="Times New Roman"/>
          <w:sz w:val="20"/>
          <w:u w:val="single"/>
        </w:rPr>
        <w:t>Section 6.07(b)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(k) by FBB, at any time prior to the receipt of the Required DXL Stockholder Vote in the event of a DXL Adverse Recommendation Change. </w:t>
      </w:r>
    </w:p>
    <w:p>
      <w:pPr>
        <w:pStyle w:val="TextBody"/>
        <w:bidi w:val="0"/>
        <w:spacing w:before="240" w:after="0"/>
        <w:jc w:val="left"/>
        <w:rPr>
          <w:rFonts w:ascii="Times New Roman" w:hAnsi="Times New Roman"/>
          <w:sz w:val="20"/>
        </w:rPr>
      </w:pPr>
      <w:bookmarkStart w:id="202" w:name="anxa76201_99"/>
      <w:bookmarkEnd w:id="202"/>
      <w:r>
        <w:rPr>
          <w:rFonts w:ascii="Times New Roman" w:hAnsi="Times New Roman"/>
          <w:b/>
          <w:sz w:val="20"/>
        </w:rPr>
        <w:t xml:space="preserve">SECTION 8.02 </w:t>
      </w:r>
      <w:r>
        <w:rPr>
          <w:rFonts w:ascii="Times New Roman" w:hAnsi="Times New Roman"/>
          <w:b/>
          <w:sz w:val="20"/>
          <w:u w:val="single"/>
        </w:rPr>
        <w:t>Effect of Termination</w:t>
      </w:r>
      <w:r>
        <w:rPr>
          <w:rFonts w:ascii="Times New Roman" w:hAnsi="Times New Roman"/>
          <w:sz w:val="20"/>
        </w:rPr>
        <w:t xml:space="preserve">. In the event of termination of this Agreement by either DXL or FBB in accordance with </w:t>
      </w:r>
      <w:r>
        <w:rPr>
          <w:rFonts w:ascii="Times New Roman" w:hAnsi="Times New Roman"/>
          <w:sz w:val="20"/>
          <w:u w:val="single"/>
        </w:rPr>
        <w:t>Section 8.01</w:t>
      </w:r>
      <w:r>
        <w:rPr>
          <w:rFonts w:ascii="Times New Roman" w:hAnsi="Times New Roman"/>
          <w:sz w:val="20"/>
        </w:rPr>
        <w:t>, this Agreement shall forthwith become void and have no effect, and none of DXL, FBB, any of their respective Subsidiaries or Affiliates or any of the officers or directors of any of the foregoing shall have any liability of any nature whatsoever under this Agreement, or in connection with the Merger and the other Transactions, except that (a) </w:t>
      </w:r>
      <w:r>
        <w:rPr>
          <w:rFonts w:ascii="Times New Roman" w:hAnsi="Times New Roman"/>
          <w:sz w:val="20"/>
          <w:u w:val="single"/>
        </w:rPr>
        <w:t>Section 6.07</w:t>
      </w:r>
      <w:r>
        <w:rPr>
          <w:rFonts w:ascii="Times New Roman" w:hAnsi="Times New Roman"/>
          <w:sz w:val="20"/>
        </w:rPr>
        <w:t xml:space="preserve">, this </w:t>
      </w:r>
      <w:r>
        <w:rPr>
          <w:rFonts w:ascii="Times New Roman" w:hAnsi="Times New Roman"/>
          <w:sz w:val="20"/>
          <w:u w:val="single"/>
        </w:rPr>
        <w:t>Section 8.02,</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(other than </w:t>
      </w:r>
      <w:r>
        <w:rPr>
          <w:rFonts w:ascii="Times New Roman" w:hAnsi="Times New Roman"/>
          <w:sz w:val="20"/>
          <w:u w:val="single"/>
        </w:rPr>
        <w:t>Section 9.13</w:t>
      </w:r>
      <w:r>
        <w:rPr>
          <w:rFonts w:ascii="Times New Roman" w:hAnsi="Times New Roman"/>
          <w:sz w:val="20"/>
        </w:rPr>
        <w:t xml:space="preserve">) and the last sentence of </w:t>
      </w:r>
      <w:r>
        <w:rPr>
          <w:rFonts w:ascii="Times New Roman" w:hAnsi="Times New Roman"/>
          <w:sz w:val="20"/>
          <w:u w:val="single"/>
        </w:rPr>
        <w:t>Section 6.03</w:t>
      </w:r>
      <w:r>
        <w:rPr>
          <w:rFonts w:ascii="Times New Roman" w:hAnsi="Times New Roman"/>
          <w:sz w:val="20"/>
        </w:rPr>
        <w:t xml:space="preserve">, as well as the Confidentiality Agreement, shall survive any termination of this Agreement and (b) notwithstanding any termination or any contrary provision contained in this Agreement, neither DXL nor FBB shall be relieved or released from liability resulting from the willful and material breach by such party of any of its representations, warranties, covenants or agreements set forth in this Agreement or for fraud. </w:t>
      </w:r>
    </w:p>
    <w:p>
      <w:pPr>
        <w:pStyle w:val="TextBody"/>
        <w:bidi w:val="0"/>
        <w:spacing w:before="240" w:after="0"/>
        <w:jc w:val="left"/>
        <w:rPr>
          <w:rFonts w:ascii="Times New Roman" w:hAnsi="Times New Roman"/>
          <w:sz w:val="20"/>
        </w:rPr>
      </w:pPr>
      <w:bookmarkStart w:id="203" w:name="anxa76201_100"/>
      <w:bookmarkEnd w:id="203"/>
      <w:r>
        <w:rPr>
          <w:rFonts w:ascii="Times New Roman" w:hAnsi="Times New Roman"/>
          <w:b/>
          <w:sz w:val="20"/>
        </w:rPr>
        <w:t xml:space="preserve">SECTION 8.03 </w:t>
      </w:r>
      <w:r>
        <w:rPr>
          <w:rFonts w:ascii="Times New Roman" w:hAnsi="Times New Roman"/>
          <w:b/>
          <w:sz w:val="20"/>
          <w:u w:val="single"/>
        </w:rPr>
        <w:t>Amendment</w:t>
      </w:r>
      <w:r>
        <w:rPr>
          <w:rFonts w:ascii="Times New Roman" w:hAnsi="Times New Roman"/>
          <w:sz w:val="20"/>
        </w:rPr>
        <w:t xml:space="preserve">. Subject to compliance with applicable Law, this Agreement may be amended by DXL, Merger Sub and FBB, by action taken or authorized by their respective boards of directors, at any time before or after the FBB Stockholder Approval or the Required DXL Stockholder Vote; provided that (1) after the FBB Stockholder Approval has been obtained, any amendment of this Agreement that by applicable Law requires the further approval by the stockholders of FBB shall be effective only with the approval of such stockholders and (2) after the Required DXL Stockholder Vote has been obtained, any amendment of this Agreement that by applicable Law requires the further approval by the stockholders of DXL shall be effective only with the approval of such stockholders. This Agreement may not be amended except by an instrument in writing signed on behalf of each of the parties. Notwithstanding anything herein to the contrary, any amendment to this </w:t>
      </w:r>
      <w:r>
        <w:rPr>
          <w:rFonts w:ascii="Times New Roman" w:hAnsi="Times New Roman"/>
          <w:sz w:val="20"/>
          <w:u w:val="single"/>
        </w:rPr>
        <w:t>Section 8.03</w:t>
      </w:r>
      <w:r>
        <w:rPr>
          <w:rFonts w:ascii="Times New Roman" w:hAnsi="Times New Roman"/>
          <w:sz w:val="20"/>
        </w:rPr>
        <w:t xml:space="preserve"> or </w:t>
      </w:r>
      <w:r>
        <w:rPr>
          <w:rFonts w:ascii="Times New Roman" w:hAnsi="Times New Roman"/>
          <w:sz w:val="20"/>
          <w:u w:val="single"/>
        </w:rPr>
        <w:t>Section 9.14</w:t>
      </w:r>
      <w:r>
        <w:rPr>
          <w:rFonts w:ascii="Times New Roman" w:hAnsi="Times New Roman"/>
          <w:sz w:val="20"/>
        </w:rPr>
        <w:t xml:space="preserve"> (and, in each case, the related definitions in this Agreement used therein) that is adverse to any Financing Related Party shall not be made without the prior written consent of the affiliated Financing Source (to the extent there is any). </w:t>
      </w:r>
    </w:p>
    <w:p>
      <w:pPr>
        <w:pStyle w:val="TextBody"/>
        <w:bidi w:val="0"/>
        <w:spacing w:before="240" w:after="0"/>
        <w:jc w:val="left"/>
        <w:rPr>
          <w:rFonts w:ascii="Times New Roman" w:hAnsi="Times New Roman"/>
          <w:sz w:val="20"/>
        </w:rPr>
      </w:pPr>
      <w:bookmarkStart w:id="204" w:name="anxa76201_101"/>
      <w:bookmarkEnd w:id="204"/>
      <w:r>
        <w:rPr>
          <w:rFonts w:ascii="Times New Roman" w:hAnsi="Times New Roman"/>
          <w:b/>
          <w:sz w:val="20"/>
        </w:rPr>
        <w:t xml:space="preserve">SECTION 8.04 </w:t>
      </w:r>
      <w:r>
        <w:rPr>
          <w:rFonts w:ascii="Times New Roman" w:hAnsi="Times New Roman"/>
          <w:b/>
          <w:sz w:val="20"/>
          <w:u w:val="single"/>
        </w:rPr>
        <w:t>Extension; Waiver</w:t>
      </w:r>
      <w:r>
        <w:rPr>
          <w:rFonts w:ascii="Times New Roman" w:hAnsi="Times New Roman"/>
          <w:sz w:val="20"/>
        </w:rPr>
        <w:t xml:space="preserve">. At any time prior to the Effective Time, DXL (on behalf of itself and Merger Sub) and FBB may, to the extent legally allowed, (a) extend the time for the performance of any of the obligations or other acts of DXL or Merger Sub, in the case of FBB, or FBB, in the case of DXL, (b) waive any inaccuracies in the representations and warranties of DXL or Merger Sub, in the case of FBB, or FBB, in the case of DXL, contained in this Agreement, and (c) waive compliance by DXL or Merger Sub, in the case of FBB, or FBB, in the case of DXL, with any of the agreements or conditions contained in this Agreement. Any agreement on the part of a party to any such extension or waiver will be valid only if set forth in a written instrument signed by an authorized officer on behalf of such party, but such extension or waiver or failure to insist on strict compliance with an obligation, covenant, agreement or condition will not operate as a waiver of, or estoppel with respect to, any subsequent or other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5" w:name="anxa76201_102"/>
      <w:bookmarkEnd w:id="205"/>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6" w:name="anxa76201_103"/>
      <w:bookmarkEnd w:id="206"/>
      <w:r>
        <w:rPr>
          <w:rFonts w:ascii="Times New Roman" w:hAnsi="Times New Roman"/>
          <w:b/>
          <w:sz w:val="20"/>
        </w:rPr>
        <w:t xml:space="preserve">SECTION 9.01 </w:t>
      </w:r>
      <w:r>
        <w:rPr>
          <w:rFonts w:ascii="Times New Roman" w:hAnsi="Times New Roman"/>
          <w:b/>
          <w:sz w:val="20"/>
          <w:u w:val="single"/>
        </w:rPr>
        <w:t>Non-survival of Representations and Warranties</w:t>
      </w:r>
      <w:r>
        <w:rPr>
          <w:rFonts w:ascii="Times New Roman" w:hAnsi="Times New Roman"/>
          <w:sz w:val="20"/>
        </w:rPr>
        <w:t xml:space="preserve">. None of the representations, warranties, covenants and agreements in this Agreement or in any instrument delivered pursuant to this Agreement shall survive the Effective Time; provided that this </w:t>
      </w:r>
      <w:r>
        <w:rPr>
          <w:rFonts w:ascii="Times New Roman" w:hAnsi="Times New Roman"/>
          <w:sz w:val="20"/>
          <w:u w:val="single"/>
        </w:rPr>
        <w:t>Section 9.01</w:t>
      </w:r>
      <w:r>
        <w:rPr>
          <w:rFonts w:ascii="Times New Roman" w:hAnsi="Times New Roman"/>
          <w:sz w:val="20"/>
        </w:rPr>
        <w:t xml:space="preserve"> shall not limit any covenant or agreement of the parties which by its terms contemplates performance after the Effective Time. </w:t>
      </w:r>
    </w:p>
    <w:p>
      <w:pPr>
        <w:pStyle w:val="TextBody"/>
        <w:bidi w:val="0"/>
        <w:spacing w:before="240" w:after="0"/>
        <w:jc w:val="left"/>
        <w:rPr>
          <w:rFonts w:ascii="Times New Roman" w:hAnsi="Times New Roman"/>
          <w:sz w:val="20"/>
        </w:rPr>
      </w:pPr>
      <w:bookmarkStart w:id="207" w:name="anxa76201_104"/>
      <w:bookmarkEnd w:id="207"/>
      <w:r>
        <w:rPr>
          <w:rFonts w:ascii="Times New Roman" w:hAnsi="Times New Roman"/>
          <w:b/>
          <w:sz w:val="20"/>
        </w:rPr>
        <w:t xml:space="preserve">SECTION 9.02 </w:t>
      </w:r>
      <w:r>
        <w:rPr>
          <w:rFonts w:ascii="Times New Roman" w:hAnsi="Times New Roman"/>
          <w:b/>
          <w:sz w:val="20"/>
          <w:u w:val="single"/>
        </w:rPr>
        <w:t>Notices</w:t>
      </w:r>
      <w:r>
        <w:rPr>
          <w:rFonts w:ascii="Times New Roman" w:hAnsi="Times New Roman"/>
          <w:sz w:val="20"/>
        </w:rPr>
        <w:t xml:space="preserve">. To be effective under this Agreement, all notices, requests, claims, demands and other communications under this Agreement shall be sent by facsimile transmission or email of a .pdf (or similar) attachment (providing confirmation of transmission), by reliable overnight delivery service (with proof of service) or by hand delivery, and shall be deemed given upon receipt by the parties at the following addresses (or at such other address for a party as shall be specified by like notice); provided, however, that any notice received by facsimile or email transmission or otherwise at the addressee’s location on any Business Day after 6:00 p.m. (addressee’s local time) shall be deemed to have been received at 9:00 a.m. (addressee’s local time) on the next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DXL or Merger Sub,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0" w:after="0"/>
        <w:jc w:val="left"/>
        <w:rPr>
          <w:rFonts w:ascii="Times New Roman" w:hAnsi="Times New Roman"/>
          <w:sz w:val="20"/>
        </w:rPr>
      </w:pPr>
      <w:r>
        <w:rPr>
          <w:rFonts w:ascii="Times New Roman" w:hAnsi="Times New Roman"/>
          <w:sz w:val="20"/>
        </w:rPr>
        <w:t xml:space="preserve">Attn: Harvey S. Kanter </w:t>
      </w:r>
    </w:p>
    <w:p>
      <w:pPr>
        <w:pStyle w:val="TextBody"/>
        <w:bidi w:val="0"/>
        <w:spacing w:before="0" w:after="0"/>
        <w:jc w:val="left"/>
        <w:rPr>
          <w:rFonts w:ascii="Times New Roman" w:hAnsi="Times New Roman"/>
          <w:sz w:val="20"/>
        </w:rPr>
      </w:pPr>
      <w:r>
        <w:rPr>
          <w:rFonts w:ascii="Times New Roman" w:hAnsi="Times New Roman"/>
          <w:sz w:val="20"/>
        </w:rPr>
        <w:t xml:space="preserve">Email: hkanter@dxlg.com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Greenberg Traurig, LLP </w:t>
      </w:r>
    </w:p>
    <w:p>
      <w:pPr>
        <w:pStyle w:val="TextBody"/>
        <w:bidi w:val="0"/>
        <w:spacing w:before="0" w:after="0"/>
        <w:jc w:val="left"/>
        <w:rPr>
          <w:rFonts w:ascii="Times New Roman" w:hAnsi="Times New Roman"/>
          <w:sz w:val="20"/>
        </w:rPr>
      </w:pPr>
      <w:r>
        <w:rPr>
          <w:rFonts w:ascii="Times New Roman" w:hAnsi="Times New Roman"/>
          <w:sz w:val="20"/>
        </w:rPr>
        <w:t xml:space="preserve">2375 E. Camelback Rd., Suite 800 </w:t>
      </w:r>
    </w:p>
    <w:p>
      <w:pPr>
        <w:pStyle w:val="TextBody"/>
        <w:bidi w:val="0"/>
        <w:spacing w:before="0" w:after="0"/>
        <w:jc w:val="left"/>
        <w:rPr>
          <w:rFonts w:ascii="Times New Roman" w:hAnsi="Times New Roman"/>
          <w:sz w:val="20"/>
        </w:rPr>
      </w:pPr>
      <w:r>
        <w:rPr>
          <w:rFonts w:ascii="Times New Roman" w:hAnsi="Times New Roman"/>
          <w:sz w:val="20"/>
        </w:rPr>
        <w:t xml:space="preserve">Phoenix, AZ 85016 </w:t>
      </w:r>
    </w:p>
    <w:p>
      <w:pPr>
        <w:pStyle w:val="TextBody"/>
        <w:bidi w:val="0"/>
        <w:spacing w:before="0" w:after="0"/>
        <w:jc w:val="left"/>
        <w:rPr>
          <w:rFonts w:ascii="Times New Roman" w:hAnsi="Times New Roman"/>
          <w:sz w:val="20"/>
        </w:rPr>
      </w:pPr>
      <w:r>
        <w:rPr>
          <w:rFonts w:ascii="Times New Roman" w:hAnsi="Times New Roman"/>
          <w:sz w:val="20"/>
        </w:rPr>
        <w:t xml:space="preserve">Attention: Brian H. Blaney </w:t>
      </w:r>
    </w:p>
    <w:p>
      <w:pPr>
        <w:pStyle w:val="TextBody"/>
        <w:bidi w:val="0"/>
        <w:spacing w:before="0" w:after="0"/>
        <w:jc w:val="left"/>
        <w:rPr>
          <w:rFonts w:ascii="Times New Roman" w:hAnsi="Times New Roman"/>
          <w:sz w:val="20"/>
        </w:rPr>
      </w:pPr>
      <w:r>
        <w:rPr>
          <w:rFonts w:ascii="Times New Roman" w:hAnsi="Times New Roman"/>
          <w:sz w:val="20"/>
        </w:rPr>
        <w:t xml:space="preserve">E-mail: blaneyb@gtlaw.com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FBB,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FBB Holdings I, Inc.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w:t>
      </w:r>
    </w:p>
    <w:p>
      <w:pPr>
        <w:pStyle w:val="TextBody"/>
        <w:bidi w:val="0"/>
        <w:spacing w:before="0" w:after="0"/>
        <w:jc w:val="left"/>
        <w:rPr>
          <w:rFonts w:ascii="Times New Roman" w:hAnsi="Times New Roman"/>
          <w:sz w:val="20"/>
        </w:rPr>
      </w:pPr>
      <w:r>
        <w:rPr>
          <w:rFonts w:ascii="Times New Roman" w:hAnsi="Times New Roman"/>
          <w:sz w:val="20"/>
        </w:rPr>
        <w:t xml:space="preserve">Attn: Jim Fogarty (CEO);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jfogarty@fbbrands.com; generalcounsel@fbbrands.com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New York, NY 10006 </w:t>
      </w:r>
    </w:p>
    <w:p>
      <w:pPr>
        <w:pStyle w:val="TextBody"/>
        <w:bidi w:val="0"/>
        <w:spacing w:before="0" w:after="0"/>
        <w:jc w:val="left"/>
        <w:rPr>
          <w:rFonts w:ascii="Times New Roman" w:hAnsi="Times New Roman"/>
          <w:sz w:val="20"/>
        </w:rPr>
      </w:pPr>
      <w:r>
        <w:rPr>
          <w:rFonts w:ascii="Times New Roman" w:hAnsi="Times New Roman"/>
          <w:sz w:val="20"/>
        </w:rPr>
        <w:t xml:space="preserve">Attn: Paul J. Shim </w:t>
      </w:r>
    </w:p>
    <w:p>
      <w:pPr>
        <w:pStyle w:val="TextBody"/>
        <w:bidi w:val="0"/>
        <w:spacing w:before="0" w:after="0"/>
        <w:jc w:val="left"/>
        <w:rPr>
          <w:rFonts w:ascii="Times New Roman" w:hAnsi="Times New Roman"/>
          <w:sz w:val="20"/>
        </w:rPr>
      </w:pPr>
      <w:r>
        <w:rPr>
          <w:rFonts w:ascii="Times New Roman" w:hAnsi="Times New Roman"/>
          <w:sz w:val="20"/>
        </w:rPr>
        <w:t xml:space="preserve">E-mail: pshim@cgsh.com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650 California St, 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94108 </w:t>
      </w:r>
    </w:p>
    <w:p>
      <w:pPr>
        <w:pStyle w:val="TextBody"/>
        <w:bidi w:val="0"/>
        <w:spacing w:before="0" w:after="0"/>
        <w:jc w:val="left"/>
        <w:rPr>
          <w:rFonts w:ascii="Times New Roman" w:hAnsi="Times New Roman"/>
          <w:sz w:val="20"/>
        </w:rPr>
      </w:pPr>
      <w:r>
        <w:rPr>
          <w:rFonts w:ascii="Times New Roman" w:hAnsi="Times New Roman"/>
          <w:sz w:val="20"/>
        </w:rPr>
        <w:t xml:space="preserve">Attn: Benet J. O’Reilly </w:t>
      </w:r>
    </w:p>
    <w:p>
      <w:pPr>
        <w:pStyle w:val="TextBody"/>
        <w:bidi w:val="0"/>
        <w:spacing w:before="0" w:after="0"/>
        <w:jc w:val="left"/>
        <w:rPr>
          <w:rFonts w:ascii="Times New Roman" w:hAnsi="Times New Roman"/>
          <w:sz w:val="20"/>
        </w:rPr>
      </w:pPr>
      <w:r>
        <w:rPr>
          <w:rFonts w:ascii="Times New Roman" w:hAnsi="Times New Roman"/>
          <w:sz w:val="20"/>
        </w:rPr>
        <w:t xml:space="preserve">E-mail: boreilly@cgsh.com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08" w:name="anxa76201_105"/>
      <w:bookmarkEnd w:id="208"/>
      <w:r>
        <w:rPr>
          <w:rFonts w:ascii="Times New Roman" w:hAnsi="Times New Roman"/>
          <w:b/>
          <w:sz w:val="20"/>
        </w:rPr>
        <w:t xml:space="preserve">SECTION 9.03 </w:t>
      </w:r>
      <w:r>
        <w:rPr>
          <w:rFonts w:ascii="Times New Roman" w:hAnsi="Times New Roman"/>
          <w:b/>
          <w:sz w:val="20"/>
          <w:u w:val="single"/>
        </w:rPr>
        <w:t>Definitions</w:t>
      </w:r>
      <w:r>
        <w:rPr>
          <w:rFonts w:ascii="Times New Roman" w:hAnsi="Times New Roman"/>
          <w:sz w:val="20"/>
        </w:rPr>
        <w:t xml:space="preserve">. As used in this Agreement, the following terms shall have the respective meanings set forth below: </w:t>
      </w:r>
    </w:p>
    <w:p>
      <w:pPr>
        <w:pStyle w:val="TextBody"/>
        <w:bidi w:val="0"/>
        <w:spacing w:before="240" w:after="0"/>
        <w:jc w:val="left"/>
        <w:rPr/>
      </w:pPr>
      <w:r>
        <w:rPr/>
        <w:t>“</w:t>
      </w:r>
      <w:r>
        <w:rPr>
          <w:rFonts w:ascii="Times New Roman" w:hAnsi="Times New Roman"/>
          <w:sz w:val="20"/>
          <w:u w:val="single"/>
        </w:rPr>
        <w:t>A&amp;R Term Loan Facility</w:t>
      </w:r>
      <w:r>
        <w:rPr>
          <w:rFonts w:ascii="Times New Roman" w:hAnsi="Times New Roman"/>
          <w:sz w:val="20"/>
        </w:rPr>
        <w:t xml:space="preserve">” means that certain First Lien Term Loan Credit Agreement, dated as of August 2, 2022, among the FBB Holdings III, Inc., as borrower, FBB Holdings II, Inc., as holdings, the lenders from time to time party thereto and CB Corporate Finance, LLC as administrative agent (the “Existing Term Loan Facility”); as amended and restated pursuant to the A&amp;R Term Loan Amendment, as in effect immediately following the Closing.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with respect to </w:t>
      </w:r>
      <w:r>
        <w:rPr>
          <w:rFonts w:ascii="Times New Roman" w:hAnsi="Times New Roman"/>
          <w:sz w:val="20"/>
          <w:u w:val="single"/>
        </w:rPr>
        <w:t>Section 5.06</w:t>
      </w:r>
      <w:r>
        <w:rPr>
          <w:rFonts w:ascii="Times New Roman" w:hAnsi="Times New Roman"/>
          <w:sz w:val="20"/>
        </w:rPr>
        <w:t xml:space="preserve"> a confidentiality agreement determined by the DXL Board in good faith to provide for terms substantially no less restrictive to DXL’s counterparty thereto than those contained in the Confidentiality Agreement that are applicable to FBB (it being understood that such confidentiality agreement need not include any “standstill” or similar provision). </w:t>
      </w:r>
    </w:p>
    <w:p>
      <w:pPr>
        <w:pStyle w:val="TextBody"/>
        <w:bidi w:val="0"/>
        <w:spacing w:before="240" w:after="0"/>
        <w:jc w:val="left"/>
        <w:rPr/>
      </w:pPr>
      <w:r>
        <w:rPr/>
        <w:t>“</w:t>
      </w:r>
      <w:r>
        <w:rPr>
          <w:rFonts w:ascii="Times New Roman" w:hAnsi="Times New Roman"/>
          <w:sz w:val="20"/>
          <w:u w:val="single"/>
        </w:rPr>
        <w:t>Accredited Investor</w:t>
      </w:r>
      <w:r>
        <w:rPr>
          <w:rFonts w:ascii="Times New Roman" w:hAnsi="Times New Roman"/>
          <w:sz w:val="20"/>
        </w:rPr>
        <w:t xml:space="preserve">” means a Person that FBB reasonably believes is an “accredited investor” as that term is defined in Rule 501 of Regulation D of the Securities Act.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is controlled by, or is under common control with, such Person.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by Contract or otherwise.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banking and savings and loan institutions are authorized or required by Law to be closed in New York, New York. </w:t>
      </w:r>
    </w:p>
    <w:p>
      <w:pPr>
        <w:pStyle w:val="TextBody"/>
        <w:bidi w:val="0"/>
        <w:spacing w:before="240" w:after="0"/>
        <w:jc w:val="left"/>
        <w:rPr/>
      </w:pPr>
      <w:r>
        <w:rPr/>
        <w:t>“</w:t>
      </w:r>
      <w:r>
        <w:rPr>
          <w:rFonts w:ascii="Times New Roman" w:hAnsi="Times New Roman"/>
          <w:sz w:val="20"/>
          <w:u w:val="single"/>
        </w:rPr>
        <w:t>Charter Documents</w:t>
      </w:r>
      <w:r>
        <w:rPr>
          <w:rFonts w:ascii="Times New Roman" w:hAnsi="Times New Roman"/>
          <w:sz w:val="20"/>
        </w:rPr>
        <w:t xml:space="preserve">”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Commitment and Subscription Agreement</w:t>
      </w:r>
      <w:r>
        <w:rPr>
          <w:rFonts w:ascii="Times New Roman" w:hAnsi="Times New Roman"/>
          <w:sz w:val="20"/>
        </w:rPr>
        <w:t xml:space="preserve">” means a Contract executed by an FBB Investor in connection with the Pre-Closing Investment.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subcontract, agreement, binding commitment, note, bond, mortgage, indenture, lease, license, sublicense, franchise or other legally binding instrument, obligation or arrangement, whether oral or in writing. </w:t>
      </w:r>
    </w:p>
    <w:p>
      <w:pPr>
        <w:pStyle w:val="TextBody"/>
        <w:bidi w:val="0"/>
        <w:spacing w:before="240" w:after="0"/>
        <w:jc w:val="left"/>
        <w:rPr/>
      </w:pPr>
      <w:r>
        <w:rPr/>
        <w:t>“</w:t>
      </w:r>
      <w:r>
        <w:rPr>
          <w:rFonts w:ascii="Times New Roman" w:hAnsi="Times New Roman"/>
          <w:sz w:val="20"/>
          <w:u w:val="single"/>
        </w:rPr>
        <w:t>Debt Documents</w:t>
      </w:r>
      <w:r>
        <w:rPr>
          <w:rFonts w:ascii="Times New Roman" w:hAnsi="Times New Roman"/>
          <w:sz w:val="20"/>
        </w:rPr>
        <w:t xml:space="preserve">” means any definitive agreement with respect to the Debt Financing.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6.16(c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any agent, arranger, lender or other entity that has committed to provide, arrange, underwrite or place, or has entered into definitive agreements related to, the Debt Financing, and the parties to any joinder agreements, amendments or credit agreements entered into pursuant thereto or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DXL Bylaws</w:t>
      </w:r>
      <w:r>
        <w:rPr>
          <w:rFonts w:ascii="Times New Roman" w:hAnsi="Times New Roman"/>
          <w:sz w:val="20"/>
        </w:rPr>
        <w:t xml:space="preserve">” means the Fourth Amended and Restated Bylaws of DXL, as amended and in effect as of the date hereof. </w:t>
      </w:r>
    </w:p>
    <w:p>
      <w:pPr>
        <w:pStyle w:val="TextBody"/>
        <w:bidi w:val="0"/>
        <w:spacing w:before="240" w:after="0"/>
        <w:jc w:val="left"/>
        <w:rPr/>
      </w:pPr>
      <w:r>
        <w:rPr/>
        <w:t>“</w:t>
      </w:r>
      <w:r>
        <w:rPr>
          <w:rFonts w:ascii="Times New Roman" w:hAnsi="Times New Roman"/>
          <w:sz w:val="20"/>
          <w:u w:val="single"/>
        </w:rPr>
        <w:t>DXL CapEx Budget</w:t>
      </w:r>
      <w:r>
        <w:rPr>
          <w:rFonts w:ascii="Times New Roman" w:hAnsi="Times New Roman"/>
          <w:sz w:val="20"/>
        </w:rPr>
        <w:t xml:space="preserve">” means that certain capital expenditures budget of DXL and its Subsidiaries set forth in </w:t>
      </w:r>
      <w:r>
        <w:rPr>
          <w:rFonts w:ascii="Times New Roman" w:hAnsi="Times New Roman"/>
          <w:sz w:val="20"/>
          <w:u w:val="single"/>
        </w:rPr>
        <w:t>Section 5.02(i)</w:t>
      </w:r>
      <w:r>
        <w:rPr>
          <w:rFonts w:ascii="Times New Roman" w:hAnsi="Times New Roman"/>
          <w:sz w:val="20"/>
        </w:rPr>
        <w:t xml:space="preserve"> of the DXL Disclosure Schedule. </w:t>
      </w:r>
    </w:p>
    <w:p>
      <w:pPr>
        <w:pStyle w:val="TextBody"/>
        <w:bidi w:val="0"/>
        <w:spacing w:before="240" w:after="0"/>
        <w:jc w:val="left"/>
        <w:rPr/>
      </w:pPr>
      <w:r>
        <w:rPr/>
        <w:t>“</w:t>
      </w:r>
      <w:r>
        <w:rPr>
          <w:rFonts w:ascii="Times New Roman" w:hAnsi="Times New Roman"/>
          <w:sz w:val="20"/>
          <w:u w:val="single"/>
        </w:rPr>
        <w:t>DXL Charter</w:t>
      </w:r>
      <w:r>
        <w:rPr>
          <w:rFonts w:ascii="Times New Roman" w:hAnsi="Times New Roman"/>
          <w:sz w:val="20"/>
        </w:rPr>
        <w:t xml:space="preserve">” means the Restated Certificate of Incorporation of DXL, as amended and in effect as of the date hereof. </w:t>
      </w:r>
    </w:p>
    <w:p>
      <w:pPr>
        <w:pStyle w:val="TextBody"/>
        <w:bidi w:val="0"/>
        <w:spacing w:before="240" w:after="0"/>
        <w:jc w:val="left"/>
        <w:rPr/>
      </w:pPr>
      <w:r>
        <w:rPr/>
        <w:t>“</w:t>
      </w:r>
      <w:r>
        <w:rPr>
          <w:rFonts w:ascii="Times New Roman" w:hAnsi="Times New Roman"/>
          <w:sz w:val="20"/>
          <w:u w:val="single"/>
        </w:rPr>
        <w:t>DXL Common Stock</w:t>
      </w:r>
      <w:r>
        <w:rPr>
          <w:rFonts w:ascii="Times New Roman" w:hAnsi="Times New Roman"/>
          <w:sz w:val="20"/>
        </w:rPr>
        <w:t xml:space="preserve">” means the common stock of DXL, par value $0.01 per share. </w:t>
      </w:r>
    </w:p>
    <w:p>
      <w:pPr>
        <w:pStyle w:val="TextBody"/>
        <w:bidi w:val="0"/>
        <w:spacing w:before="240" w:after="0"/>
        <w:jc w:val="left"/>
        <w:rPr/>
      </w:pPr>
      <w:r>
        <w:rPr/>
        <w:t>“</w:t>
      </w:r>
      <w:r>
        <w:rPr>
          <w:rFonts w:ascii="Times New Roman" w:hAnsi="Times New Roman"/>
          <w:sz w:val="20"/>
          <w:u w:val="single"/>
        </w:rPr>
        <w:t>DXL Deferred Stock Award</w:t>
      </w:r>
      <w:r>
        <w:rPr>
          <w:rFonts w:ascii="Times New Roman" w:hAnsi="Times New Roman"/>
          <w:sz w:val="20"/>
        </w:rPr>
        <w:t xml:space="preserve">” means each award of deferred DXL Common Stock granted to non-employee directors under the DXL Equity Plans. </w:t>
      </w:r>
    </w:p>
    <w:p>
      <w:pPr>
        <w:pStyle w:val="TextBody"/>
        <w:bidi w:val="0"/>
        <w:spacing w:before="240" w:after="0"/>
        <w:jc w:val="left"/>
        <w:rPr/>
      </w:pPr>
      <w:r>
        <w:rPr/>
        <w:t>“</w:t>
      </w:r>
      <w:r>
        <w:rPr>
          <w:rFonts w:ascii="Times New Roman" w:hAnsi="Times New Roman"/>
          <w:sz w:val="20"/>
          <w:u w:val="single"/>
        </w:rPr>
        <w:t>DXL Disclosure Schedule</w:t>
      </w:r>
      <w:r>
        <w:rPr>
          <w:rFonts w:ascii="Times New Roman" w:hAnsi="Times New Roman"/>
          <w:sz w:val="20"/>
        </w:rPr>
        <w:t xml:space="preserve">” means the disclosure schedule delivered by DXL and Merger Sub to FBB in connection with the execution of this Agreement. </w:t>
      </w:r>
    </w:p>
    <w:p>
      <w:pPr>
        <w:pStyle w:val="TextBody"/>
        <w:bidi w:val="0"/>
        <w:spacing w:before="240" w:after="0"/>
        <w:jc w:val="left"/>
        <w:rPr/>
      </w:pPr>
      <w:r>
        <w:rPr/>
        <w:t>“</w:t>
      </w:r>
      <w:r>
        <w:rPr>
          <w:rFonts w:ascii="Times New Roman" w:hAnsi="Times New Roman"/>
          <w:sz w:val="20"/>
          <w:u w:val="single"/>
        </w:rPr>
        <w:t>DXL Equity Plans</w:t>
      </w:r>
      <w:r>
        <w:rPr>
          <w:rFonts w:ascii="Times New Roman" w:hAnsi="Times New Roman"/>
          <w:sz w:val="20"/>
        </w:rPr>
        <w:t xml:space="preserve">” means (i) the 2006 Incentive Compensation Plan, as amended and/or restated from time to time, and any successor plan thereto, (ii) the Second Amended and Restated 2016 Incentive Compensation Plan, as amended and/or restated from time to time, and any successor plan thereto, (iii) the Fourth Amended and Restated Long Term Incentive Plan, and (iv) the Seventh Amended and Restated Non-Employee Director Compensation Plan, as amended and/or restated from time to time, and any successor plan thereto. </w:t>
      </w:r>
    </w:p>
    <w:p>
      <w:pPr>
        <w:pStyle w:val="TextBody"/>
        <w:bidi w:val="0"/>
        <w:spacing w:before="240" w:after="0"/>
        <w:jc w:val="left"/>
        <w:rPr/>
      </w:pPr>
      <w:r>
        <w:rPr/>
        <w:t>“</w:t>
      </w:r>
      <w:r>
        <w:rPr>
          <w:rFonts w:ascii="Times New Roman" w:hAnsi="Times New Roman"/>
          <w:sz w:val="20"/>
          <w:u w:val="single"/>
        </w:rPr>
        <w:t>DXL ERISA Affiliate</w:t>
      </w:r>
      <w:r>
        <w:rPr>
          <w:rFonts w:ascii="Times New Roman" w:hAnsi="Times New Roman"/>
          <w:sz w:val="20"/>
        </w:rPr>
        <w:t xml:space="preserve">” means all employers (whether or not incorporated) that would be treated together with DXL or any of its Subsidiaries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DXL IP Rights</w:t>
      </w:r>
      <w:r>
        <w:rPr>
          <w:rFonts w:ascii="Times New Roman" w:hAnsi="Times New Roman"/>
          <w:sz w:val="20"/>
        </w:rPr>
        <w:t xml:space="preserve">” means all Intellectual Property Rights owned or purported to be owned by DXL or any of the DXL Subsidiaries. </w:t>
      </w:r>
    </w:p>
    <w:p>
      <w:pPr>
        <w:pStyle w:val="TextBody"/>
        <w:bidi w:val="0"/>
        <w:spacing w:before="240" w:after="0"/>
        <w:jc w:val="left"/>
        <w:rPr/>
      </w:pPr>
      <w:r>
        <w:rPr/>
        <w:t>“</w:t>
      </w:r>
      <w:r>
        <w:rPr>
          <w:rFonts w:ascii="Times New Roman" w:hAnsi="Times New Roman"/>
          <w:sz w:val="20"/>
          <w:u w:val="single"/>
        </w:rPr>
        <w:t>DXL Option</w:t>
      </w:r>
      <w:r>
        <w:rPr>
          <w:rFonts w:ascii="Times New Roman" w:hAnsi="Times New Roman"/>
          <w:sz w:val="20"/>
        </w:rPr>
        <w:t xml:space="preserve">” means each option to purchase shares of DXL Common Stock granted under the DXL Equity Plans. </w:t>
      </w:r>
    </w:p>
    <w:p>
      <w:pPr>
        <w:pStyle w:val="TextBody"/>
        <w:bidi w:val="0"/>
        <w:spacing w:before="240" w:after="0"/>
        <w:jc w:val="left"/>
        <w:rPr/>
      </w:pPr>
      <w:r>
        <w:rPr/>
        <w:t>“</w:t>
      </w:r>
      <w:r>
        <w:rPr>
          <w:rFonts w:ascii="Times New Roman" w:hAnsi="Times New Roman"/>
          <w:sz w:val="20"/>
          <w:u w:val="single"/>
        </w:rPr>
        <w:t>DXL Performance Share Award</w:t>
      </w:r>
      <w:r>
        <w:rPr>
          <w:rFonts w:ascii="Times New Roman" w:hAnsi="Times New Roman"/>
          <w:sz w:val="20"/>
        </w:rPr>
        <w:t xml:space="preserve">” means each performance share award with respect to shares of DXL Common Stock granted under the DXL Equity Plans. </w:t>
      </w:r>
    </w:p>
    <w:p>
      <w:pPr>
        <w:pStyle w:val="TextBody"/>
        <w:bidi w:val="0"/>
        <w:spacing w:before="240" w:after="0"/>
        <w:jc w:val="left"/>
        <w:rPr/>
      </w:pPr>
      <w:r>
        <w:rPr/>
        <w:t>“</w:t>
      </w:r>
      <w:r>
        <w:rPr>
          <w:rFonts w:ascii="Times New Roman" w:hAnsi="Times New Roman"/>
          <w:sz w:val="20"/>
          <w:u w:val="single"/>
        </w:rPr>
        <w:t>DXL Preferred Stock</w:t>
      </w:r>
      <w:r>
        <w:rPr>
          <w:rFonts w:ascii="Times New Roman" w:hAnsi="Times New Roman"/>
          <w:sz w:val="20"/>
        </w:rPr>
        <w:t xml:space="preserve">” means the preferred stock of DXL, par value $0.01 per share. </w:t>
      </w:r>
    </w:p>
    <w:p>
      <w:pPr>
        <w:pStyle w:val="TextBody"/>
        <w:bidi w:val="0"/>
        <w:spacing w:before="240" w:after="0"/>
        <w:jc w:val="left"/>
        <w:rPr/>
      </w:pPr>
      <w:r>
        <w:rPr/>
        <w:t>“</w:t>
      </w:r>
      <w:r>
        <w:rPr>
          <w:rFonts w:ascii="Times New Roman" w:hAnsi="Times New Roman"/>
          <w:sz w:val="20"/>
          <w:u w:val="single"/>
        </w:rPr>
        <w:t>DXL Restricted Employee</w:t>
      </w:r>
      <w:r>
        <w:rPr>
          <w:rFonts w:ascii="Times New Roman" w:hAnsi="Times New Roman"/>
          <w:sz w:val="20"/>
        </w:rPr>
        <w:t xml:space="preserve">” means any employee of DXL whose annual base compensation is excess of $300,000, that is an “officer” as defined under Section 16(a) of the Exchange Act, or any other employee of DXL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DXL Restricted Stock Unit Award</w:t>
      </w:r>
      <w:r>
        <w:rPr>
          <w:rFonts w:ascii="Times New Roman" w:hAnsi="Times New Roman"/>
          <w:sz w:val="20"/>
        </w:rPr>
        <w:t xml:space="preserve"> “ means each time-vesting restricted stock unit award in respect of DXL Common Stock granted under the DXL Equity Plans. </w:t>
      </w:r>
    </w:p>
    <w:p>
      <w:pPr>
        <w:pStyle w:val="TextBody"/>
        <w:bidi w:val="0"/>
        <w:spacing w:before="240" w:after="0"/>
        <w:jc w:val="left"/>
        <w:rPr/>
      </w:pPr>
      <w:r>
        <w:rPr/>
        <w:t>“</w:t>
      </w:r>
      <w:r>
        <w:rPr>
          <w:rFonts w:ascii="Times New Roman" w:hAnsi="Times New Roman"/>
          <w:sz w:val="20"/>
          <w:u w:val="single"/>
        </w:rPr>
        <w:t>DXL Stock Price</w:t>
      </w:r>
      <w:r>
        <w:rPr>
          <w:rFonts w:ascii="Times New Roman" w:hAnsi="Times New Roman"/>
          <w:sz w:val="20"/>
        </w:rPr>
        <w:t xml:space="preserve">” means the dollar value of the average of the daily volume-weighted average sales price per share of DXL Common Stock, as such daily volume-weighted average sales price per share is reported by Bloomberg L.P., calculated to four decimal places and determined without regard to after-hours trading or any other trading outside the regular trading session trading hours, for each of the ten (10) consecutive trading days immediately preceding the trading day two (2) days prior to the Closing Date. </w:t>
      </w:r>
    </w:p>
    <w:p>
      <w:pPr>
        <w:pStyle w:val="TextBody"/>
        <w:bidi w:val="0"/>
        <w:spacing w:before="240" w:after="0"/>
        <w:jc w:val="left"/>
        <w:rPr/>
      </w:pPr>
      <w:r>
        <w:rPr/>
        <w:t>“</w:t>
      </w:r>
      <w:r>
        <w:rPr>
          <w:rFonts w:ascii="Times New Roman" w:hAnsi="Times New Roman"/>
          <w:sz w:val="20"/>
          <w:u w:val="single"/>
        </w:rPr>
        <w:t>DXL Top Supplier</w:t>
      </w:r>
      <w:r>
        <w:rPr>
          <w:rFonts w:ascii="Times New Roman" w:hAnsi="Times New Roman"/>
          <w:sz w:val="20"/>
        </w:rPr>
        <w:t xml:space="preserve">” shall mean a top twenty vendor or supplier of DXL and its Subsidiaries, taken as a whole, based on expenditures during the twelve months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Equity Documents</w:t>
      </w:r>
      <w:r>
        <w:rPr>
          <w:rFonts w:ascii="Times New Roman" w:hAnsi="Times New Roman"/>
          <w:sz w:val="20"/>
        </w:rPr>
        <w:t xml:space="preserve">” means any definitive agreement with respect to the Pre-Closing Investment, including the Commitment and Subscription Agreements.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of any Person means any (i) capital stock, membership or partnership interest, unit or other ownership interest of or in such Person, (ii) securities directly or indirectly convertible into or exchangeable for any for the foregoing, (iii) options, warrants or other rights directly or indirectly to purchase or subscribe for any of the foregoing or securities convertible into or exchangeable for any of the foregoing or (iv) Contracts, commitments, and agreements relating to the issuance of any of the foregoing or giving any Person the right to participate in or receive any payment based on the profits or performance of such Person (including any equity appreciation, phantom equity or similar plan or right).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New Issuance divided by the number of shares of FBB Common Stock issued and outstanding immediately prior to the Effective Time. </w:t>
      </w:r>
    </w:p>
    <w:p>
      <w:pPr>
        <w:pStyle w:val="TextBody"/>
        <w:bidi w:val="0"/>
        <w:spacing w:before="240" w:after="0"/>
        <w:jc w:val="left"/>
        <w:rPr/>
      </w:pPr>
      <w:r>
        <w:rPr/>
        <w:t>“</w:t>
      </w:r>
      <w:r>
        <w:rPr>
          <w:rFonts w:ascii="Times New Roman" w:hAnsi="Times New Roman"/>
          <w:sz w:val="20"/>
          <w:u w:val="single"/>
        </w:rPr>
        <w:t>Existing DXL ABL Agreement</w:t>
      </w:r>
      <w:r>
        <w:rPr>
          <w:rFonts w:ascii="Times New Roman" w:hAnsi="Times New Roman"/>
          <w:sz w:val="20"/>
        </w:rPr>
        <w:t xml:space="preserve">” means that certain Credit Agreement, dated as of October 28, 2021, among Destination XL Group, Inc., as Lead Borrower, the other Borrowers and Guarantors party thereto, the lenders from time to time party thereto, and Citizens Bank, N.A., as Administrative Agent and Collateral Agent (as amended, restated, supplemented or otherwise modified from time to time prior to the date of this Agreement). </w:t>
      </w:r>
    </w:p>
    <w:p>
      <w:pPr>
        <w:pStyle w:val="TextBody"/>
        <w:bidi w:val="0"/>
        <w:spacing w:before="240" w:after="0"/>
        <w:jc w:val="left"/>
        <w:rPr/>
      </w:pPr>
      <w:r>
        <w:rPr/>
        <w:t>“</w:t>
      </w:r>
      <w:r>
        <w:rPr>
          <w:rFonts w:ascii="Times New Roman" w:hAnsi="Times New Roman"/>
          <w:sz w:val="20"/>
          <w:u w:val="single"/>
        </w:rPr>
        <w:t>Existing FBB ABL Agreement</w:t>
      </w:r>
      <w:r>
        <w:rPr>
          <w:rFonts w:ascii="Times New Roman" w:hAnsi="Times New Roman"/>
          <w:sz w:val="20"/>
        </w:rPr>
        <w:t xml:space="preserve">” means that certain ABL Credit Agreement, dated as of February 7, 2019, among FBB Holdings III, Inc., the other borrowers party thereto, FBB Holdings II, Inc., the lenders party thereto and Citizens Bank, N.A., as administrative agent and collateral agent, as amended, restated, supplemented or otherwise modified prior to the date of this Agreement. </w:t>
      </w:r>
    </w:p>
    <w:p>
      <w:pPr>
        <w:pStyle w:val="TextBody"/>
        <w:bidi w:val="0"/>
        <w:spacing w:before="240" w:after="0"/>
        <w:jc w:val="left"/>
        <w:rPr/>
      </w:pPr>
      <w:r>
        <w:rPr/>
        <w:t>“</w:t>
      </w:r>
      <w:r>
        <w:rPr>
          <w:rFonts w:ascii="Times New Roman" w:hAnsi="Times New Roman"/>
          <w:sz w:val="20"/>
          <w:u w:val="single"/>
        </w:rPr>
        <w:t>Existing Term Loan Facility</w:t>
      </w:r>
      <w:r>
        <w:rPr>
          <w:rFonts w:ascii="Times New Roman" w:hAnsi="Times New Roman"/>
          <w:sz w:val="20"/>
        </w:rPr>
        <w:t>” has the meaning set forth in the definition of “</w:t>
      </w:r>
      <w:r>
        <w:rPr>
          <w:rFonts w:ascii="Times New Roman" w:hAnsi="Times New Roman"/>
          <w:sz w:val="20"/>
          <w:u w:val="single"/>
        </w:rPr>
        <w:t>A&amp;R Term Loan Facility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FBB Bylaws</w:t>
      </w:r>
      <w:r>
        <w:rPr>
          <w:rFonts w:ascii="Times New Roman" w:hAnsi="Times New Roman"/>
          <w:sz w:val="20"/>
        </w:rPr>
        <w:t xml:space="preserve">” means the Amended and Restated Bylaws of FBB, as amended and in effect as of the date hereof. </w:t>
      </w:r>
    </w:p>
    <w:p>
      <w:pPr>
        <w:pStyle w:val="TextBody"/>
        <w:bidi w:val="0"/>
        <w:spacing w:before="240" w:after="0"/>
        <w:jc w:val="left"/>
        <w:rPr/>
      </w:pPr>
      <w:r>
        <w:rPr/>
        <w:t>“</w:t>
      </w:r>
      <w:r>
        <w:rPr>
          <w:rFonts w:ascii="Times New Roman" w:hAnsi="Times New Roman"/>
          <w:sz w:val="20"/>
          <w:u w:val="single"/>
        </w:rPr>
        <w:t>FBB CapEx Budget</w:t>
      </w:r>
      <w:r>
        <w:rPr>
          <w:rFonts w:ascii="Times New Roman" w:hAnsi="Times New Roman"/>
          <w:sz w:val="20"/>
        </w:rPr>
        <w:t xml:space="preserve">” means that certain capital expenditures budget of FBB and its Subsidiaries set forth in </w:t>
      </w:r>
      <w:r>
        <w:rPr>
          <w:rFonts w:ascii="Times New Roman" w:hAnsi="Times New Roman"/>
          <w:sz w:val="20"/>
          <w:u w:val="single"/>
        </w:rPr>
        <w:t>Section 5.03(i)</w:t>
      </w:r>
      <w:r>
        <w:rPr>
          <w:rFonts w:ascii="Times New Roman" w:hAnsi="Times New Roman"/>
          <w:sz w:val="20"/>
        </w:rPr>
        <w:t xml:space="preserve"> of the FBB Disclosure Schedule. </w:t>
      </w:r>
    </w:p>
    <w:p>
      <w:pPr>
        <w:pStyle w:val="TextBody"/>
        <w:bidi w:val="0"/>
        <w:spacing w:before="240" w:after="0"/>
        <w:jc w:val="left"/>
        <w:rPr/>
      </w:pPr>
      <w:r>
        <w:rPr/>
        <w:t>“</w:t>
      </w:r>
      <w:r>
        <w:rPr>
          <w:rFonts w:ascii="Times New Roman" w:hAnsi="Times New Roman"/>
          <w:sz w:val="20"/>
          <w:u w:val="single"/>
        </w:rPr>
        <w:t>FBB Charter</w:t>
      </w:r>
      <w:r>
        <w:rPr>
          <w:rFonts w:ascii="Times New Roman" w:hAnsi="Times New Roman"/>
          <w:sz w:val="20"/>
        </w:rPr>
        <w:t xml:space="preserve">” means the Amended and Restated Certificate of Incorporation of FBB, as amended and in effect as of the date hereof. </w:t>
      </w:r>
    </w:p>
    <w:p>
      <w:pPr>
        <w:pStyle w:val="TextBody"/>
        <w:bidi w:val="0"/>
        <w:spacing w:before="240" w:after="0"/>
        <w:jc w:val="left"/>
        <w:rPr/>
      </w:pPr>
      <w:r>
        <w:rPr/>
        <w:t>“</w:t>
      </w:r>
      <w:r>
        <w:rPr>
          <w:rFonts w:ascii="Times New Roman" w:hAnsi="Times New Roman"/>
          <w:sz w:val="20"/>
          <w:u w:val="single"/>
        </w:rPr>
        <w:t>FBB Common Stock</w:t>
      </w:r>
      <w:r>
        <w:rPr>
          <w:rFonts w:ascii="Times New Roman" w:hAnsi="Times New Roman"/>
          <w:sz w:val="20"/>
        </w:rPr>
        <w:t xml:space="preserve">” means the common stock of FBB, par value $0.01 per share. </w:t>
      </w:r>
    </w:p>
    <w:p>
      <w:pPr>
        <w:pStyle w:val="TextBody"/>
        <w:bidi w:val="0"/>
        <w:spacing w:before="240" w:after="0"/>
        <w:jc w:val="left"/>
        <w:rPr/>
      </w:pPr>
      <w:r>
        <w:rPr/>
        <w:t>“</w:t>
      </w:r>
      <w:r>
        <w:rPr>
          <w:rFonts w:ascii="Times New Roman" w:hAnsi="Times New Roman"/>
          <w:sz w:val="20"/>
          <w:u w:val="single"/>
        </w:rPr>
        <w:t>FBB Disclosure Schedule</w:t>
      </w:r>
      <w:r>
        <w:rPr>
          <w:rFonts w:ascii="Times New Roman" w:hAnsi="Times New Roman"/>
          <w:sz w:val="20"/>
        </w:rPr>
        <w:t xml:space="preserve">” means the disclosure schedule delivered by FBB to DXL and Merger Sub in connection with the execution of this Agreement. </w:t>
      </w:r>
    </w:p>
    <w:p>
      <w:pPr>
        <w:pStyle w:val="TextBody"/>
        <w:bidi w:val="0"/>
        <w:spacing w:before="240" w:after="0"/>
        <w:jc w:val="left"/>
        <w:rPr/>
      </w:pPr>
      <w:r>
        <w:rPr/>
        <w:t>“</w:t>
      </w:r>
      <w:r>
        <w:rPr>
          <w:rFonts w:ascii="Times New Roman" w:hAnsi="Times New Roman"/>
          <w:sz w:val="20"/>
          <w:u w:val="single"/>
        </w:rPr>
        <w:t>FBB Equity Plan</w:t>
      </w:r>
      <w:r>
        <w:rPr>
          <w:rFonts w:ascii="Times New Roman" w:hAnsi="Times New Roman"/>
          <w:sz w:val="20"/>
        </w:rPr>
        <w:t xml:space="preserve">” means the 2019 Management Incentive Plan of FBB Holdings I, Inc., as amended and in effect as of the date hereof. </w:t>
      </w:r>
    </w:p>
    <w:p>
      <w:pPr>
        <w:pStyle w:val="TextBody"/>
        <w:bidi w:val="0"/>
        <w:spacing w:before="240" w:after="0"/>
        <w:jc w:val="left"/>
        <w:rPr/>
      </w:pPr>
      <w:r>
        <w:rPr/>
        <w:t>“</w:t>
      </w:r>
      <w:r>
        <w:rPr>
          <w:rFonts w:ascii="Times New Roman" w:hAnsi="Times New Roman"/>
          <w:sz w:val="20"/>
          <w:u w:val="single"/>
        </w:rPr>
        <w:t>FBB ERISA Affiliate</w:t>
      </w:r>
      <w:r>
        <w:rPr>
          <w:rFonts w:ascii="Times New Roman" w:hAnsi="Times New Roman"/>
          <w:sz w:val="20"/>
        </w:rPr>
        <w:t xml:space="preserve">” means all employers (whether or not incorporated) that would be treated together with FBB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FBB Investors</w:t>
      </w:r>
      <w:r>
        <w:rPr>
          <w:rFonts w:ascii="Times New Roman" w:hAnsi="Times New Roman"/>
          <w:sz w:val="20"/>
        </w:rPr>
        <w:t xml:space="preserve">” means Persons that have entered into Commitment and Subscription Agreements to acquire shares of FBB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FBB IP Rights</w:t>
      </w:r>
      <w:r>
        <w:rPr>
          <w:rFonts w:ascii="Times New Roman" w:hAnsi="Times New Roman"/>
          <w:sz w:val="20"/>
        </w:rPr>
        <w:t xml:space="preserve">” means all Intellectual Property Rights owned or purported to be owned by FBB or any of the FBB Subsidiaries. </w:t>
      </w:r>
    </w:p>
    <w:p>
      <w:pPr>
        <w:pStyle w:val="TextBody"/>
        <w:bidi w:val="0"/>
        <w:spacing w:before="240" w:after="0"/>
        <w:jc w:val="left"/>
        <w:rPr/>
      </w:pPr>
      <w:r>
        <w:rPr/>
        <w:t>“</w:t>
      </w:r>
      <w:r>
        <w:rPr>
          <w:rFonts w:ascii="Times New Roman" w:hAnsi="Times New Roman"/>
          <w:sz w:val="20"/>
          <w:u w:val="single"/>
        </w:rPr>
        <w:t>FBB Preferred Stock</w:t>
      </w:r>
      <w:r>
        <w:rPr>
          <w:rFonts w:ascii="Times New Roman" w:hAnsi="Times New Roman"/>
          <w:sz w:val="20"/>
        </w:rPr>
        <w:t xml:space="preserve">” means the preferred stock of FBB, par value $0.01 per share. </w:t>
      </w:r>
    </w:p>
    <w:p>
      <w:pPr>
        <w:pStyle w:val="TextBody"/>
        <w:bidi w:val="0"/>
        <w:spacing w:before="240" w:after="0"/>
        <w:jc w:val="left"/>
        <w:rPr/>
      </w:pPr>
      <w:r>
        <w:rPr/>
        <w:t>“</w:t>
      </w:r>
      <w:r>
        <w:rPr>
          <w:rFonts w:ascii="Times New Roman" w:hAnsi="Times New Roman"/>
          <w:sz w:val="20"/>
          <w:u w:val="single"/>
        </w:rPr>
        <w:t>FBB Restricted Employee</w:t>
      </w:r>
      <w:r>
        <w:rPr>
          <w:rFonts w:ascii="Times New Roman" w:hAnsi="Times New Roman"/>
          <w:sz w:val="20"/>
        </w:rPr>
        <w:t xml:space="preserve">” means any employee of FBB whose annual base compensation is excess of $300,000 or any other employee of FBB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FBB Restricted Stock Award</w:t>
      </w:r>
      <w:r>
        <w:rPr>
          <w:rFonts w:ascii="Times New Roman" w:hAnsi="Times New Roman"/>
          <w:sz w:val="20"/>
        </w:rPr>
        <w:t xml:space="preserve">” means each award in respect of a share of FBB Common Stock subject to vesting, repurchase or other lapse restriction. </w:t>
      </w:r>
    </w:p>
    <w:p>
      <w:pPr>
        <w:pStyle w:val="TextBody"/>
        <w:bidi w:val="0"/>
        <w:spacing w:before="240" w:after="0"/>
        <w:jc w:val="left"/>
        <w:rPr/>
      </w:pPr>
      <w:r>
        <w:rPr/>
        <w:t>“</w:t>
      </w:r>
      <w:r>
        <w:rPr>
          <w:rFonts w:ascii="Times New Roman" w:hAnsi="Times New Roman"/>
          <w:sz w:val="20"/>
          <w:u w:val="single"/>
        </w:rPr>
        <w:t>FBB Significant Stockholders</w:t>
      </w:r>
      <w:r>
        <w:rPr>
          <w:rFonts w:ascii="Times New Roman" w:hAnsi="Times New Roman"/>
          <w:sz w:val="20"/>
        </w:rPr>
        <w:t xml:space="preserve">” means, collectively, the FBB Investors. </w:t>
      </w:r>
    </w:p>
    <w:p>
      <w:pPr>
        <w:pStyle w:val="TextBody"/>
        <w:bidi w:val="0"/>
        <w:spacing w:before="240" w:after="0"/>
        <w:jc w:val="left"/>
        <w:rPr/>
      </w:pPr>
      <w:r>
        <w:rPr/>
        <w:t>“</w:t>
      </w:r>
      <w:r>
        <w:rPr>
          <w:rFonts w:ascii="Times New Roman" w:hAnsi="Times New Roman"/>
          <w:sz w:val="20"/>
          <w:u w:val="single"/>
        </w:rPr>
        <w:t>FBB Stockholder</w:t>
      </w:r>
      <w:r>
        <w:rPr>
          <w:rFonts w:ascii="Times New Roman" w:hAnsi="Times New Roman"/>
          <w:sz w:val="20"/>
        </w:rPr>
        <w:t xml:space="preserve">” means any Person who is a holder of FBB Common Stock. </w:t>
      </w:r>
    </w:p>
    <w:p>
      <w:pPr>
        <w:pStyle w:val="TextBody"/>
        <w:bidi w:val="0"/>
        <w:spacing w:before="240" w:after="0"/>
        <w:jc w:val="left"/>
        <w:rPr/>
      </w:pPr>
      <w:r>
        <w:rPr/>
        <w:t>“</w:t>
      </w:r>
      <w:r>
        <w:rPr>
          <w:rFonts w:ascii="Times New Roman" w:hAnsi="Times New Roman"/>
          <w:sz w:val="20"/>
          <w:u w:val="single"/>
        </w:rPr>
        <w:t>FBB Stockholders Agreement</w:t>
      </w:r>
      <w:r>
        <w:rPr>
          <w:rFonts w:ascii="Times New Roman" w:hAnsi="Times New Roman"/>
          <w:sz w:val="20"/>
        </w:rPr>
        <w:t xml:space="preserve">” means that certain Stockholders Agreement of FBB, dated as of February 7, 2019, as amended from time to time. </w:t>
      </w:r>
    </w:p>
    <w:p>
      <w:pPr>
        <w:pStyle w:val="TextBody"/>
        <w:bidi w:val="0"/>
        <w:spacing w:before="240" w:after="0"/>
        <w:jc w:val="left"/>
        <w:rPr/>
      </w:pPr>
      <w:r>
        <w:rPr/>
        <w:t>“</w:t>
      </w:r>
      <w:r>
        <w:rPr>
          <w:rFonts w:ascii="Times New Roman" w:hAnsi="Times New Roman"/>
          <w:sz w:val="20"/>
          <w:u w:val="single"/>
        </w:rPr>
        <w:t>FBB Top Customer</w:t>
      </w:r>
      <w:r>
        <w:rPr>
          <w:rFonts w:ascii="Times New Roman" w:hAnsi="Times New Roman"/>
          <w:sz w:val="20"/>
        </w:rPr>
        <w:t xml:space="preserve">” shall mean a top twenty customer of FBB and its Subsidiaries, taken as a whole, based on revenues during the twelve months ended December 31, 2025. </w:t>
      </w:r>
    </w:p>
    <w:p>
      <w:pPr>
        <w:pStyle w:val="TextBody"/>
        <w:bidi w:val="0"/>
        <w:spacing w:before="240" w:after="0"/>
        <w:jc w:val="left"/>
        <w:rPr/>
      </w:pPr>
      <w:r>
        <w:rPr/>
        <w:t>“</w:t>
      </w:r>
      <w:r>
        <w:rPr>
          <w:rFonts w:ascii="Times New Roman" w:hAnsi="Times New Roman"/>
          <w:sz w:val="20"/>
          <w:u w:val="single"/>
        </w:rPr>
        <w:t>FBB Top Supplier</w:t>
      </w:r>
      <w:r>
        <w:rPr>
          <w:rFonts w:ascii="Times New Roman" w:hAnsi="Times New Roman"/>
          <w:sz w:val="20"/>
        </w:rPr>
        <w:t xml:space="preserve">” shall mean a top twenty vendor or supplier of FBB and its Subsidiaries, taken as a whole, based on expenditures during the twelve months ended December 31, 2025. </w:t>
      </w:r>
    </w:p>
    <w:p>
      <w:pPr>
        <w:pStyle w:val="TextBody"/>
        <w:bidi w:val="0"/>
        <w:spacing w:before="240" w:after="0"/>
        <w:jc w:val="left"/>
        <w:rPr/>
      </w:pPr>
      <w:r>
        <w:rPr/>
        <w:t>“</w:t>
      </w:r>
      <w:r>
        <w:rPr>
          <w:rFonts w:ascii="Times New Roman" w:hAnsi="Times New Roman"/>
          <w:sz w:val="20"/>
          <w:u w:val="single"/>
        </w:rPr>
        <w:t>FBB Warrants</w:t>
      </w:r>
      <w:r>
        <w:rPr>
          <w:rFonts w:ascii="Times New Roman" w:hAnsi="Times New Roman"/>
          <w:sz w:val="20"/>
        </w:rPr>
        <w:t xml:space="preserve">” means each warrant to purchase shares of FBB Common Stock.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collectively, (i) the Debt Financing and (ii) the Pre-Closing Investment. </w:t>
      </w:r>
    </w:p>
    <w:p>
      <w:pPr>
        <w:pStyle w:val="TextBody"/>
        <w:bidi w:val="0"/>
        <w:spacing w:before="240" w:after="0"/>
        <w:jc w:val="left"/>
        <w:rPr/>
      </w:pPr>
      <w:r>
        <w:rPr/>
        <w:t>“</w:t>
      </w:r>
      <w:r>
        <w:rPr>
          <w:rFonts w:ascii="Times New Roman" w:hAnsi="Times New Roman"/>
          <w:sz w:val="20"/>
          <w:u w:val="single"/>
        </w:rPr>
        <w:t>Financing Related Parties</w:t>
      </w:r>
      <w:r>
        <w:rPr>
          <w:rFonts w:ascii="Times New Roman" w:hAnsi="Times New Roman"/>
          <w:sz w:val="20"/>
        </w:rPr>
        <w:t xml:space="preserve">” means the Financing Sources and any of such Person’s Affiliates or its or their respective officers, directors, employees or representatives, partners, trustees, shareholders, controlling Persons, agents, successors or assigns. </w:t>
      </w:r>
    </w:p>
    <w:p>
      <w:pPr>
        <w:pStyle w:val="TextBody"/>
        <w:bidi w:val="0"/>
        <w:spacing w:before="240" w:after="0"/>
        <w:jc w:val="left"/>
        <w:rPr/>
      </w:pPr>
      <w:r>
        <w:rPr/>
        <w:t>“</w:t>
      </w:r>
      <w:r>
        <w:rPr>
          <w:rFonts w:ascii="Times New Roman" w:hAnsi="Times New Roman"/>
          <w:sz w:val="20"/>
          <w:u w:val="single"/>
        </w:rPr>
        <w:t>Financing Sources</w:t>
      </w:r>
      <w:r>
        <w:rPr>
          <w:rFonts w:ascii="Times New Roman" w:hAnsi="Times New Roman"/>
          <w:sz w:val="20"/>
        </w:rPr>
        <w:t xml:space="preserve">” means, collectively, (i) the Debt Financing Sources and (ii) the FBB Investors. </w:t>
      </w:r>
    </w:p>
    <w:p>
      <w:pPr>
        <w:pStyle w:val="TextBody"/>
        <w:bidi w:val="0"/>
        <w:spacing w:before="240" w:after="0"/>
        <w:jc w:val="left"/>
        <w:rPr/>
      </w:pPr>
      <w:r>
        <w:rPr/>
        <w:t>“</w:t>
      </w:r>
      <w:r>
        <w:rPr>
          <w:rFonts w:ascii="Times New Roman" w:hAnsi="Times New Roman"/>
          <w:sz w:val="20"/>
          <w:u w:val="single"/>
        </w:rPr>
        <w:t>Fully Diluted DXL Shares</w:t>
      </w:r>
      <w:r>
        <w:rPr>
          <w:rFonts w:ascii="Times New Roman" w:hAnsi="Times New Roman"/>
          <w:sz w:val="20"/>
        </w:rPr>
        <w:t xml:space="preserve">” means the number of outstanding shares of DXL Common Stock as of immediately before the Effective Time on a fully- diluted, as converted and as exercised basis in accordance with the treasury stock method, including (i) shares of DXL Common Stock underlying outstanding exercisable DXL Options, (ii) shares of DXL Common Stock underlying outstanding DXL Restricted Stock Unit Awards, (iii) shares of DXL Common Stock underlying outstanding DXL Performance Share Awards and (iv) any other outstanding securities convertible into or exercisable for shares of DXL Common Stock.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all obligations (including all obligations in respect of principal, accrued interest, penalties, fees and premiums) of such Person, whether direct or indirect, (a) for borrowed money (including overdraft facilities), (b) for liabilities secured by any Lien existing on property owned or acquired and subject thereto, (c) evidenced by notes, bonds, debentures or similar Contracts, (d) for the deferred purchase price of property, goods or services, including in connection with the acquisition of any business or non-competition agreement (other than trade payables or accruals incurred in the ordinary course of business), (e) under capital leases (in accordance with GAAP), (f) in respect of letters of credit and bankers’ acceptances, (g) for Contracts relating to interest rate protection, swap agreements, factoring, hedging and collar agreements, (h) in the nature of premiums (prepayment or otherwise) or penalties in connection with the obligations described in clauses (a) through (g) above, and (i) in the nature of guarantees of the obligations described in clauses (a) through (g) above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Intellectual Property Rights</w:t>
      </w:r>
      <w:r>
        <w:rPr>
          <w:rFonts w:ascii="Times New Roman" w:hAnsi="Times New Roman"/>
          <w:sz w:val="20"/>
        </w:rPr>
        <w:t xml:space="preserve">” means all intellectual property and associated rights in any jurisdiction, including all (a) trademarks, service marks, trade names, corporate names, company names, </w:t>
      </w:r>
    </w:p>
    <w:p>
      <w:pPr>
        <w:pStyle w:val="TextBody"/>
        <w:bidi w:val="0"/>
        <w:spacing w:before="0" w:after="0"/>
        <w:jc w:val="left"/>
        <w:rPr>
          <w:rFonts w:ascii="Times New Roman" w:hAnsi="Times New Roman"/>
          <w:sz w:val="20"/>
        </w:rPr>
      </w:pPr>
      <w:r>
        <w:rPr>
          <w:rFonts w:ascii="Times New Roman" w:hAnsi="Times New Roman"/>
          <w:sz w:val="20"/>
        </w:rPr>
        <w:t xml:space="preserve">business names, fictitious business names, trade styles, logos, slogans, trade dress and all other source or business identifiers and all applications and registrations and renewals for, and goodwill associated with and symbolized by, any of the foregoing, (b) Internet domain names (including top level domain names and </w:t>
      </w:r>
    </w:p>
    <w:p>
      <w:pPr>
        <w:pStyle w:val="TextBody"/>
        <w:bidi w:val="0"/>
        <w:spacing w:before="0" w:after="0"/>
        <w:jc w:val="left"/>
        <w:rPr>
          <w:rFonts w:ascii="Times New Roman" w:hAnsi="Times New Roman"/>
          <w:sz w:val="20"/>
        </w:rPr>
      </w:pPr>
      <w:r>
        <w:rPr>
          <w:rFonts w:ascii="Times New Roman" w:hAnsi="Times New Roman"/>
          <w:sz w:val="20"/>
        </w:rPr>
        <w:t xml:space="preserve">global top level domain names) and social media identifiers, handles and tags, (c) patent disclosures, patent applications, patents and inventions (whether or not patentable) and all registrations, continuations, </w:t>
      </w:r>
    </w:p>
    <w:p>
      <w:pPr>
        <w:pStyle w:val="TextBody"/>
        <w:bidi w:val="0"/>
        <w:spacing w:before="0" w:after="0"/>
        <w:jc w:val="left"/>
        <w:rPr>
          <w:rFonts w:ascii="Times New Roman" w:hAnsi="Times New Roman"/>
          <w:sz w:val="20"/>
        </w:rPr>
      </w:pPr>
      <w:r>
        <w:rPr>
          <w:rFonts w:ascii="Times New Roman" w:hAnsi="Times New Roman"/>
          <w:sz w:val="20"/>
        </w:rPr>
        <w:t xml:space="preserve">continuations-in- part, divisionals, re-examinations, renewals, extensions and reissues and counterparts thereof, (d) trade secrets and know-how, including all proprietary or confidential inventions, improvements, processes, methods, techniques, protocols, formulae, recipes, compositions, models, layouts, designs, </w:t>
      </w:r>
    </w:p>
    <w:p>
      <w:pPr>
        <w:pStyle w:val="TextBody"/>
        <w:bidi w:val="0"/>
        <w:spacing w:before="0" w:after="0"/>
        <w:jc w:val="left"/>
        <w:rPr>
          <w:rFonts w:ascii="Times New Roman" w:hAnsi="Times New Roman"/>
          <w:sz w:val="20"/>
        </w:rPr>
      </w:pPr>
      <w:r>
        <w:rPr>
          <w:rFonts w:ascii="Times New Roman" w:hAnsi="Times New Roman"/>
          <w:sz w:val="20"/>
        </w:rPr>
        <w:t>drawings, plans, specifications, methodologies and other proprietary or other confidential information (collectively, “</w:t>
      </w:r>
      <w:r>
        <w:rPr>
          <w:rFonts w:ascii="Times New Roman" w:hAnsi="Times New Roman"/>
          <w:sz w:val="20"/>
          <w:u w:val="single"/>
        </w:rPr>
        <w:t>Trade Secrets</w:t>
      </w:r>
      <w:r>
        <w:rPr>
          <w:rFonts w:ascii="Times New Roman" w:hAnsi="Times New Roman"/>
          <w:sz w:val="20"/>
        </w:rPr>
        <w:t xml:space="preserve">”), (e) works of authorship (whether or not copyrightable), copyrights and </w:t>
      </w:r>
    </w:p>
    <w:p>
      <w:pPr>
        <w:pStyle w:val="TextBody"/>
        <w:bidi w:val="0"/>
        <w:spacing w:before="0" w:after="0"/>
        <w:jc w:val="left"/>
        <w:rPr>
          <w:rFonts w:ascii="Times New Roman" w:hAnsi="Times New Roman"/>
          <w:sz w:val="20"/>
        </w:rPr>
      </w:pPr>
      <w:r>
        <w:rPr>
          <w:rFonts w:ascii="Times New Roman" w:hAnsi="Times New Roman"/>
          <w:sz w:val="20"/>
        </w:rPr>
        <w:t xml:space="preserve">registrations and applications therefor, and all renewals, extensions, restorations and reversions thereof, including website content, product artwork, promotion and marketing materials, copyrights in software, databases and database rights, and (f) rights of publicity.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all computers, computer software, computer programs and applications (including mobile applications), and computerized databases in any form, including all source code and object code, firmware, hardware (including computers, servers, databases, telecommunications equipment), middleware, workstations, routers, hubs, switches, data communications lines, networks, platforms and other information technology equipment or systems.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or “</w:t>
      </w:r>
      <w:r>
        <w:rPr>
          <w:rFonts w:ascii="Times New Roman" w:hAnsi="Times New Roman"/>
          <w:sz w:val="20"/>
          <w:u w:val="single"/>
        </w:rPr>
        <w:t>knowledge</w:t>
      </w:r>
      <w:r>
        <w:rPr>
          <w:rFonts w:ascii="Times New Roman" w:hAnsi="Times New Roman"/>
          <w:sz w:val="20"/>
        </w:rPr>
        <w:t xml:space="preserve">” means (i) with respect to FBB, the actual knowledge of those persons set forth on </w:t>
      </w:r>
      <w:r>
        <w:rPr>
          <w:rFonts w:ascii="Times New Roman" w:hAnsi="Times New Roman"/>
          <w:sz w:val="20"/>
          <w:u w:val="single"/>
        </w:rPr>
        <w:t>Section 9.03</w:t>
      </w:r>
      <w:r>
        <w:rPr>
          <w:rFonts w:ascii="Times New Roman" w:hAnsi="Times New Roman"/>
          <w:sz w:val="20"/>
        </w:rPr>
        <w:t xml:space="preserve"> of the FBB Disclosure Schedule and (ii) with respect to DXL, the actual knowledge of those persons set forth on </w:t>
      </w:r>
      <w:r>
        <w:rPr>
          <w:rFonts w:ascii="Times New Roman" w:hAnsi="Times New Roman"/>
          <w:sz w:val="20"/>
          <w:u w:val="single"/>
        </w:rPr>
        <w:t>Section 9.03</w:t>
      </w:r>
      <w:r>
        <w:rPr>
          <w:rFonts w:ascii="Times New Roman" w:hAnsi="Times New Roman"/>
          <w:sz w:val="20"/>
        </w:rPr>
        <w:t xml:space="preserve"> of the DXL Disclosure Schedule, in each case after reasonable inquiry of those employees who would reasonably be expected to have actual knowledge of the matter in question.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mortgage, option, right of first refusal, deed of trust, security interest or any similar encumbrance.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with respect to any Person means any change, event, violation, effect inaccuracy, circumstance or developments (a “</w:t>
      </w:r>
      <w:r>
        <w:rPr>
          <w:rFonts w:ascii="Times New Roman" w:hAnsi="Times New Roman"/>
          <w:sz w:val="20"/>
          <w:u w:val="single"/>
        </w:rPr>
        <w:t>Change</w:t>
      </w:r>
      <w:r>
        <w:rPr>
          <w:rFonts w:ascii="Times New Roman" w:hAnsi="Times New Roman"/>
          <w:sz w:val="20"/>
        </w:rPr>
        <w:t xml:space="preserve">”) that, individually or in the aggregate with all other Changes that have occurred on or prior to the date of determination of the occurrence of the Material Adverse Effect, and regardless of whether or not such Change constitutes a breach of the representations or warranties made by such Person, have, or are reasonably expected to have, a material adverse effect on the business, properties, assets (including intangible assets), condition (financial or otherwise), prospects, capitalization, liabilities, financial condition or results of operations of such Person and its Subsidiaries,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over-the-counter market operating in the United States or any other country or region in the world; (iii) changes in conditions in the industries in which such Persons generally conduct business; (iv) changes in regulatory, legislative or political conditions in the United States or any other country or region in the world; (v) any geopolitical conditions, outbreak of hostilities, acts of war, sabotage, terrorism (including cyberattacks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any Change resulting from the announcement of this Agreement or the pendency of the Merger and the Transactions, including the impact thereof on the relationships, contractual or otherwise, of such Persons with employees, labor unions, suppliers, customers, lessors, partners, vendors or any other third Person; (viii) the compliance by any party with the terms of this Agreement, including any action taken or refrained from being taken pursuant to or in accordance with this Agreement; (ix) any action taken or refrained from being taken, in each case which such Person has expressly approved, consented to or requested in writing following the date hereof; (x) changes or proposed changes in GAAP or other accounting standards or in any applicable laws or regulations (or the enforcement or interpretation of any of the foregoing); (xi)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(xii) 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w:t>
      </w:r>
    </w:p>
    <w:p>
      <w:pPr>
        <w:pStyle w:val="TextBody"/>
        <w:bidi w:val="0"/>
        <w:spacing w:before="240" w:after="0"/>
        <w:jc w:val="left"/>
        <w:rPr/>
      </w:pPr>
      <w:r>
        <w:rPr/>
        <w:t>“</w:t>
      </w:r>
      <w:r>
        <w:rPr>
          <w:rFonts w:ascii="Times New Roman" w:hAnsi="Times New Roman"/>
          <w:sz w:val="20"/>
          <w:u w:val="single"/>
        </w:rPr>
        <w:t>Maximum Number of Takedowns</w:t>
      </w:r>
      <w:r>
        <w:rPr>
          <w:rFonts w:ascii="Times New Roman" w:hAnsi="Times New Roman"/>
          <w:sz w:val="20"/>
        </w:rPr>
        <w:t xml:space="preserve">” means, as to each FBB Significant Stockholder, a number equal to the quotient of (a) the percent of the total DXL Common Stock held by such FBB Significant Stockholder immediately after the Effective Time divided by (b) five percent (5%). </w:t>
      </w:r>
    </w:p>
    <w:p>
      <w:pPr>
        <w:pStyle w:val="TextBody"/>
        <w:bidi w:val="0"/>
        <w:spacing w:before="240" w:after="0"/>
        <w:jc w:val="left"/>
        <w:rPr/>
      </w:pPr>
      <w:r>
        <w:rPr/>
        <w:t>“</w:t>
      </w:r>
      <w:r>
        <w:rPr>
          <w:rFonts w:ascii="Times New Roman" w:hAnsi="Times New Roman"/>
          <w:sz w:val="20"/>
          <w:u w:val="single"/>
        </w:rPr>
        <w:t>New Issuance</w:t>
      </w:r>
      <w:r>
        <w:rPr>
          <w:rFonts w:ascii="Times New Roman" w:hAnsi="Times New Roman"/>
          <w:sz w:val="20"/>
        </w:rPr>
        <w:t xml:space="preserve">” means a number of shares equal to (a) the Fully Diluted DXL Shares multiplied by (b) the quotient of fifty five percent (55%) divided by forty five percent (45%). </w:t>
      </w:r>
    </w:p>
    <w:p>
      <w:pPr>
        <w:pStyle w:val="TextBody"/>
        <w:bidi w:val="0"/>
        <w:spacing w:before="240" w:after="0"/>
        <w:jc w:val="left"/>
        <w:rPr/>
      </w:pPr>
      <w:r>
        <w:rPr/>
        <w:t>“</w:t>
      </w:r>
      <w:r>
        <w:rPr>
          <w:rFonts w:ascii="Times New Roman" w:hAnsi="Times New Roman"/>
          <w:sz w:val="20"/>
          <w:u w:val="single"/>
        </w:rPr>
        <w:t>Permitted Lien</w:t>
      </w:r>
      <w:r>
        <w:rPr>
          <w:rFonts w:ascii="Times New Roman" w:hAnsi="Times New Roman"/>
          <w:sz w:val="20"/>
        </w:rPr>
        <w:t xml:space="preserve">” means (i) cashiers’, landlords’, mechanics’, materialmens’, carriers’, workmens’, repairmens’, contractors’ and warehousemens’ Liens imposed by Law and arising or incurred in the ordinary course of business and for amounts which are not yet due and payable or delinquent, and for which appropriate reserves have been established in accordance with GAAP, (ii) easements, rights of way, covenants, conditions, restrictions and other similar non-monetary charges and encumbrances of record, including those identified on title policies or preliminary title reports, in each case, which (a) individually or in the aggregate, are not violated in any material respect and do not and would not reasonably be expected to interfere materially with the ordinary course of business of the applicable company or the use, value, marketability or occupancy of any real property, (b) do not secure the payment of a sum of money and (c) are not violated and, (iii) Liens for Taxes not yet due and payable or delinquent or for Taxes that the taxpayer is contesting in good faith by appropriate action or proceeding and for which appropriate reserves have been established in the financial statements in accordance with GAAP, (iv) purchase money Liens securing rental payments under capital lease arrangements, (v) zoning, building and other generally applicable land use Laws imposed by any Governmental Entity having jurisdiction over such parcel of real property which are not violated in any material respect, and (vi) non-exclusive licenses of Intellectual Property Rights granted to contractors or service providers in the ordinary course of business.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firm, corporation, partnership, company, limited liability company, trust, joint venture, association, Governmental Entity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Personal Information</w:t>
      </w:r>
      <w:r>
        <w:rPr>
          <w:rFonts w:ascii="Times New Roman" w:hAnsi="Times New Roman"/>
          <w:sz w:val="20"/>
        </w:rPr>
        <w:t xml:space="preserve">” means all data and information that, alone or in combination with other information, identifies, relates to, describes, is reasonably capable of being associated with, or could reasonably be linked, directly or indirectly, to a particular individual or household or any other information that constitutes “personal data,” “personal information”, “personal health information,” or any similar defined term. </w:t>
      </w:r>
    </w:p>
    <w:p>
      <w:pPr>
        <w:pStyle w:val="TextBody"/>
        <w:bidi w:val="0"/>
        <w:spacing w:before="240" w:after="0"/>
        <w:jc w:val="left"/>
        <w:rPr/>
      </w:pPr>
      <w:r>
        <w:rPr/>
        <w:t>“</w:t>
      </w:r>
      <w:r>
        <w:rPr>
          <w:rFonts w:ascii="Times New Roman" w:hAnsi="Times New Roman"/>
          <w:sz w:val="20"/>
          <w:u w:val="single"/>
        </w:rPr>
        <w:t>Pre-Closing Investment</w:t>
      </w:r>
      <w:r>
        <w:rPr>
          <w:rFonts w:ascii="Times New Roman" w:hAnsi="Times New Roman"/>
          <w:sz w:val="20"/>
        </w:rPr>
        <w:t xml:space="preserve">” means the issuance and sale by FBB to the FBB Investors of an aggregate number of shares of FBB Common Stock pursuant to those certain Commitment and Subscription Agreements for an aggregate purchase price as set forth in such Commitment and Subscription Agreements (as may be reduced as set forth therein), in one or more private placements to be consummated substantially concurrently with, but immediately prior to, the Closing, on the terms and subject to the conditions set forth in the Commitment and Subscription Agreements, and including any preemptive rights or rights offering that may, at FBB’s sole discretion, be conducted for additional sales of FBB Common Stock.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means all data protection, privacy and other applicable Laws that concern the Processing of any Personal Information. </w:t>
      </w:r>
    </w:p>
    <w:p>
      <w:pPr>
        <w:pStyle w:val="TextBody"/>
        <w:bidi w:val="0"/>
        <w:spacing w:before="240" w:after="0"/>
        <w:jc w:val="left"/>
        <w:rPr/>
      </w:pPr>
      <w:r>
        <w:rPr/>
        <w:t>“</w:t>
      </w:r>
      <w:r>
        <w:rPr>
          <w:rFonts w:ascii="Times New Roman" w:hAnsi="Times New Roman"/>
          <w:sz w:val="20"/>
          <w:u w:val="single"/>
        </w:rPr>
        <w:t>Processing</w:t>
      </w:r>
      <w:r>
        <w:rPr>
          <w:rFonts w:ascii="Times New Roman" w:hAnsi="Times New Roman"/>
          <w:sz w:val="20"/>
        </w:rPr>
        <w:t xml:space="preserve">” means any operation or set of operations which is performed upon Personal Information, by any means, such as collection, recording, organization, storage, adaptation or alteration, retrieval, consultation, use, disclosure by transmission, dissemination or otherwise making available, alignment or combination, blocking, erasure or destruction. </w:t>
      </w:r>
    </w:p>
    <w:p>
      <w:pPr>
        <w:pStyle w:val="TextBody"/>
        <w:bidi w:val="0"/>
        <w:spacing w:before="240" w:after="0"/>
        <w:jc w:val="left"/>
        <w:rPr/>
      </w:pPr>
      <w:r>
        <w:rPr/>
        <w:t>“</w:t>
      </w:r>
      <w:r>
        <w:rPr>
          <w:rFonts w:ascii="Times New Roman" w:hAnsi="Times New Roman"/>
          <w:sz w:val="20"/>
          <w:u w:val="single"/>
        </w:rPr>
        <w:t>Registration Expenses</w:t>
      </w:r>
      <w:r>
        <w:rPr>
          <w:rFonts w:ascii="Times New Roman" w:hAnsi="Times New Roman"/>
          <w:sz w:val="20"/>
        </w:rPr>
        <w:t xml:space="preserve">” means all expenses incurred in connection with the performance of or compliance with </w:t>
      </w:r>
      <w:r>
        <w:rPr>
          <w:rFonts w:ascii="Times New Roman" w:hAnsi="Times New Roman"/>
          <w:sz w:val="20"/>
          <w:u w:val="single"/>
        </w:rPr>
        <w:t>Section 6.02</w:t>
      </w:r>
      <w:r>
        <w:rPr>
          <w:rFonts w:ascii="Times New Roman" w:hAnsi="Times New Roman"/>
          <w:sz w:val="20"/>
        </w:rPr>
        <w:t xml:space="preserve">, including (a) all SEC, stock exchange or FINRA registration and filing fees (excluding, if applicable, the fees and expenses of any “qualified independent underwriter,” as such term is defined in Rule 5121 of FINRA, and of its counsel); (b) all fees and expenses of complying with securities or blue sky laws (including fees and disbursements of counsel for the underwriters in connection with blue sky qualifications and FINRA registration of the Registrable Securities); (c) all printing, messenger and delivery expenses, and fees and expenses of DXL’s transfer agent; (d) all fees and expenses incurred in connection with the listing of the Registrable Securities on any securities exchange; (e) the reasonable fees and disbursements of counsel for DXL and of its independent public accountants, including any comfort letters required by or incident to such performance and compliance; and (f) the costs and expenses of DXL relating to analyst and investor presentations or any “road show” undertaken in connection with the registration and/or marketing of the Registrable Securities. </w:t>
      </w:r>
    </w:p>
    <w:p>
      <w:pPr>
        <w:pStyle w:val="TextBody"/>
        <w:bidi w:val="0"/>
        <w:spacing w:before="240" w:after="0"/>
        <w:jc w:val="left"/>
        <w:rPr/>
      </w:pPr>
      <w:r>
        <w:rPr/>
        <w:t>“</w:t>
      </w:r>
      <w:r>
        <w:rPr>
          <w:rFonts w:ascii="Times New Roman" w:hAnsi="Times New Roman"/>
          <w:sz w:val="20"/>
          <w:u w:val="single"/>
        </w:rPr>
        <w:t>Registered IP</w:t>
      </w:r>
      <w:r>
        <w:rPr>
          <w:rFonts w:ascii="Times New Roman" w:hAnsi="Times New Roman"/>
          <w:sz w:val="20"/>
        </w:rPr>
        <w:t xml:space="preserve">” means all Intellectual Property Rights that are registered, applied-for, issued or granted under the authority of, with or by any Governmental Entity or registrar (in the case of internet domain names).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means, with respect to any Person, such Person’s and each of its respective Subsidiaries’ and controlled Affiliates’ directors, officers, employees, investment bankers, financial advisors, attorneys, accountants or other advisors, agents or representatives.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Selling Expenses</w:t>
      </w:r>
      <w:r>
        <w:rPr>
          <w:rFonts w:ascii="Times New Roman" w:hAnsi="Times New Roman"/>
          <w:sz w:val="20"/>
        </w:rPr>
        <w:t xml:space="preserve">” means all underwriting discounts, selling commissions and stock transfer taxes applicable to the sale of Registrable Securities, any fees and disbursements of underwriters and fees and expenses of legal counsel engaged by any FBB Significant Stockholder in respect of the sale of Registrable Securities. </w:t>
      </w:r>
    </w:p>
    <w:p>
      <w:pPr>
        <w:pStyle w:val="TextBody"/>
        <w:bidi w:val="0"/>
        <w:spacing w:before="240" w:after="0"/>
        <w:jc w:val="left"/>
        <w:rPr/>
      </w:pPr>
      <w:r>
        <w:rPr/>
        <w:t>“</w:t>
      </w:r>
      <w:r>
        <w:rPr>
          <w:rFonts w:ascii="Times New Roman" w:hAnsi="Times New Roman"/>
          <w:sz w:val="20"/>
          <w:u w:val="single"/>
        </w:rPr>
        <w:t>Subsequent Transaction</w:t>
      </w:r>
      <w:r>
        <w:rPr>
          <w:rFonts w:ascii="Times New Roman" w:hAnsi="Times New Roman"/>
          <w:sz w:val="20"/>
        </w:rPr>
        <w:t xml:space="preserve">” means, as applicable a transaction with respect to or pursuant to a DXL Takeover Proposal (with all references to 20% in the definition of “DXL Takeover Proposal” being treated as references to 50% for these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when used with respect to any Person, means any other Person, whether incorporated or unincorporated, (A) of which such Person or any other Subsidiary of such Person is a general partner (excluding partnerships, the general partnership interests of which held by such Person or any Subsidiary of such Person do not have a majority of the voting interests in such partnership) or (B) a majority of the Equity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The term “</w:t>
      </w:r>
      <w:r>
        <w:rPr>
          <w:rFonts w:ascii="Times New Roman" w:hAnsi="Times New Roman"/>
          <w:sz w:val="20"/>
          <w:u w:val="single"/>
        </w:rPr>
        <w:t>DXL Subsidiary</w:t>
      </w:r>
      <w:r>
        <w:rPr>
          <w:rFonts w:ascii="Times New Roman" w:hAnsi="Times New Roman"/>
          <w:sz w:val="20"/>
        </w:rPr>
        <w:t>” means any direct or indirect Subsidiary of DXL and the term “</w:t>
      </w:r>
      <w:r>
        <w:rPr>
          <w:rFonts w:ascii="Times New Roman" w:hAnsi="Times New Roman"/>
          <w:sz w:val="20"/>
          <w:u w:val="single"/>
        </w:rPr>
        <w:t>FBB Subsidiary</w:t>
      </w:r>
      <w:r>
        <w:rPr>
          <w:rFonts w:ascii="Times New Roman" w:hAnsi="Times New Roman"/>
          <w:sz w:val="20"/>
        </w:rPr>
        <w:t xml:space="preserve">” means any direct or indirect Subsidiary of FBB.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xml:space="preserve">” means (a) any taxes (including foreign, federal, state, county or local income, sales and use, excise, franchise, real and personal property, gross receipt, capital gains, land betterment, purchase, alternative minimum, profit, value added, net worth, documentary stamp, production, business and occupation, disability, employment, health tax, national insurance, payroll or severance), levies, imposts, duties, deductions, withholdings (including backup withholding), assessments, fees or other similar charges imposed by any Governmental Entity, including any interest, linkage differentials, indexing, additions to tax or penalties applicable thereto, (b) any liability for Taxes described in </w:t>
      </w:r>
      <w:r>
        <w:rPr>
          <w:rFonts w:ascii="Times New Roman" w:hAnsi="Times New Roman"/>
          <w:sz w:val="20"/>
          <w:u w:val="single"/>
        </w:rPr>
        <w:t>clause (a)</w:t>
      </w:r>
      <w:r>
        <w:rPr>
          <w:rFonts w:ascii="Times New Roman" w:hAnsi="Times New Roman"/>
          <w:sz w:val="20"/>
        </w:rPr>
        <w:t xml:space="preserve"> under Treasury Regulation Section 1.1502-6 (or any similar provision of state, local or foreign Law) and (c) any liability for Taxes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 transferee or successor. </w:t>
      </w:r>
    </w:p>
    <w:p>
      <w:pPr>
        <w:pStyle w:val="TextBody"/>
        <w:bidi w:val="0"/>
        <w:spacing w:before="240" w:after="0"/>
        <w:jc w:val="left"/>
        <w:rPr/>
      </w:pPr>
      <w:r>
        <w:rPr/>
        <w:t>“</w:t>
      </w:r>
      <w:r>
        <w:rPr>
          <w:rFonts w:ascii="Times New Roman" w:hAnsi="Times New Roman"/>
          <w:sz w:val="20"/>
          <w:u w:val="single"/>
        </w:rPr>
        <w:t>Tax Authority</w:t>
      </w:r>
      <w:r>
        <w:rPr>
          <w:rFonts w:ascii="Times New Roman" w:hAnsi="Times New Roman"/>
          <w:sz w:val="20"/>
        </w:rPr>
        <w:t xml:space="preserve">” means the IRS and any other Governmental Entity responsible for the administration of Tax. </w:t>
      </w:r>
    </w:p>
    <w:p>
      <w:pPr>
        <w:pStyle w:val="TextBody"/>
        <w:bidi w:val="0"/>
        <w:spacing w:before="120" w:after="0"/>
        <w:jc w:val="left"/>
        <w:rPr/>
      </w:pPr>
      <w:r>
        <w:rPr/>
        <w:t>“</w:t>
      </w:r>
      <w:r>
        <w:rPr>
          <w:rFonts w:ascii="Times New Roman" w:hAnsi="Times New Roman"/>
          <w:sz w:val="20"/>
          <w:u w:val="single"/>
        </w:rPr>
        <w:t>Tax Return</w:t>
      </w:r>
      <w:r>
        <w:rPr>
          <w:rFonts w:ascii="Times New Roman" w:hAnsi="Times New Roman"/>
          <w:sz w:val="20"/>
        </w:rPr>
        <w:t xml:space="preserve">” means any return, filing, report, questionnaire, information statement or other document (including elections, declarations, disclosures, schedules, estimates, claims for refund and information returns) relating to Taxes, including any amendments thereof.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the Merger and the other transactions contemplated by this Agreement. </w:t>
      </w:r>
    </w:p>
    <w:p>
      <w:pPr>
        <w:pStyle w:val="TextBody"/>
        <w:bidi w:val="0"/>
        <w:spacing w:before="240" w:after="0"/>
        <w:jc w:val="left"/>
        <w:rPr/>
      </w:pPr>
      <w:r>
        <w:rPr/>
        <w:t>“</w:t>
      </w:r>
      <w:r>
        <w:rPr>
          <w:rFonts w:ascii="Times New Roman" w:hAnsi="Times New Roman"/>
          <w:sz w:val="20"/>
          <w:u w:val="single"/>
        </w:rPr>
        <w:t>Unaccredited Investor</w:t>
      </w:r>
      <w:r>
        <w:rPr>
          <w:rFonts w:ascii="Times New Roman" w:hAnsi="Times New Roman"/>
          <w:sz w:val="20"/>
        </w:rPr>
        <w:t xml:space="preserve">” means any FBB Stockholder that is not an Accredited Investor. </w:t>
      </w:r>
    </w:p>
    <w:p>
      <w:pPr>
        <w:pStyle w:val="TextBody"/>
        <w:bidi w:val="0"/>
        <w:spacing w:before="240" w:after="0"/>
        <w:jc w:val="left"/>
        <w:rPr/>
      </w:pPr>
      <w:r>
        <w:rPr/>
        <w:t>“</w:t>
      </w:r>
      <w:r>
        <w:rPr>
          <w:rFonts w:ascii="Times New Roman" w:hAnsi="Times New Roman"/>
          <w:sz w:val="20"/>
          <w:u w:val="single"/>
        </w:rPr>
        <w:t>Unaccredited Investor Cash Consideration</w:t>
      </w:r>
      <w:r>
        <w:rPr>
          <w:rFonts w:ascii="Times New Roman" w:hAnsi="Times New Roman"/>
          <w:sz w:val="20"/>
        </w:rPr>
        <w:t xml:space="preserve">” means, with respect to each share of FBB Common Stock owned by a FBB Stockholder that is an Unaccredited Investor, an amount in cash equal to the product of (a) the Exchange Ratio and (b) the DXL Stock Price. </w:t>
      </w:r>
    </w:p>
    <w:p>
      <w:pPr>
        <w:pStyle w:val="TextBody"/>
        <w:bidi w:val="0"/>
        <w:spacing w:before="240" w:after="0"/>
        <w:jc w:val="left"/>
        <w:rPr/>
      </w:pPr>
      <w:r>
        <w:rPr/>
        <w:t>“</w:t>
      </w:r>
      <w:r>
        <w:rPr>
          <w:rFonts w:ascii="Times New Roman" w:hAnsi="Times New Roman"/>
          <w:sz w:val="20"/>
          <w:u w:val="single"/>
        </w:rPr>
        <w:t>Underwritten Offering</w:t>
      </w:r>
      <w:r>
        <w:rPr>
          <w:rFonts w:ascii="Times New Roman" w:hAnsi="Times New Roman"/>
          <w:sz w:val="20"/>
        </w:rPr>
        <w:t xml:space="preserve">” means a sale of Registrable Securities to an underwriter or underwriters for reoffering to the public, including in a block trade or overnight “bought deal” offered and sold through an underwriter or underwriters. </w:t>
      </w:r>
    </w:p>
    <w:p>
      <w:pPr>
        <w:pStyle w:val="TextBody"/>
        <w:bidi w:val="0"/>
        <w:spacing w:before="240" w:after="0"/>
        <w:jc w:val="left"/>
        <w:rPr>
          <w:rFonts w:ascii="Times New Roman" w:hAnsi="Times New Roman"/>
          <w:sz w:val="20"/>
        </w:rPr>
      </w:pPr>
      <w:bookmarkStart w:id="209" w:name="anxa76201_106"/>
      <w:bookmarkEnd w:id="209"/>
      <w:r>
        <w:rPr>
          <w:rFonts w:ascii="Times New Roman" w:hAnsi="Times New Roman"/>
          <w:b/>
          <w:sz w:val="20"/>
        </w:rPr>
        <w:t xml:space="preserve">SECTION 9.04 </w:t>
      </w:r>
      <w:r>
        <w:rPr>
          <w:rFonts w:ascii="Times New Roman" w:hAnsi="Times New Roman"/>
          <w:sz w:val="20"/>
          <w:u w:val="single"/>
        </w:rPr>
        <w:t>Other Defined Terms</w:t>
      </w:r>
      <w:r>
        <w:rPr>
          <w:rFonts w:ascii="Times New Roman" w:hAnsi="Times New Roman"/>
          <w:sz w:val="20"/>
        </w:rPr>
        <w:t xml:space="preserve">. The following capitalized terms have the meanings in the locations within this Agreement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21"/>
        <w:gridCol w:w="203"/>
        <w:gridCol w:w="3981"/>
      </w:tblGrid>
      <w:tr>
        <w:trPr/>
        <w:tc>
          <w:tcPr>
            <w:tcW w:w="602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Advisor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Anti-Corruption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Section3.23</w:t>
            </w:r>
          </w:p>
        </w:tc>
      </w:tr>
      <w:tr>
        <w:trPr/>
        <w:tc>
          <w:tcPr>
            <w:tcW w:w="6021" w:type="dxa"/>
            <w:tcBorders/>
          </w:tcPr>
          <w:p>
            <w:pPr>
              <w:pStyle w:val="TableContents"/>
              <w:bidi w:val="0"/>
              <w:spacing w:before="0" w:after="283"/>
              <w:jc w:val="left"/>
              <w:rPr/>
            </w:pPr>
            <w:r>
              <w:rPr/>
              <w:t>Antitrust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Appraisal Shares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2.01(b)</w:t>
            </w:r>
          </w:p>
        </w:tc>
      </w:tr>
      <w:tr>
        <w:trPr/>
        <w:tc>
          <w:tcPr>
            <w:tcW w:w="6021" w:type="dxa"/>
            <w:tcBorders/>
          </w:tcPr>
          <w:p>
            <w:pPr>
              <w:pStyle w:val="TableContents"/>
              <w:bidi w:val="0"/>
              <w:spacing w:before="0" w:after="283"/>
              <w:jc w:val="left"/>
              <w:rPr/>
            </w:pPr>
            <w:r>
              <w:rPr/>
              <w:t>Automatic Shelf Registration Statement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Book-Entry Share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Section2.01(a)(i)</w:t>
            </w:r>
          </w:p>
        </w:tc>
      </w:tr>
      <w:tr>
        <w:trPr/>
        <w:tc>
          <w:tcPr>
            <w:tcW w:w="6021" w:type="dxa"/>
            <w:tcBorders/>
          </w:tcPr>
          <w:p>
            <w:pPr>
              <w:pStyle w:val="TableContents"/>
              <w:bidi w:val="0"/>
              <w:spacing w:before="0" w:after="283"/>
              <w:jc w:val="left"/>
              <w:rPr/>
            </w:pPr>
            <w:r>
              <w:rPr/>
              <w:t>Certificate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Certificate of Designation</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Certificate of Merger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Clearance Date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6.01(b)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Closing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Closing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COD Amendment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Confidentiality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w:t>
            </w:r>
          </w:p>
        </w:tc>
      </w:tr>
      <w:tr>
        <w:trPr/>
        <w:tc>
          <w:tcPr>
            <w:tcW w:w="6021" w:type="dxa"/>
            <w:tcBorders/>
          </w:tcPr>
          <w:p>
            <w:pPr>
              <w:pStyle w:val="TableContents"/>
              <w:bidi w:val="0"/>
              <w:spacing w:before="0" w:after="283"/>
              <w:jc w:val="left"/>
              <w:rPr/>
            </w:pPr>
            <w:r>
              <w:rPr/>
              <w:t>Consents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6.04(a)</w:t>
            </w:r>
          </w:p>
        </w:tc>
      </w:tr>
      <w:tr>
        <w:trPr/>
        <w:tc>
          <w:tcPr>
            <w:tcW w:w="6021" w:type="dxa"/>
            <w:tcBorders/>
          </w:tcPr>
          <w:p>
            <w:pPr>
              <w:pStyle w:val="TableContents"/>
              <w:bidi w:val="0"/>
              <w:spacing w:before="0" w:after="283"/>
              <w:jc w:val="left"/>
              <w:rPr/>
            </w:pPr>
            <w:r>
              <w:rPr/>
              <w:t>Demand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6.02(d)</w:t>
            </w:r>
          </w:p>
        </w:tc>
      </w:tr>
      <w:tr>
        <w:trPr/>
        <w:tc>
          <w:tcPr>
            <w:tcW w:w="6021" w:type="dxa"/>
            <w:tcBorders/>
          </w:tcPr>
          <w:p>
            <w:pPr>
              <w:pStyle w:val="TableContents"/>
              <w:bidi w:val="0"/>
              <w:spacing w:before="0" w:after="283"/>
              <w:jc w:val="left"/>
              <w:rPr/>
            </w:pPr>
            <w:r>
              <w:rPr/>
              <w:t>DGCL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Dispute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9.09</w:t>
            </w:r>
          </w:p>
        </w:tc>
      </w:tr>
      <w:tr>
        <w:trPr/>
        <w:tc>
          <w:tcPr>
            <w:tcW w:w="6021" w:type="dxa"/>
            <w:tcBorders/>
          </w:tcPr>
          <w:p>
            <w:pPr>
              <w:pStyle w:val="TableContents"/>
              <w:bidi w:val="0"/>
              <w:spacing w:before="0" w:after="283"/>
              <w:jc w:val="left"/>
              <w:rPr/>
            </w:pPr>
            <w:r>
              <w:rPr/>
              <w:t>DXL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DXL Acquisition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5.06(a)</w:t>
            </w:r>
          </w:p>
        </w:tc>
      </w:tr>
      <w:tr>
        <w:trPr/>
        <w:tc>
          <w:tcPr>
            <w:tcW w:w="6021" w:type="dxa"/>
            <w:tcBorders/>
          </w:tcPr>
          <w:p>
            <w:pPr>
              <w:pStyle w:val="TableContents"/>
              <w:bidi w:val="0"/>
              <w:spacing w:before="0" w:after="283"/>
              <w:jc w:val="left"/>
              <w:rPr/>
            </w:pPr>
            <w:r>
              <w:rPr/>
              <w:t>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DXL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DXL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DXL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3.02(a)(i)</w:t>
            </w:r>
          </w:p>
        </w:tc>
      </w:tr>
      <w:tr>
        <w:trPr/>
        <w:tc>
          <w:tcPr>
            <w:tcW w:w="6021" w:type="dxa"/>
            <w:tcBorders/>
          </w:tcPr>
          <w:p>
            <w:pPr>
              <w:pStyle w:val="TableContents"/>
              <w:bidi w:val="0"/>
              <w:spacing w:before="0" w:after="283"/>
              <w:jc w:val="left"/>
              <w:rPr/>
            </w:pPr>
            <w:r>
              <w:rPr/>
              <w:t>DXL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DXL Fairness Opinion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3.24</w:t>
            </w:r>
          </w:p>
        </w:tc>
      </w:tr>
      <w:tr>
        <w:trPr/>
        <w:tc>
          <w:tcPr>
            <w:tcW w:w="6021" w:type="dxa"/>
            <w:tcBorders/>
          </w:tcPr>
          <w:p>
            <w:pPr>
              <w:pStyle w:val="TableContents"/>
              <w:bidi w:val="0"/>
              <w:spacing w:before="0" w:after="283"/>
              <w:jc w:val="left"/>
              <w:rPr/>
            </w:pPr>
            <w:r>
              <w:rPr/>
              <w:t>DXL Initiated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DXL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DXL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3.15(a)</w:t>
            </w:r>
          </w:p>
        </w:tc>
      </w:tr>
      <w:tr>
        <w:trPr/>
        <w:tc>
          <w:tcPr>
            <w:tcW w:w="6021" w:type="dxa"/>
            <w:tcBorders/>
          </w:tcPr>
          <w:p>
            <w:pPr>
              <w:pStyle w:val="TableContents"/>
              <w:bidi w:val="0"/>
              <w:spacing w:before="0" w:after="283"/>
              <w:jc w:val="left"/>
              <w:rPr/>
            </w:pPr>
            <w:r>
              <w:rPr/>
              <w:t>DXL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DXL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3.22(a)</w:t>
            </w:r>
          </w:p>
        </w:tc>
      </w:tr>
      <w:tr>
        <w:trPr/>
        <w:tc>
          <w:tcPr>
            <w:tcW w:w="6021" w:type="dxa"/>
            <w:tcBorders/>
          </w:tcPr>
          <w:p>
            <w:pPr>
              <w:pStyle w:val="TableContents"/>
              <w:bidi w:val="0"/>
              <w:spacing w:before="0" w:after="283"/>
              <w:jc w:val="left"/>
              <w:rPr/>
            </w:pPr>
            <w:r>
              <w:rPr/>
              <w:t>DXL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SEC Reports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DXL Stockholder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Stockholders Meeting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Superior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5.06(e)</w:t>
            </w:r>
          </w:p>
        </w:tc>
      </w:tr>
      <w:tr>
        <w:trPr/>
        <w:tc>
          <w:tcPr>
            <w:tcW w:w="6021" w:type="dxa"/>
            <w:tcBorders/>
          </w:tcPr>
          <w:p>
            <w:pPr>
              <w:pStyle w:val="TableContents"/>
              <w:bidi w:val="0"/>
              <w:spacing w:before="0" w:after="283"/>
              <w:jc w:val="left"/>
              <w:rPr/>
            </w:pPr>
            <w:r>
              <w:rPr/>
              <w:t>DXL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5.06(b)</w:t>
            </w:r>
          </w:p>
        </w:tc>
      </w:tr>
      <w:tr>
        <w:trPr/>
        <w:tc>
          <w:tcPr>
            <w:tcW w:w="6021" w:type="dxa"/>
            <w:tcBorders/>
          </w:tcPr>
          <w:p>
            <w:pPr>
              <w:pStyle w:val="TableContents"/>
              <w:bidi w:val="0"/>
              <w:spacing w:before="0" w:after="283"/>
              <w:jc w:val="left"/>
              <w:rPr/>
            </w:pPr>
            <w:r>
              <w:rPr/>
              <w:t>DXL Termination Fee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6.07(b)</w:t>
            </w:r>
          </w:p>
        </w:tc>
      </w:tr>
      <w:tr>
        <w:trPr/>
        <w:tc>
          <w:tcPr>
            <w:tcW w:w="6021" w:type="dxa"/>
            <w:tcBorders/>
          </w:tcPr>
          <w:p>
            <w:pPr>
              <w:pStyle w:val="TableContents"/>
              <w:bidi w:val="0"/>
              <w:spacing w:before="0" w:after="283"/>
              <w:jc w:val="left"/>
              <w:rPr/>
            </w:pPr>
            <w:r>
              <w:rPr/>
              <w:t>DXL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3.02(b)</w:t>
            </w:r>
          </w:p>
        </w:tc>
      </w:tr>
      <w:tr>
        <w:trPr/>
        <w:tc>
          <w:tcPr>
            <w:tcW w:w="6021" w:type="dxa"/>
            <w:tcBorders/>
          </w:tcPr>
          <w:p>
            <w:pPr>
              <w:pStyle w:val="TableContents"/>
              <w:bidi w:val="0"/>
              <w:spacing w:before="0" w:after="283"/>
              <w:jc w:val="left"/>
              <w:rPr/>
            </w:pPr>
            <w:r>
              <w:rPr/>
              <w:t>DXL’s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D&amp;O Indemnified Parties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6.11(a)</w:t>
            </w:r>
          </w:p>
        </w:tc>
      </w:tr>
      <w:tr>
        <w:trPr/>
        <w:tc>
          <w:tcPr>
            <w:tcW w:w="6021" w:type="dxa"/>
            <w:tcBorders/>
          </w:tcPr>
          <w:p>
            <w:pPr>
              <w:pStyle w:val="TableContents"/>
              <w:bidi w:val="0"/>
              <w:spacing w:before="0" w:after="283"/>
              <w:jc w:val="left"/>
              <w:rPr/>
            </w:pPr>
            <w:r>
              <w:rPr/>
              <w:t>Effective Time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Employment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3.12(d)</w:t>
            </w:r>
          </w:p>
        </w:tc>
      </w:tr>
      <w:tr>
        <w:trPr/>
        <w:tc>
          <w:tcPr>
            <w:tcW w:w="6021" w:type="dxa"/>
            <w:tcBorders/>
          </w:tcPr>
          <w:p>
            <w:pPr>
              <w:pStyle w:val="TableContents"/>
              <w:bidi w:val="0"/>
              <w:spacing w:before="0" w:after="283"/>
              <w:jc w:val="left"/>
              <w:rPr/>
            </w:pPr>
            <w:r>
              <w:rPr/>
              <w:t>End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8.01(e)</w:t>
            </w:r>
          </w:p>
        </w:tc>
      </w:tr>
      <w:tr>
        <w:trPr/>
        <w:tc>
          <w:tcPr>
            <w:tcW w:w="6021" w:type="dxa"/>
            <w:tcBorders/>
          </w:tcPr>
          <w:p>
            <w:pPr>
              <w:pStyle w:val="TableContents"/>
              <w:bidi w:val="0"/>
              <w:spacing w:before="0" w:after="283"/>
              <w:jc w:val="left"/>
              <w:rPr/>
            </w:pPr>
            <w:r>
              <w:rPr/>
              <w:t>Enforceability Exceptions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3.03(a)</w:t>
            </w:r>
          </w:p>
        </w:tc>
      </w:tr>
      <w:tr>
        <w:trPr/>
        <w:tc>
          <w:tcPr>
            <w:tcW w:w="6021" w:type="dxa"/>
            <w:tcBorders/>
          </w:tcPr>
          <w:p>
            <w:pPr>
              <w:pStyle w:val="TableContents"/>
              <w:bidi w:val="0"/>
              <w:spacing w:before="0" w:after="283"/>
              <w:jc w:val="left"/>
              <w:rPr/>
            </w:pPr>
            <w:r>
              <w:rPr/>
              <w:t>Environmental Claims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w:t>
            </w:r>
          </w:p>
        </w:tc>
      </w:tr>
      <w:tr>
        <w:trPr/>
        <w:tc>
          <w:tcPr>
            <w:tcW w:w="6021" w:type="dxa"/>
            <w:tcBorders/>
          </w:tcPr>
          <w:p>
            <w:pPr>
              <w:pStyle w:val="TableContents"/>
              <w:bidi w:val="0"/>
              <w:spacing w:before="0" w:after="283"/>
              <w:jc w:val="left"/>
              <w:rPr/>
            </w:pPr>
            <w:r>
              <w:rPr/>
              <w:t>Environmental Laws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w:t>
            </w:r>
          </w:p>
        </w:tc>
      </w:tr>
      <w:tr>
        <w:trPr/>
        <w:tc>
          <w:tcPr>
            <w:tcW w:w="6021" w:type="dxa"/>
            <w:tcBorders/>
          </w:tcPr>
          <w:p>
            <w:pPr>
              <w:pStyle w:val="TableContents"/>
              <w:bidi w:val="0"/>
              <w:spacing w:before="0" w:after="283"/>
              <w:jc w:val="left"/>
              <w:rPr/>
            </w:pPr>
            <w:r>
              <w:rPr/>
              <w:t>Environmental Permits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3.16(e)(iii)</w:t>
            </w:r>
          </w:p>
        </w:tc>
      </w:tr>
      <w:tr>
        <w:trPr/>
        <w:tc>
          <w:tcPr>
            <w:tcW w:w="6021" w:type="dxa"/>
            <w:tcBorders/>
          </w:tcPr>
          <w:p>
            <w:pPr>
              <w:pStyle w:val="TableContents"/>
              <w:bidi w:val="0"/>
              <w:spacing w:before="0" w:after="283"/>
              <w:jc w:val="left"/>
              <w:rPr/>
            </w:pPr>
            <w:r>
              <w:rPr/>
              <w:t>ERISA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Exchange Agent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Exchange Fund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Excluded Shares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2.01(a)(ii)</w:t>
            </w:r>
          </w:p>
        </w:tc>
      </w:tr>
      <w:tr>
        <w:trPr/>
        <w:tc>
          <w:tcPr>
            <w:tcW w:w="6021" w:type="dxa"/>
            <w:tcBorders/>
          </w:tcPr>
          <w:p>
            <w:pPr>
              <w:pStyle w:val="TableContents"/>
              <w:bidi w:val="0"/>
              <w:spacing w:before="0" w:after="283"/>
              <w:jc w:val="left"/>
              <w:rPr/>
            </w:pPr>
            <w:r>
              <w:rPr/>
              <w:t>Excluded Transaction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5.05(c)</w:t>
            </w:r>
          </w:p>
        </w:tc>
      </w:tr>
      <w:tr>
        <w:trPr/>
        <w:tc>
          <w:tcPr>
            <w:tcW w:w="6021" w:type="dxa"/>
            <w:tcBorders/>
          </w:tcPr>
          <w:p>
            <w:pPr>
              <w:pStyle w:val="TableContents"/>
              <w:bidi w:val="0"/>
              <w:spacing w:before="0" w:after="283"/>
              <w:jc w:val="left"/>
              <w:rPr/>
            </w:pPr>
            <w:r>
              <w:rPr/>
              <w:t>FBB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FBB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4.10(a)</w:t>
            </w:r>
          </w:p>
        </w:tc>
      </w:tr>
      <w:tr>
        <w:trPr/>
        <w:tc>
          <w:tcPr>
            <w:tcW w:w="6021" w:type="dxa"/>
            <w:tcBorders/>
          </w:tcPr>
          <w:p>
            <w:pPr>
              <w:pStyle w:val="TableContents"/>
              <w:bidi w:val="0"/>
              <w:spacing w:before="0" w:after="283"/>
              <w:jc w:val="left"/>
              <w:rPr/>
            </w:pPr>
            <w:r>
              <w:rPr/>
              <w:t>FBB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FBB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4.11(a)</w:t>
            </w:r>
          </w:p>
        </w:tc>
      </w:tr>
      <w:tr>
        <w:trPr/>
        <w:tc>
          <w:tcPr>
            <w:tcW w:w="6021" w:type="dxa"/>
            <w:tcBorders/>
          </w:tcPr>
          <w:p>
            <w:pPr>
              <w:pStyle w:val="TableContents"/>
              <w:bidi w:val="0"/>
              <w:spacing w:before="0" w:after="283"/>
              <w:jc w:val="left"/>
              <w:rPr/>
            </w:pPr>
            <w:r>
              <w:rPr/>
              <w:t>FBB Equity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Financial Statements......................................................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FBB IP Rights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4.19(a)</w:t>
            </w:r>
          </w:p>
        </w:tc>
      </w:tr>
      <w:tr>
        <w:trPr/>
        <w:tc>
          <w:tcPr>
            <w:tcW w:w="6021" w:type="dxa"/>
            <w:tcBorders/>
          </w:tcPr>
          <w:p>
            <w:pPr>
              <w:pStyle w:val="TableContents"/>
              <w:bidi w:val="0"/>
              <w:spacing w:before="0" w:after="283"/>
              <w:jc w:val="left"/>
              <w:rPr/>
            </w:pPr>
            <w:r>
              <w:rPr/>
              <w:t>FBB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FBB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4.14(a)</w:t>
            </w:r>
          </w:p>
        </w:tc>
      </w:tr>
      <w:tr>
        <w:trPr/>
        <w:tc>
          <w:tcPr>
            <w:tcW w:w="6021" w:type="dxa"/>
            <w:tcBorders/>
          </w:tcPr>
          <w:p>
            <w:pPr>
              <w:pStyle w:val="TableContents"/>
              <w:bidi w:val="0"/>
              <w:spacing w:before="0" w:after="283"/>
              <w:jc w:val="left"/>
              <w:rPr/>
            </w:pPr>
            <w:r>
              <w:rPr/>
              <w:t>FBB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FBB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4.21(a)</w:t>
            </w:r>
          </w:p>
        </w:tc>
      </w:tr>
      <w:tr>
        <w:trPr/>
        <w:tc>
          <w:tcPr>
            <w:tcW w:w="6021" w:type="dxa"/>
            <w:tcBorders/>
          </w:tcPr>
          <w:p>
            <w:pPr>
              <w:pStyle w:val="TableContents"/>
              <w:bidi w:val="0"/>
              <w:spacing w:before="0" w:after="283"/>
              <w:jc w:val="left"/>
              <w:rPr/>
            </w:pPr>
            <w:r>
              <w:rPr/>
              <w:t>FBB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Restricted Stock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Selling Stockholders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FBB Stockholder Approval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4.03(a)</w:t>
            </w:r>
          </w:p>
        </w:tc>
      </w:tr>
      <w:tr>
        <w:trPr/>
        <w:tc>
          <w:tcPr>
            <w:tcW w:w="6021" w:type="dxa"/>
            <w:tcBorders/>
          </w:tcPr>
          <w:p>
            <w:pPr>
              <w:pStyle w:val="TableContents"/>
              <w:bidi w:val="0"/>
              <w:spacing w:before="0" w:after="283"/>
              <w:jc w:val="left"/>
              <w:rPr/>
            </w:pPr>
            <w:r>
              <w:rPr/>
              <w:t>FBB Stockholder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6.01(d)</w:t>
            </w:r>
          </w:p>
        </w:tc>
      </w:tr>
      <w:tr>
        <w:trPr/>
        <w:tc>
          <w:tcPr>
            <w:tcW w:w="6021" w:type="dxa"/>
            <w:tcBorders/>
          </w:tcPr>
          <w:p>
            <w:pPr>
              <w:pStyle w:val="TableContents"/>
              <w:bidi w:val="0"/>
              <w:spacing w:before="0" w:after="283"/>
              <w:jc w:val="left"/>
              <w:rPr/>
            </w:pPr>
            <w:r>
              <w:rPr/>
              <w:t>FBB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5.05(b)</w:t>
            </w:r>
          </w:p>
        </w:tc>
      </w:tr>
      <w:tr>
        <w:trPr/>
        <w:tc>
          <w:tcPr>
            <w:tcW w:w="6021" w:type="dxa"/>
            <w:tcBorders/>
          </w:tcPr>
          <w:p>
            <w:pPr>
              <w:pStyle w:val="TableContents"/>
              <w:bidi w:val="0"/>
              <w:spacing w:before="0" w:after="283"/>
              <w:jc w:val="left"/>
              <w:rPr/>
            </w:pPr>
            <w:r>
              <w:rPr/>
              <w:t>FBB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4.02(b)</w:t>
            </w:r>
          </w:p>
        </w:tc>
      </w:tr>
      <w:tr>
        <w:trPr/>
        <w:tc>
          <w:tcPr>
            <w:tcW w:w="6021" w:type="dxa"/>
            <w:tcBorders/>
          </w:tcPr>
          <w:p>
            <w:pPr>
              <w:pStyle w:val="TableContents"/>
              <w:bidi w:val="0"/>
              <w:spacing w:before="0" w:after="283"/>
              <w:jc w:val="left"/>
              <w:rPr/>
            </w:pPr>
            <w:r>
              <w:rPr/>
              <w:t>FBB Written Consent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6.01(c)</w:t>
            </w:r>
          </w:p>
        </w:tc>
      </w:tr>
      <w:tr>
        <w:trPr/>
        <w:tc>
          <w:tcPr>
            <w:tcW w:w="6021" w:type="dxa"/>
            <w:tcBorders/>
          </w:tcPr>
          <w:p>
            <w:pPr>
              <w:pStyle w:val="TableContents"/>
              <w:bidi w:val="0"/>
              <w:spacing w:before="0" w:after="283"/>
              <w:jc w:val="left"/>
              <w:rPr/>
            </w:pPr>
            <w:r>
              <w:rPr/>
              <w:t>FBB’s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4.06</w:t>
            </w:r>
          </w:p>
        </w:tc>
      </w:tr>
      <w:tr>
        <w:trPr/>
        <w:tc>
          <w:tcPr>
            <w:tcW w:w="6021" w:type="dxa"/>
            <w:tcBorders/>
          </w:tcPr>
          <w:p>
            <w:pPr>
              <w:pStyle w:val="TableContents"/>
              <w:bidi w:val="0"/>
              <w:spacing w:before="0" w:after="283"/>
              <w:jc w:val="left"/>
              <w:rPr/>
            </w:pPr>
            <w:r>
              <w:rPr/>
              <w:t>Final Stockholders Registry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FLSA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GAAP</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3.06(a)</w:t>
            </w:r>
          </w:p>
        </w:tc>
      </w:tr>
      <w:tr>
        <w:trPr/>
        <w:tc>
          <w:tcPr>
            <w:tcW w:w="6021" w:type="dxa"/>
            <w:tcBorders/>
          </w:tcPr>
          <w:p>
            <w:pPr>
              <w:pStyle w:val="TableContents"/>
              <w:bidi w:val="0"/>
              <w:spacing w:before="0" w:after="283"/>
              <w:jc w:val="left"/>
              <w:rPr/>
            </w:pPr>
            <w:r>
              <w:rPr/>
              <w:t>Governmental Entity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Hazardous Materials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Indemnified Party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6.02(g)</w:t>
            </w:r>
          </w:p>
        </w:tc>
      </w:tr>
      <w:tr>
        <w:trPr/>
        <w:tc>
          <w:tcPr>
            <w:tcW w:w="6021" w:type="dxa"/>
            <w:tcBorders/>
          </w:tcPr>
          <w:p>
            <w:pPr>
              <w:pStyle w:val="TableContents"/>
              <w:bidi w:val="0"/>
              <w:spacing w:before="0" w:after="283"/>
              <w:jc w:val="left"/>
              <w:rPr/>
            </w:pPr>
            <w:r>
              <w:rPr/>
              <w:t>Independent Director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Information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6.01(e)</w:t>
            </w:r>
          </w:p>
        </w:tc>
      </w:tr>
      <w:tr>
        <w:trPr/>
        <w:tc>
          <w:tcPr>
            <w:tcW w:w="6021" w:type="dxa"/>
            <w:tcBorders/>
          </w:tcPr>
          <w:p>
            <w:pPr>
              <w:pStyle w:val="TableContents"/>
              <w:bidi w:val="0"/>
              <w:spacing w:before="0" w:after="283"/>
              <w:jc w:val="left"/>
              <w:rPr/>
            </w:pPr>
            <w:r>
              <w:rPr/>
              <w:t>Injunction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Intended Tax Treatment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Law</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Lien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Merger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Merger Consideration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Merger Sub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Multiemployer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Nasdaq</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New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6.10(b)</w:t>
            </w:r>
          </w:p>
        </w:tc>
      </w:tr>
      <w:tr>
        <w:trPr/>
        <w:tc>
          <w:tcPr>
            <w:tcW w:w="6021" w:type="dxa"/>
            <w:tcBorders/>
          </w:tcPr>
          <w:p>
            <w:pPr>
              <w:pStyle w:val="TableContents"/>
              <w:bidi w:val="0"/>
              <w:spacing w:before="0" w:after="283"/>
              <w:jc w:val="left"/>
              <w:rPr/>
            </w:pPr>
            <w:r>
              <w:rPr/>
              <w:t>New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6.10(c)</w:t>
            </w:r>
          </w:p>
        </w:tc>
      </w:tr>
      <w:tr>
        <w:trPr/>
        <w:tc>
          <w:tcPr>
            <w:tcW w:w="6021" w:type="dxa"/>
            <w:tcBorders/>
          </w:tcPr>
          <w:p>
            <w:pPr>
              <w:pStyle w:val="TableContents"/>
              <w:bidi w:val="0"/>
              <w:spacing w:before="0" w:after="283"/>
              <w:jc w:val="left"/>
              <w:rPr/>
            </w:pPr>
            <w:r>
              <w:rPr/>
              <w:t>Notice of 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Payor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2.02(h)</w:t>
            </w:r>
          </w:p>
        </w:tc>
      </w:tr>
      <w:tr>
        <w:trPr/>
        <w:tc>
          <w:tcPr>
            <w:tcW w:w="6021" w:type="dxa"/>
            <w:tcBorders/>
          </w:tcPr>
          <w:p>
            <w:pPr>
              <w:pStyle w:val="TableContents"/>
              <w:bidi w:val="0"/>
              <w:spacing w:before="0" w:after="283"/>
              <w:jc w:val="left"/>
              <w:rPr/>
            </w:pPr>
            <w:r>
              <w:rPr/>
              <w:t>PCBs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Piggyback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Piggyback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Post-Closing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Section6.09(a)</w:t>
            </w:r>
          </w:p>
        </w:tc>
      </w:tr>
      <w:tr>
        <w:trPr/>
        <w:tc>
          <w:tcPr>
            <w:tcW w:w="6021" w:type="dxa"/>
            <w:tcBorders/>
          </w:tcPr>
          <w:p>
            <w:pPr>
              <w:pStyle w:val="TableContents"/>
              <w:bidi w:val="0"/>
              <w:spacing w:before="0" w:after="283"/>
              <w:jc w:val="left"/>
              <w:rPr/>
            </w:pPr>
            <w:r>
              <w:rPr/>
              <w:t>Proxy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6.01(b)</w:t>
            </w:r>
          </w:p>
        </w:tc>
      </w:tr>
      <w:tr>
        <w:trPr/>
        <w:tc>
          <w:tcPr>
            <w:tcW w:w="6021" w:type="dxa"/>
            <w:tcBorders/>
          </w:tcPr>
          <w:p>
            <w:pPr>
              <w:pStyle w:val="TableContents"/>
              <w:bidi w:val="0"/>
              <w:spacing w:before="0" w:after="283"/>
              <w:jc w:val="left"/>
              <w:rPr/>
            </w:pPr>
            <w:r>
              <w:rPr/>
              <w:t>Registrable Securities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Regulatory Agencies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Release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3.16(e)(v)</w:t>
            </w:r>
          </w:p>
        </w:tc>
      </w:tr>
      <w:tr>
        <w:trPr/>
        <w:tc>
          <w:tcPr>
            <w:tcW w:w="6021" w:type="dxa"/>
            <w:tcBorders/>
          </w:tcPr>
          <w:p>
            <w:pPr>
              <w:pStyle w:val="TableContents"/>
              <w:bidi w:val="0"/>
              <w:spacing w:before="0" w:after="283"/>
              <w:jc w:val="left"/>
              <w:rPr/>
            </w:pPr>
            <w:r>
              <w:rPr/>
              <w:t>Required DXL Stockholder Vote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Resale Registration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Sarbanes-Oxley 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Section3.05</w:t>
            </w:r>
          </w:p>
        </w:tc>
      </w:tr>
      <w:tr>
        <w:trPr/>
        <w:tc>
          <w:tcPr>
            <w:tcW w:w="6021" w:type="dxa"/>
            <w:tcBorders/>
          </w:tcPr>
          <w:p>
            <w:pPr>
              <w:pStyle w:val="TableContents"/>
              <w:bidi w:val="0"/>
              <w:spacing w:before="0" w:after="283"/>
              <w:jc w:val="left"/>
              <w:rPr/>
            </w:pPr>
            <w:r>
              <w:rPr/>
              <w:t>Surviving Company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Surviving Company Charter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2"/>
        <w:gridCol w:w="203"/>
        <w:gridCol w:w="3980"/>
      </w:tblGrid>
      <w:tr>
        <w:trPr/>
        <w:tc>
          <w:tcPr>
            <w:tcW w:w="602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2" w:type="dxa"/>
            <w:tcBorders/>
          </w:tcPr>
          <w:p>
            <w:pPr>
              <w:pStyle w:val="TableContents"/>
              <w:bidi w:val="0"/>
              <w:spacing w:before="0" w:after="283"/>
              <w:jc w:val="left"/>
              <w:rPr/>
            </w:pPr>
            <w:r>
              <w:rPr/>
              <w:t>Tail Policy</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6.11(b)</w:t>
            </w:r>
          </w:p>
        </w:tc>
      </w:tr>
      <w:tr>
        <w:trPr/>
        <w:tc>
          <w:tcPr>
            <w:tcW w:w="6022" w:type="dxa"/>
            <w:tcBorders/>
          </w:tcPr>
          <w:p>
            <w:pPr>
              <w:pStyle w:val="TableContents"/>
              <w:bidi w:val="0"/>
              <w:spacing w:before="0" w:after="283"/>
              <w:jc w:val="left"/>
              <w:rPr/>
            </w:pPr>
            <w:r>
              <w:rPr/>
              <w:t>Takeover Statute</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3.17</w:t>
            </w:r>
          </w:p>
        </w:tc>
      </w:tr>
      <w:tr>
        <w:trPr/>
        <w:tc>
          <w:tcPr>
            <w:tcW w:w="6022" w:type="dxa"/>
            <w:tcBorders/>
          </w:tcPr>
          <w:p>
            <w:pPr>
              <w:pStyle w:val="TableContents"/>
              <w:bidi w:val="0"/>
              <w:spacing w:before="0" w:after="283"/>
              <w:jc w:val="left"/>
              <w:rPr/>
            </w:pPr>
            <w:r>
              <w:rPr/>
              <w:t>WARN</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3.12(c)</w:t>
            </w:r>
          </w:p>
        </w:tc>
      </w:tr>
    </w:tbl>
    <w:p>
      <w:pPr>
        <w:pStyle w:val="TextBody"/>
        <w:bidi w:val="0"/>
        <w:spacing w:before="240" w:after="0"/>
        <w:jc w:val="left"/>
        <w:rPr>
          <w:rFonts w:ascii="Times New Roman" w:hAnsi="Times New Roman"/>
          <w:sz w:val="20"/>
        </w:rPr>
      </w:pPr>
      <w:bookmarkStart w:id="210" w:name="anxa76201_107"/>
      <w:bookmarkEnd w:id="210"/>
      <w:r>
        <w:rPr>
          <w:rFonts w:ascii="Times New Roman" w:hAnsi="Times New Roman"/>
          <w:b/>
          <w:sz w:val="20"/>
        </w:rPr>
        <w:t xml:space="preserve">SECTION 9.05 </w:t>
      </w:r>
      <w:r>
        <w:rPr>
          <w:rFonts w:ascii="Times New Roman" w:hAnsi="Times New Roman"/>
          <w:b/>
          <w:sz w:val="20"/>
          <w:u w:val="single"/>
        </w:rPr>
        <w:t>Interpretation</w:t>
      </w:r>
      <w:r>
        <w:rPr>
          <w:rFonts w:ascii="Times New Roman" w:hAnsi="Times New Roman"/>
          <w:sz w:val="20"/>
        </w:rPr>
        <w:t xml:space="preserve">. When a reference is made in this Agreement to an Article or Section, such reference shall be to an Article or Section of this Agreement unless otherwise indicated. The table of contents, index of defined terms contained in </w:t>
      </w:r>
      <w:r>
        <w:rPr>
          <w:rFonts w:ascii="Times New Roman" w:hAnsi="Times New Roman"/>
          <w:sz w:val="20"/>
          <w:u w:val="single"/>
        </w:rPr>
        <w:t>Section 9.04</w:t>
      </w:r>
      <w:r>
        <w:rPr>
          <w:rFonts w:ascii="Times New Roman" w:hAnsi="Times New Roman"/>
          <w:sz w:val="20"/>
        </w:rPr>
        <w:t xml:space="preserve"> and headings contained in this Agreement are for reference purposes only and shall not affect in any way the meaning or interpretation of this Agreement. Any capitalized term used in any Schedule, Annex or Exhibit, but not otherwise defined therein, shall have the meaning assigned to such term in this Agreement. Whenever the words “include,” “includes” or “including” are used in this Agreement, they shall be deemed to be followed by the words “without limitation.” The words “hereof,” “hereto,” “hereby,” “herein” and “hereunder” and words of similar import when used in this Agreement shall refer to this Agreement as a whole and not to any particular provision of this Agreement. The words “date hereof” when used in this Agreement shall refer to the date of this Agreement. The term “or” is not exclusive. The word “extent” in the phrase “to the extent” shall mean the degree to which a subject or other thing extends, and such phrase shall not mean “if.” The definitions contained in this Agreement are applicable to the singular as well as the plural forms of such terms. Any agreement, instrument or Law defined or referred to herein means such agreement, instrument or Law as from time to time amended, modified or supplemented, unless otherwise specifically indicated. References to a Person are also to its successors and permitted assigns. Unless otherwise specifically indicated, all references to “dollars” and “$” will be deemed references to the lawful money of the United States of America. The term “made available” and words of similar import mean that the relevant documents, instruments or materials were (a) posted and made available to the other party on the applicable due diligence data site, maintained by a party for the purpose of the Merger and the other Transactions, in each case prior to the date hereof, or (b) publicly available by virtue of the relevant party’s filing of a publicly available final registration statement, prospectus, report, form, schedule or definitive proxy statement filed with the SEC pursuant to the Securities Act or the Exchange Act at least one (1) Business Day prior to the date hereof. No provision of this Agreement will be interpreted in favor of, or against, any of the parties to this Agreement by reason of the extent to which any such party or its legal counsel participated in the drafting thereof or by reason of the extent to which any such provision is inconsistent with any prior draft of this Agreement, and no rule of strict construction will be applied against any party hereto. The DXL Disclosure Schedule and the FBB Disclosure Schedule set forth items of disclosure with specific reference to the particular Section or subsection of this Agreement to which the information in the DXL Disclosure Schedule or FBB Disclosure Schedule, as the case may be, relates; provided that any fact or item that is disclosed in any section or subsection of the DXL Disclosure Schedule or the FBB Disclosure Schedule so as to make its relevance to the information called for by other sections or subsections of the DXL Disclosure Schedule or the FBB Disclosure Schedule reasonably apparent on the face of such disclosure shall be deemed to be disclosed in such other sections or subsections of the DXL Disclosure Schedule or the FBB Disclosure Schedule, as the case may be, notwithstanding the omission of any appropriate cross-reference thereto; provided, further that, notwithstanding anything in this Agreement to the contrary, the inclusion of an item in either such disclosure schedule as an exception to a representation or warranty will not be deemed an admission that such item represents a material exception or material fact, event or circumstance or that such item has had or would reasonably be expected to have a Material Adverse Effect on DXL or FBB, as the case may be. Except where the context otherwise requires, references to the “other party” or “either party” will be deemed to refer to DXL and Merger Sub, collectively, on the one hand, and FBB, on the other hand. All electronic communications from a Person delivered in accordance with </w:t>
      </w:r>
      <w:r>
        <w:rPr>
          <w:rFonts w:ascii="Times New Roman" w:hAnsi="Times New Roman"/>
          <w:sz w:val="20"/>
          <w:u w:val="single"/>
        </w:rPr>
        <w:t>Section 9.02</w:t>
      </w:r>
      <w:r>
        <w:rPr>
          <w:rFonts w:ascii="Times New Roman" w:hAnsi="Times New Roman"/>
          <w:sz w:val="20"/>
        </w:rPr>
        <w:t xml:space="preserve"> shall be deemed to be “written”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1" w:name="anxa76201_108"/>
      <w:bookmarkEnd w:id="211"/>
      <w:r>
        <w:rPr>
          <w:rFonts w:ascii="Times New Roman" w:hAnsi="Times New Roman"/>
          <w:b/>
          <w:sz w:val="20"/>
        </w:rPr>
        <w:t xml:space="preserve">SECTION 9.06 </w:t>
      </w:r>
      <w:r>
        <w:rPr>
          <w:rFonts w:ascii="Times New Roman" w:hAnsi="Times New Roman"/>
          <w:b/>
          <w:sz w:val="20"/>
          <w:u w:val="single"/>
        </w:rPr>
        <w:t>Severability</w:t>
      </w:r>
      <w:r>
        <w:rPr>
          <w:rFonts w:ascii="Times New Roman" w:hAnsi="Times New Roman"/>
          <w:sz w:val="20"/>
        </w:rPr>
        <w:t xml:space="preserve">. If any term or other provision of this Agreement is invalid, illegal or incapable of being enforced by any Law or public policy, all other conditions and provisions of this Agreement shall nevertheless remain in full force and effect so long as either the economic or legal substance of the Transactions is not affected in any manner adverse in any material respect to any party or such party waives its rights under this </w:t>
      </w:r>
      <w:r>
        <w:rPr>
          <w:rFonts w:ascii="Times New Roman" w:hAnsi="Times New Roman"/>
          <w:sz w:val="20"/>
          <w:u w:val="single"/>
        </w:rPr>
        <w:t>Section 9.</w:t>
      </w:r>
      <w:r>
        <w:rPr>
          <w:rFonts w:ascii="Times New Roman" w:hAnsi="Times New Roman"/>
          <w:sz w:val="20"/>
        </w:rPr>
        <w:t xml:space="preserve">06 with respect thereto. </w:t>
      </w:r>
    </w:p>
    <w:p>
      <w:pPr>
        <w:pStyle w:val="TextBody"/>
        <w:bidi w:val="0"/>
        <w:spacing w:before="240" w:after="0"/>
        <w:jc w:val="left"/>
        <w:rPr>
          <w:rFonts w:ascii="Times New Roman" w:hAnsi="Times New Roman"/>
          <w:sz w:val="20"/>
        </w:rPr>
      </w:pPr>
      <w:bookmarkStart w:id="212" w:name="anxa76201_109"/>
      <w:bookmarkEnd w:id="212"/>
      <w:r>
        <w:rPr>
          <w:rFonts w:ascii="Times New Roman" w:hAnsi="Times New Roman"/>
          <w:b/>
          <w:sz w:val="20"/>
        </w:rPr>
        <w:t xml:space="preserve">SECTION 9.07 </w:t>
      </w:r>
      <w:r>
        <w:rPr>
          <w:rFonts w:ascii="Times New Roman" w:hAnsi="Times New Roman"/>
          <w:b/>
          <w:sz w:val="20"/>
          <w:u w:val="single"/>
        </w:rPr>
        <w:t>Counterparts; Facsimile Signatures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parties. Facsimile or other electronically scanned and transmitted signatures, including by email attachment, shall be deemed originals for all purposes of this Agreement. </w:t>
      </w:r>
    </w:p>
    <w:p>
      <w:pPr>
        <w:pStyle w:val="TextBody"/>
        <w:bidi w:val="0"/>
        <w:spacing w:before="240" w:after="0"/>
        <w:jc w:val="left"/>
        <w:rPr>
          <w:rFonts w:ascii="Times New Roman" w:hAnsi="Times New Roman"/>
          <w:sz w:val="20"/>
        </w:rPr>
      </w:pPr>
      <w:bookmarkStart w:id="213" w:name="anxa76201_110"/>
      <w:bookmarkEnd w:id="213"/>
      <w:r>
        <w:rPr>
          <w:rFonts w:ascii="Times New Roman" w:hAnsi="Times New Roman"/>
          <w:b/>
          <w:sz w:val="20"/>
        </w:rPr>
        <w:t xml:space="preserve">SECTION 9.08 </w:t>
      </w:r>
      <w:r>
        <w:rPr>
          <w:rFonts w:ascii="Times New Roman" w:hAnsi="Times New Roman"/>
          <w:b/>
          <w:sz w:val="20"/>
          <w:u w:val="single"/>
        </w:rPr>
        <w:t>Entire Agreement; No Third Party Beneficiaries</w:t>
      </w:r>
      <w:r>
        <w:rPr>
          <w:rFonts w:ascii="Times New Roman" w:hAnsi="Times New Roman"/>
          <w:sz w:val="20"/>
        </w:rPr>
        <w:t xml:space="preserve">. This Agreement, taken together with the Confidentiality Agreement and the other agreements entered into in connection with preserving the confidentiality of information, (a) constitutes the entire agreement, and supersedes all prior agreements (other than the Confidentiality Agreement and the other agreements entered into in connection with preserving the confidentiality of information) and understandings, both written and oral, among the parties with respect to the Merger and the other Transactions and (b) is not intended to, and does not, confer upon any Person other than the parties any rights or remedies. The FBB Disclosure Schedule and the DXL Disclosure Schedule are “facts ascertainable” as that term is used in Section 251(b) of the DGCL; provided, that, to the fullest extent permitted by Section 268 of the DGCL, the FBB Disclosure Schedule, the DXL Disclosure Schedule, and any other exhibit, schedule, or other document or instrument delivered in connection with this Agreement shall not be deemed part of this Agreement for purposes of any provision of the DGCL but shall have the effects provided in this Agreement. Notwithstanding anything to the contrary in this Agreement, following the Effective Time, (i) the provisions of </w:t>
      </w:r>
      <w:r>
        <w:rPr>
          <w:rFonts w:ascii="Times New Roman" w:hAnsi="Times New Roman"/>
          <w:sz w:val="20"/>
          <w:u w:val="single"/>
        </w:rPr>
        <w:t>Article II</w:t>
      </w:r>
      <w:r>
        <w:rPr>
          <w:rFonts w:ascii="Times New Roman" w:hAnsi="Times New Roman"/>
          <w:sz w:val="20"/>
        </w:rPr>
        <w:t xml:space="preserve"> relating to the payment of the Merger Consideration and any dividends or other distributions payable pursuant to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w:t>
      </w:r>
      <w:r>
        <w:rPr>
          <w:rFonts w:ascii="Times New Roman" w:hAnsi="Times New Roman"/>
          <w:sz w:val="20"/>
        </w:rPr>
        <w:t>d</w:t>
      </w:r>
      <w:r>
        <w:rPr>
          <w:rFonts w:ascii="Times New Roman" w:hAnsi="Times New Roman"/>
          <w:sz w:val="20"/>
          <w:u w:val="single"/>
        </w:rPr>
        <w:t>)</w:t>
      </w:r>
      <w:r>
        <w:rPr>
          <w:rFonts w:ascii="Times New Roman" w:hAnsi="Times New Roman"/>
          <w:sz w:val="20"/>
        </w:rPr>
        <w:t xml:space="preserve"> shall be enforceable by holders of FBB Capital Stock at the Effective Time as provided therein, (ii) the FBB Selling Stockholders are intended third party beneficiaries of </w:t>
      </w:r>
      <w:r>
        <w:rPr>
          <w:rFonts w:ascii="Times New Roman" w:hAnsi="Times New Roman"/>
          <w:sz w:val="20"/>
          <w:u w:val="single"/>
        </w:rPr>
        <w:t>Section 6.02</w:t>
      </w:r>
      <w:r>
        <w:rPr>
          <w:rFonts w:ascii="Times New Roman" w:hAnsi="Times New Roman"/>
          <w:sz w:val="20"/>
        </w:rPr>
        <w:t xml:space="preserve"> and (iii) the D&amp;O Indemnified Parties are intended third party beneficiaries of </w:t>
      </w:r>
      <w:r>
        <w:rPr>
          <w:rFonts w:ascii="Times New Roman" w:hAnsi="Times New Roman"/>
          <w:sz w:val="20"/>
          <w:u w:val="single"/>
        </w:rPr>
        <w:t>Section 6.</w:t>
      </w:r>
      <w:r>
        <w:rPr>
          <w:rFonts w:ascii="Times New Roman" w:hAnsi="Times New Roman"/>
          <w:sz w:val="20"/>
        </w:rPr>
        <w:t xml:space="preserve">11(a). </w:t>
      </w:r>
    </w:p>
    <w:p>
      <w:pPr>
        <w:pStyle w:val="TextBody"/>
        <w:bidi w:val="0"/>
        <w:spacing w:before="240" w:after="0"/>
        <w:jc w:val="left"/>
        <w:rPr>
          <w:rFonts w:ascii="Times New Roman" w:hAnsi="Times New Roman"/>
          <w:sz w:val="20"/>
        </w:rPr>
      </w:pPr>
      <w:bookmarkStart w:id="214" w:name="anxa76201_111"/>
      <w:bookmarkEnd w:id="214"/>
      <w:r>
        <w:rPr>
          <w:rFonts w:ascii="Times New Roman" w:hAnsi="Times New Roman"/>
          <w:b/>
          <w:sz w:val="20"/>
        </w:rPr>
        <w:t xml:space="preserve">SECTION 9.09 </w:t>
      </w:r>
      <w:r>
        <w:rPr>
          <w:rFonts w:ascii="Times New Roman" w:hAnsi="Times New Roman"/>
          <w:b/>
          <w:sz w:val="20"/>
          <w:u w:val="single"/>
        </w:rPr>
        <w:t>Governing Law</w:t>
      </w:r>
      <w:r>
        <w:rPr>
          <w:rFonts w:ascii="Times New Roman" w:hAnsi="Times New Roman"/>
          <w:sz w:val="20"/>
        </w:rPr>
        <w:t>. 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(a “</w:t>
      </w:r>
      <w:r>
        <w:rPr>
          <w:rFonts w:ascii="Times New Roman" w:hAnsi="Times New Roman"/>
          <w:sz w:val="20"/>
          <w:u w:val="single"/>
        </w:rPr>
        <w:t>Dispute</w:t>
      </w:r>
      <w:r>
        <w:rPr>
          <w:rFonts w:ascii="Times New Roman" w:hAnsi="Times New Roman"/>
          <w:sz w:val="20"/>
        </w:rPr>
        <w:t xml:space="preserv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bookmarkStart w:id="215" w:name="anxa76201_112"/>
      <w:bookmarkEnd w:id="215"/>
      <w:r>
        <w:rPr>
          <w:rFonts w:ascii="Times New Roman" w:hAnsi="Times New Roman"/>
          <w:b/>
          <w:sz w:val="20"/>
        </w:rPr>
        <w:t xml:space="preserve">SECTION 9.10 </w:t>
      </w:r>
      <w:r>
        <w:rPr>
          <w:rFonts w:ascii="Times New Roman" w:hAnsi="Times New Roman"/>
          <w:b/>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bookmarkStart w:id="216" w:name="anxa76201_113"/>
      <w:bookmarkEnd w:id="216"/>
      <w:r>
        <w:rPr>
          <w:rFonts w:ascii="Times New Roman" w:hAnsi="Times New Roman"/>
          <w:b/>
          <w:sz w:val="20"/>
        </w:rPr>
        <w:t xml:space="preserve">SECTION 9.11 </w:t>
      </w:r>
      <w:r>
        <w:rPr>
          <w:rFonts w:ascii="Times New Roman" w:hAnsi="Times New Roman"/>
          <w:b/>
          <w:sz w:val="20"/>
          <w:u w:val="single"/>
        </w:rPr>
        <w:t>Specific Performance</w:t>
      </w:r>
      <w:r>
        <w:rPr>
          <w:rFonts w:ascii="Times New Roman" w:hAnsi="Times New Roman"/>
          <w:sz w:val="20"/>
        </w:rPr>
        <w:t xml:space="preserve">.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and therefore fully intend for specific performance to be an available remedy for breaches of this Agreement. It is accordingly agreed that, prior to the termination of this Agreement pursuant to </w:t>
      </w:r>
      <w:r>
        <w:rPr>
          <w:rFonts w:ascii="Times New Roman" w:hAnsi="Times New Roman"/>
          <w:sz w:val="20"/>
          <w:u w:val="single"/>
        </w:rPr>
        <w:t>Section 8.01</w:t>
      </w:r>
      <w:r>
        <w:rPr>
          <w:rFonts w:ascii="Times New Roman" w:hAnsi="Times New Roman"/>
          <w:sz w:val="20"/>
        </w:rPr>
        <w:t xml:space="preserve">, the parties shall be entitled to an Injunction or Injunctions to prevent breaches of this Agreement and to enforce specifically the performance of terms and provisions of this Agreement in any court referred to in </w:t>
      </w:r>
      <w:r>
        <w:rPr>
          <w:rFonts w:ascii="Times New Roman" w:hAnsi="Times New Roman"/>
          <w:sz w:val="20"/>
          <w:u w:val="single"/>
        </w:rPr>
        <w:t>Section 9.12</w:t>
      </w:r>
      <w:r>
        <w:rPr>
          <w:rFonts w:ascii="Times New Roman" w:hAnsi="Times New Roman"/>
          <w:sz w:val="20"/>
        </w:rPr>
        <w:t xml:space="preserve">, without proof of actual damages, this being in addition to any other remedy to which they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Each party further acknowledges and agrees that the agreements contained in this </w:t>
      </w:r>
      <w:r>
        <w:rPr>
          <w:rFonts w:ascii="Times New Roman" w:hAnsi="Times New Roman"/>
          <w:sz w:val="20"/>
          <w:u w:val="single"/>
        </w:rPr>
        <w:t>Section 9.11</w:t>
      </w:r>
      <w:r>
        <w:rPr>
          <w:rFonts w:ascii="Times New Roman" w:hAnsi="Times New Roman"/>
          <w:sz w:val="20"/>
        </w:rPr>
        <w:t xml:space="preserve"> are an integral part of the Merger and the other Transactions and that, without these agreements, the parties would not have entered into this Agreement. Each party further agrees that no other party hereto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9.11</w:t>
      </w:r>
      <w:r>
        <w:rPr>
          <w:rFonts w:ascii="Times New Roman" w:hAnsi="Times New Roman"/>
          <w:sz w:val="20"/>
        </w:rPr>
        <w:t xml:space="preserve">, and each party hereto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bookmarkStart w:id="217" w:name="anxa76201_114"/>
      <w:bookmarkEnd w:id="217"/>
      <w:r>
        <w:rPr>
          <w:rFonts w:ascii="Times New Roman" w:hAnsi="Times New Roman"/>
          <w:b/>
          <w:sz w:val="20"/>
        </w:rPr>
        <w:t xml:space="preserve">SECTION 9.12 </w:t>
      </w:r>
      <w:r>
        <w:rPr>
          <w:rFonts w:ascii="Times New Roman" w:hAnsi="Times New Roman"/>
          <w:b/>
          <w:sz w:val="20"/>
          <w:u w:val="single"/>
        </w:rPr>
        <w:t>Jurisdiction</w:t>
      </w:r>
      <w:r>
        <w:rPr>
          <w:rFonts w:ascii="Times New Roman" w:hAnsi="Times New Roman"/>
          <w:sz w:val="20"/>
        </w:rPr>
        <w:t xml:space="preserve">. Each of the parties hereto hereby irrevocably and unconditionally submits, for itself and its property, to the exclusive jurisdiction of the Court of Chancery of the State of Delaware, or, if (and only if) such court finds it lacks jurisdiction, the State or Federal courts of the United States of America sitting in Delaware, and any appellate court from any thereof, in any Dispute or for recognition or enforcement of any judgment relating thereto, and each of the parties hereby irrevocably and unconditionally (i) agrees not to commence any Dispute, except in the Court of Chancery of the State of Delaware, or, if (and only if) such court finds it lacks jurisdiction, the other State or Federal courts of the United States of America sitting in Delaware, and any appellate court from any thereof, (ii) agrees that any Dispute may be heard and determined in the Court of Chancery of the State of Delaware, or, if (and only if) such court finds it lacks jurisdiction, the other State courts or the Federal courts of the United States of America sitting in Delaware, and any appellate court from any thereof, (iii) waives, to the fullest extent it may legally and effectively do so, any objection that it may now or hereafter have to the laying of venue of any Dispute in such courts, and (iv) waives, to the fullest extent permitted by law, the defense of an inconvenient forum to the maintenance of any Dispute in such courts. Each of the parties agrees that a final, non-appealable judgment or determination of the courts described in this </w:t>
      </w:r>
      <w:r>
        <w:rPr>
          <w:rFonts w:ascii="Times New Roman" w:hAnsi="Times New Roman"/>
          <w:sz w:val="20"/>
          <w:u w:val="single"/>
        </w:rPr>
        <w:t>Section 9.12</w:t>
      </w:r>
      <w:r>
        <w:rPr>
          <w:rFonts w:ascii="Times New Roman" w:hAnsi="Times New Roman"/>
          <w:sz w:val="20"/>
        </w:rPr>
        <w:t xml:space="preserve"> shall be conclusive and may be enforced in other jurisdictions and any court of competent jurisdiction by suit on the judgment or in any other manner provided by applicable Law. Each party irrevocably consents to service of process in the manner provided for notices in </w:t>
      </w:r>
      <w:r>
        <w:rPr>
          <w:rFonts w:ascii="Times New Roman" w:hAnsi="Times New Roman"/>
          <w:sz w:val="20"/>
          <w:u w:val="single"/>
        </w:rPr>
        <w:t>Section 9.02</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ANY AND ALL RIGHT TO A TRIAL BY JURY IN ANY “DISPUTE” (AS DEFINED IN THIS AGREEMENT). EACH PARTY MAKES THIS WAIVER VOLUNTARILY AND SUCH PARTY HAS BEEN INDUCED TO ENTER INTO THIS AGREEMENT BY, AMONG OTHER THINGS, THE MUTUAL WAIVERS CONTAINED IN THIS </w:t>
      </w:r>
      <w:r>
        <w:rPr>
          <w:rFonts w:ascii="Times New Roman" w:hAnsi="Times New Roman"/>
          <w:sz w:val="20"/>
          <w:u w:val="single"/>
        </w:rPr>
        <w:t>Section 9.12</w:t>
      </w:r>
      <w:r>
        <w:rPr>
          <w:rFonts w:ascii="Times New Roman" w:hAnsi="Times New Roman"/>
          <w:sz w:val="20"/>
        </w:rPr>
        <w:t xml:space="preserve">.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 w:hAnsi="Times New Roman"/>
          <w:sz w:val="20"/>
          <w:u w:val="single"/>
        </w:rPr>
        <w:t>Section 9.12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8" w:name="anxa76201_115"/>
      <w:bookmarkEnd w:id="218"/>
      <w:r>
        <w:rPr>
          <w:rFonts w:ascii="Times New Roman" w:hAnsi="Times New Roman"/>
          <w:b/>
          <w:sz w:val="20"/>
        </w:rPr>
        <w:t xml:space="preserve">SECTION 9.13 </w:t>
      </w:r>
      <w:r>
        <w:rPr>
          <w:rFonts w:ascii="Times New Roman" w:hAnsi="Times New Roman"/>
          <w:b/>
          <w:sz w:val="20"/>
          <w:u w:val="single"/>
        </w:rPr>
        <w:t>Publicity</w:t>
      </w:r>
      <w:r>
        <w:rPr>
          <w:rFonts w:ascii="Times New Roman" w:hAnsi="Times New Roman"/>
          <w:sz w:val="20"/>
        </w:rPr>
        <w:t xml:space="preserve">. The parties agree that the initial press release to be issued with respect to the Merger and the other Transactions shall be a joint press release to be reasonably agreed upon by DXL and FBB. Except with respect to disclosures that are consistent with prior disclosures made in compliance with this </w:t>
      </w:r>
      <w:r>
        <w:rPr>
          <w:rFonts w:ascii="Times New Roman" w:hAnsi="Times New Roman"/>
          <w:sz w:val="20"/>
          <w:u w:val="single"/>
        </w:rPr>
        <w:t>Section 9.13</w:t>
      </w:r>
      <w:r>
        <w:rPr>
          <w:rFonts w:ascii="Times New Roman" w:hAnsi="Times New Roman"/>
          <w:sz w:val="20"/>
        </w:rPr>
        <w:t xml:space="preserve"> or any communications plan or strategy previously agreed on by the parties, DXL and FBB shall consult with each other before issuing, and give each other the opportunity to review and comment upon, any press release or other public statements with respect to the Merger or the other Transactions, and shall not issue any such press release or make any such public statement prior to such consultation, except as such party may reasonably conclude may be required by applicable Law (including applicable securities laws), court process or by obligations pursuant to any listing agreement with any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9" w:name="anxa76201_116"/>
      <w:bookmarkEnd w:id="219"/>
      <w:r>
        <w:rPr>
          <w:rFonts w:ascii="Times New Roman" w:hAnsi="Times New Roman"/>
          <w:b/>
          <w:sz w:val="20"/>
        </w:rPr>
        <w:t xml:space="preserve">SECTION 9.14 </w:t>
      </w:r>
      <w:r>
        <w:rPr>
          <w:rFonts w:ascii="Times New Roman" w:hAnsi="Times New Roman"/>
          <w:b/>
          <w:sz w:val="20"/>
          <w:u w:val="single"/>
        </w:rPr>
        <w:t>Financing Related Parties</w:t>
      </w:r>
      <w:r>
        <w:rPr>
          <w:rFonts w:ascii="Times New Roman" w:hAnsi="Times New Roman"/>
          <w:sz w:val="20"/>
        </w:rPr>
        <w:t xml:space="preserve">. Notwithstanding anything in this Agreement to the contrary, DXL, on behalf of itself and DXL’s Subsidiaries, and FBB, on behalf of itself and FBB’s Subsidiaries, each hereby: </w:t>
      </w:r>
    </w:p>
    <w:p>
      <w:pPr>
        <w:pStyle w:val="TextBody"/>
        <w:bidi w:val="0"/>
        <w:spacing w:before="120" w:after="0"/>
        <w:jc w:val="left"/>
        <w:rPr>
          <w:rFonts w:ascii="Times New Roman" w:hAnsi="Times New Roman"/>
          <w:sz w:val="20"/>
        </w:rPr>
      </w:pPr>
      <w:r>
        <w:rPr>
          <w:rFonts w:ascii="Times New Roman" w:hAnsi="Times New Roman"/>
          <w:sz w:val="20"/>
        </w:rPr>
        <w:t xml:space="preserve">(a) agree that any action, whether in law or in equity, whether in contract or in tort or otherwise, involving the Financing Related Parties, arising out of or relating to, this Agreement, the Financing or any of the Debt Documents or Equity Documents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action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 that any such action described in the foregoing clause (a) shall be governed by the laws of the State of New York (without giving effect to any conflicts of law principles that would result in the application of the Laws of another state), except as otherwise provided in any debt commitment letters, any other applicable Debt Document, any Commitment and Subscription Agreement or any other Equity Document; </w:t>
      </w:r>
    </w:p>
    <w:p>
      <w:pPr>
        <w:pStyle w:val="TextBody"/>
        <w:bidi w:val="0"/>
        <w:spacing w:before="240" w:after="0"/>
        <w:jc w:val="left"/>
        <w:rPr>
          <w:rFonts w:ascii="Times New Roman" w:hAnsi="Times New Roman"/>
          <w:sz w:val="20"/>
        </w:rPr>
      </w:pPr>
      <w:r>
        <w:rPr>
          <w:rFonts w:ascii="Times New Roman" w:hAnsi="Times New Roman"/>
          <w:sz w:val="20"/>
        </w:rPr>
        <w:t xml:space="preserve">(c) agree that service of process upon DXL, DXL’s Subsidiaries, FBB or FBB’s Subsidiaries in any such action described in the foregoing clause (a) shall be effective if notice is given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irrevocably waive, to the fullest extent that it may effectively do so, the defense of an inconvenient forum to the maintenance of any action described in the foregoing clause (a)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(e) waive to the fullest extent permitted by applicable law trial by jury in any action brought against any of the Financing Related Parties in any way arising out of or relating to, this Agreement, the Financing, any related debt commitment letters, the A&amp;R Term Loan Amendment, any other Debt Document, the Commitment and Subscription Agreements, any other Equity Document or any of the transactions contemplated hereby or thereby or the performance of any services thereunder; </w:t>
      </w:r>
    </w:p>
    <w:p>
      <w:pPr>
        <w:pStyle w:val="TextBody"/>
        <w:bidi w:val="0"/>
        <w:spacing w:before="240" w:after="0"/>
        <w:jc w:val="left"/>
        <w:rPr>
          <w:rFonts w:ascii="Times New Roman" w:hAnsi="Times New Roman"/>
          <w:sz w:val="20"/>
        </w:rPr>
      </w:pPr>
      <w:r>
        <w:rPr>
          <w:rFonts w:ascii="Times New Roman" w:hAnsi="Times New Roman"/>
          <w:sz w:val="20"/>
        </w:rPr>
        <w:t xml:space="preserve">(f) agree that none of the Financing Related Parties will have any liability to DXL or DXL’s Subsidiaries or any of their respective Affiliates or Representatives, or any of their respective current, former or future officers, directors, employees, agents, Representatives, stockholders, limited partners, managers, members or partners relating to or arising out of this Agreement, the Financing, any debt commitment letters, the A&amp;R Term Loan Amendment, any other Debt Document, the Commitment and Subscription Agreements, any other Equity Document or any of the transactions contemplated hereby or thereby or the performance of any services thereunder or otherwise, whether in law or in equity, whether in contract or in tort or otherwise, and neither DXL, nor any of its Subsidiaries or Affiliates will have any rights or claims against any of the Financing Related Parties hereunder or thereunder prior to the Closing (other than, after giving effect to the Closing, pursuant to, and to the extent of, any Debt Document or Equity Document they are party to); </w:t>
      </w:r>
    </w:p>
    <w:p>
      <w:pPr>
        <w:pStyle w:val="TextBody"/>
        <w:bidi w:val="0"/>
        <w:spacing w:before="240" w:after="0"/>
        <w:jc w:val="left"/>
        <w:rPr>
          <w:rFonts w:ascii="Times New Roman" w:hAnsi="Times New Roman"/>
          <w:sz w:val="20"/>
        </w:rPr>
      </w:pPr>
      <w:r>
        <w:rPr>
          <w:rFonts w:ascii="Times New Roman" w:hAnsi="Times New Roman"/>
          <w:sz w:val="20"/>
        </w:rPr>
        <w:t xml:space="preserve">(g) agree that the Financing Related Parties are express third-party beneficiaries of, and may enforce, any of the provisions in this Agreement reflecting the foregoing agreements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9.14</w:t>
      </w:r>
      <w:r>
        <w:rPr>
          <w:rFonts w:ascii="Times New Roman" w:hAnsi="Times New Roman"/>
          <w:sz w:val="20"/>
        </w:rPr>
        <w:t xml:space="preserve">, </w:t>
      </w:r>
      <w:r>
        <w:rPr>
          <w:rFonts w:ascii="Times New Roman" w:hAnsi="Times New Roman"/>
          <w:sz w:val="20"/>
          <w:u w:val="single"/>
        </w:rPr>
        <w:t>Section 9.11</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03; and </w:t>
      </w:r>
    </w:p>
    <w:p>
      <w:pPr>
        <w:pStyle w:val="TextBody"/>
        <w:bidi w:val="0"/>
        <w:spacing w:before="240" w:after="0"/>
        <w:jc w:val="left"/>
        <w:rPr>
          <w:rFonts w:ascii="Times New Roman" w:hAnsi="Times New Roman"/>
          <w:sz w:val="20"/>
        </w:rPr>
      </w:pPr>
      <w:r>
        <w:rPr>
          <w:rFonts w:ascii="Times New Roman" w:hAnsi="Times New Roman"/>
          <w:sz w:val="20"/>
        </w:rPr>
        <w:t xml:space="preserve">(h) none of this </w:t>
      </w:r>
      <w:r>
        <w:rPr>
          <w:rFonts w:ascii="Times New Roman" w:hAnsi="Times New Roman"/>
          <w:sz w:val="20"/>
          <w:u w:val="single"/>
        </w:rPr>
        <w:t>Section 9.14</w:t>
      </w:r>
      <w:r>
        <w:rPr>
          <w:rFonts w:ascii="Times New Roman" w:hAnsi="Times New Roman"/>
          <w:sz w:val="20"/>
        </w:rPr>
        <w:t xml:space="preserve"> and </w:t>
      </w:r>
      <w:r>
        <w:rPr>
          <w:rFonts w:ascii="Times New Roman" w:hAnsi="Times New Roman"/>
          <w:sz w:val="20"/>
          <w:u w:val="single"/>
        </w:rPr>
        <w:t>Section 8.03</w:t>
      </w:r>
      <w:r>
        <w:rPr>
          <w:rFonts w:ascii="Times New Roman" w:hAnsi="Times New Roman"/>
          <w:sz w:val="20"/>
        </w:rPr>
        <w:t xml:space="preserve"> (or any other provision of this Agreement the amendment or waiver of which has the effect of modifying such provisions) may be amended, modified, terminated or waived in a manner that is materially adverse to any Financing Related Party without the prior written consent of such Financing Related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in counterparts by their duly authorized officers,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DESTINATION XL GROUP, INC.</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5"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Harvey S. Kanter</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DIVINE MERGER SUB I,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Harvey S. Kanter</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60"/>
        <w:gridCol w:w="3352"/>
      </w:tblGrid>
      <w:tr>
        <w:trPr/>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2" w:type="dxa"/>
            <w:tcBorders>
              <w:bottom w:val="single" w:sz="2" w:space="0" w:color="000000"/>
            </w:tcBorders>
            <w:tcMar>
              <w:bottom w:w="28" w:type="dxa"/>
            </w:tcMar>
          </w:tcPr>
          <w:p>
            <w:pPr>
              <w:pStyle w:val="TableContents"/>
              <w:bidi w:val="0"/>
              <w:spacing w:before="0" w:after="283"/>
              <w:jc w:val="left"/>
              <w:rPr/>
            </w:pPr>
            <w:r>
              <w:rPr/>
              <w:t>/s/ Jim Fogarty</w:t>
            </w:r>
          </w:p>
        </w:tc>
      </w:tr>
      <w:tr>
        <w:trPr/>
        <w:tc>
          <w:tcPr>
            <w:tcW w:w="67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Jim Fogarty</w:t>
            </w:r>
          </w:p>
        </w:tc>
      </w:tr>
      <w:tr>
        <w:trPr/>
        <w:tc>
          <w:tcPr>
            <w:tcW w:w="67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of the Surviving Company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The name of the corporation (the “</w:t>
      </w:r>
      <w:r>
        <w:rPr>
          <w:rFonts w:ascii="Times New Roman" w:hAnsi="Times New Roman"/>
          <w:sz w:val="20"/>
          <w:u w:val="single"/>
        </w:rPr>
        <w:t>Corporation</w:t>
      </w:r>
      <w:r>
        <w:rPr>
          <w:rFonts w:ascii="Times New Roman" w:hAnsi="Times New Roman"/>
          <w:sz w:val="20"/>
        </w:rPr>
        <w:t xml:space="preserve">”) is: </w:t>
      </w:r>
    </w:p>
    <w:p>
      <w:pPr>
        <w:pStyle w:val="TextBody"/>
        <w:bidi w:val="0"/>
        <w:spacing w:before="240" w:after="0"/>
        <w:jc w:val="center"/>
        <w:rPr>
          <w:rFonts w:ascii="Times New Roman" w:hAnsi="Times New Roman"/>
          <w:sz w:val="20"/>
        </w:rPr>
      </w:pPr>
      <w:r>
        <w:rPr>
          <w:rFonts w:ascii="Times New Roman" w:hAnsi="Times New Roman"/>
          <w:sz w:val="20"/>
        </w:rPr>
        <w:t xml:space="preserve">DIVINE MERGER SUB I, INC.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the Corporation in the State of Delaware is c/o Corporation Service Company, 251 Little Falls Drive, Wilmington, Delaware 19808 in the County of New Castle. The name of the registered agent of the Corporation at such address is Corporation Service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The nature of the business or purposes to be conducted or promoted by the Corporation is to engage in any lawful act or activity for which corporations may be organized under the General Corporation Law of the State of Delaware (the “</w:t>
      </w:r>
      <w:r>
        <w:rPr>
          <w:rFonts w:ascii="Times New Roman" w:hAnsi="Times New Roman"/>
          <w:sz w:val="20"/>
          <w:u w:val="single"/>
        </w:rPr>
        <w:t>DGCL</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The total number of shares of stock which the Corporation shall have authority to issue is 1,000 shares of common stock, par value $0.01 per share (the “</w:t>
      </w:r>
      <w:r>
        <w:rPr>
          <w:rFonts w:ascii="Times New Roman" w:hAnsi="Times New Roman"/>
          <w:sz w:val="20"/>
          <w:u w:val="single"/>
        </w:rPr>
        <w:t>Common Stock</w:t>
      </w:r>
      <w:r>
        <w:rPr>
          <w:rFonts w:ascii="Times New Roman" w:hAnsi="Times New Roman"/>
          <w:sz w:val="20"/>
        </w:rPr>
        <w:t xml:space="preserve">”). Each holder of Common Stock shall be entitled to one vote for each share held.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by statute, the by-laws of the Corporation may be made, altered, amended or repealed by the stockholders of the Corporation or by a majority of the entire Board of Directors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hereby eliminates, to the fullest extent permitted by law (as contemplated by Section 102(b)(7) of the DGCL) the personal liability of any person who serves as a director of the Corporation to the Corporation and/or its stockholders for monetary damages for breach of fiduciary duty as a director; provided that this Article VII shall not eliminate or limit the liability of a director: (a) for any breach of the director’s duty of loyalty to the Corporation or its stockholders; (b) for acts or omissions not in good faith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involve intentional misconduct or a knowing violation of law; (c) under Section 174 of the DGCL; or (d) for any transaction from which the director derived an improper personal benefit; provided further, however, that if in the future the DGCL is amended or modified (including, but not limited to, Section 102(b)(7)) to permit the elimination of the personal liability of a director of the Corporation to a greater extent than contemplated above, then the provisions of this Article VII shall be deemed to be automatically amended to provide for the elimination of the personal liability of the directors of the Corporation to such greater extent. Any repeal or modification of this Article VII shall not adversely affect any right or protection of a director of the Corporation existing at the time of such repeal or modification.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a. Each person who was or is made a party or is threatened to be made a party to or is otherwise involved in any threatened, pending or completed action, suit or proceeding, whether civil, criminal, administrative or investigative (hereinafter</w:t>
      </w:r>
      <w:r>
        <w:rPr>
          <w:rFonts w:ascii="Times New Roman" w:hAnsi="Times New Roman"/>
          <w:i/>
          <w:sz w:val="20"/>
        </w:rPr>
        <w:t>,</w:t>
      </w:r>
      <w:r>
        <w:rPr>
          <w:rFonts w:ascii="Times New Roman" w:hAnsi="Times New Roman"/>
          <w:sz w:val="20"/>
        </w:rPr>
        <w:t xml:space="preserve"> a “</w:t>
      </w:r>
      <w:r>
        <w:rPr>
          <w:rFonts w:ascii="Times New Roman" w:hAnsi="Times New Roman"/>
          <w:sz w:val="20"/>
          <w:u w:val="single"/>
        </w:rPr>
        <w:t>proceeding</w:t>
      </w:r>
      <w:r>
        <w:rPr>
          <w:rFonts w:ascii="Times New Roman" w:hAnsi="Times New Roman"/>
          <w:sz w:val="20"/>
        </w:rPr>
        <w:t>”), by reason of the fact that he or she is or was a director, manager or officer of the Corporation or any of its Subsidiaries (each,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Group Entity</w:t>
      </w:r>
      <w:r>
        <w:rPr>
          <w:rFonts w:ascii="Times New Roman" w:hAnsi="Times New Roman"/>
          <w:sz w:val="20"/>
        </w:rPr>
        <w:t>”) or while a director, manager or officer of a Corporation Group Entity, is or was serving at the request of such Corporation Group Entity as a director, officer, manager, employee or agent of another corporation, partnership, limited liability company, joint venture, trust or other enterprise, including service with respect to an employee benefit plan (hereinafter, a “</w:t>
      </w:r>
      <w:r>
        <w:rPr>
          <w:rFonts w:ascii="Times New Roman" w:hAnsi="Times New Roman"/>
          <w:sz w:val="20"/>
          <w:u w:val="single"/>
        </w:rPr>
        <w:t>Covered Person</w:t>
      </w:r>
      <w:r>
        <w:rPr>
          <w:rFonts w:ascii="Times New Roman" w:hAnsi="Times New Roman"/>
          <w:sz w:val="20"/>
        </w:rPr>
        <w:t xml:space="preserve">”), whether the basis of such proceeding is alleged action in an official capacity as a director, officer, manager, employee or agent, or in any other capacity while serving as a director, officer, manager, employee or agent, shall be indemnified and held harmless by the Corporation to the fullest extent authorized or permitted by law (and, specifically in the case of the DGCL, as such law is amended, only to the extent that such amendment permits the Corporation to provide broader indemnification rights than previous to such amendment) against all expense, liability and loss (including, without limitation, attorneys’ fees, judgments, fines, excise taxes under the Employee Retirement Income Security Act of 1974, as amended from time to time, penalties and amounts paid or to be paid in settlement) actually and reasonably incurred or suffered by such Covered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right to indemnification conferred by clause (a) of this Article VIII, costs, charges and expenses (including, without limitation, attorneys’ fees) incurred by a Covered Person in defending, testifying, or otherwise participating in any such proceeding shall be paid by the Corporation in advance of the final disposition of such proceeding upon receipt of an undertaking by or on behalf of such Covered Person to repay all amounts so advanced in the event that it shall ultimately be determined that such Covered Person is not entitled to be indemnified by the Corporation as authorized in this Article VIII. The majority of the disinterested directors may, and upon approval of such Covered Person, authorize the Corporation’s counsel to represent such person, in any action, suit or proceeding, whether or not the Corporation is a party to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c. If a claim under clause (a) or clause (b) of this Article VIII is not paid in full by the Corporation within 60 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If successful in whole or in part in any such suit, or in a suit brought by the Corporation to recover an advancement of expenses pursuant to the terms of an undertaking, the Covered Person shall also be entitled to be paid the expense of prosecuting or defending such suit to the fullest extent permitted by law. In any suit brought by (i) the Covered Person to enforce a right to indemnification hereunder (but not in a suit brought by a Covered Person to enforce a right to an advancement of expenses) it shall be a defense that, and (ii)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as the same exists or as hereafter may be amended (but, in the case of any such amendment, only to the extent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permits the Corporation to provide broader indemnification rights than the DGCL permitted the Corporation to provide prior to such amendment).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as the same exists or as hereafter may be amended (but, in the case of any such amendment, only to the extent that such amendment permits the Corporation to provide broader indemnification rights than the DGCL permitted the Corporation to provide prior to such amendment),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Article VIII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The rights conferred on any person by this Article VIII shall not be exclusive of any other rights which any Covered Person may have or hereafter acquire under applicable law, this Restated Certificate of Incorporation, the Bylaws, agreement, vote of stockholders or disinterested directors, or otherwise, both as to action in his or her official capacity and as to action in another capacity while holding office or while employed by or acting as agent for the Corporation, and shall continue as to a person who has ceased to be a director, officer, employee or agent, and shall inure to the benefit of the estate, heirs, executors and administrators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e. The Corporation may maintain insurance, at its expense, to protect itself and/or any person who is or was or has agreed to become a Covered Person against any expense, liability or loss, whether or not the Corporation would have the power to indemnify such person against such expense, liability or loss under the DGCL and this Article VIII. </w:t>
      </w:r>
    </w:p>
    <w:p>
      <w:pPr>
        <w:pStyle w:val="TextBody"/>
        <w:bidi w:val="0"/>
        <w:spacing w:before="240" w:after="0"/>
        <w:jc w:val="left"/>
        <w:rPr>
          <w:rFonts w:ascii="Times New Roman" w:hAnsi="Times New Roman"/>
          <w:sz w:val="20"/>
        </w:rPr>
      </w:pPr>
      <w:r>
        <w:rPr>
          <w:rFonts w:ascii="Times New Roman" w:hAnsi="Times New Roman"/>
          <w:sz w:val="20"/>
        </w:rPr>
        <w:t>f. This Article VIII shall not limit the right of the Corporation to the extent and in the manner authorized or permitted by law to indemnify and to advance expenses to persons other than Covered Persons. Without limiting the foregoing, the Corporation may, to the extent authorized from time to time by the board of directors of the Corporation (the “</w:t>
      </w:r>
      <w:r>
        <w:rPr>
          <w:rFonts w:ascii="Times New Roman" w:hAnsi="Times New Roman"/>
          <w:sz w:val="20"/>
          <w:u w:val="single"/>
        </w:rPr>
        <w:t>Board</w:t>
      </w:r>
      <w:r>
        <w:rPr>
          <w:rFonts w:ascii="Times New Roman" w:hAnsi="Times New Roman"/>
          <w:sz w:val="20"/>
        </w:rPr>
        <w:t xml:space="preserve">”), grant rights to indemnification and to the advancement of expenses to any director, officer, manager, employee or agent of the Corporation and to any other person who is or was serving at the request of the Corporation as a director, officer, manager, employee or agent of another corporation or of a partnership, limited liability company, joint venture, trust or other enterprise or nonprofit entity, including service with respect to an employee benefit plan, to the fullest extent of the provisions of this Article VIII with respect to the indemnification and advancement of expenses of Covered Persons under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g. Any amendment, repeal or modification of this Article VIII, or any amendment, repeal or modification of relevant provisions of the DGCL or any other applicable laws, shall, to the extent permitted by applicable law, be prospective only (except to the extent such amendment or change in applicable law permits the Corporation to provide broader indemnification rights to Covered Persons on a retroactive basis than permitted prior thereto), and shall not in any way diminish or adversely affect any right or protection existing under this Article VIII in respect of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Article VIII, (i) references to “other enterprise” shall include any employee benefit plan; (ii) references to “fines” shall include any excise taxes assessed on a person with respect to an employee benefit plan; (iii) references to “serving at the request of the Corporation” shall include any service that imposes duties on, or involves services by, a person with respect to another corporation, or of a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liability company, joint venture, trust, other enterprise or nonprofit entity, including service with respect to an employee benefit plan, its participants, or beneficiaries; (iv) references to “the Corporation” include all constituent corporations absorbed in a consolidation or merger as well as the resulting or surviving corporation, so that any Covered Person of such a constituent corporation or is or was serving at the request of such constituent corporation as a Covered Person of another corporation, partnership, limited liability company, joint venture, trust or other enterprise or nonprofit entity, including service with respect to an employee benefit plan, shall stand in the same position under the provisions of this Article VIII, with respect to the resulting or surviving corporation, as a Covered Person would if the Covered Person had served the resulting or surviving corporation in the same capacity; and (v) person who acted in good faith and in a manner such person reasonably believed to be in the interest of the participants and beneficiaries of an employee benefit plan shall be deemed to have acted in a manner “not opposed to the best interest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i. The rights provided to Covered Persons pursuant to this Article VIII (i) shall be contract rights based upon good and valuable consideration, pursuant to which a Covered Person may bring suit as if the provisions of this Article VIII were set forth in a separate written contract between the Covered Person and the Corporation, (ii) shall fully vest at the time the Covered Person first assumes his or her position as an incorporator, resident agent, director, officer, manager, employee or agent of the Corporation and (iii) are intended to be retroactive and shall be available with respect to any act or omission occurring prior to the adoption of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anything in this Article VIII to the contrary, other than a proceeding to enforce his or her rights under this Article VIII, the Corporation shall not be required to indemnify or advance expenses to any Covered Person in connection with a proceeding or part thereof initiated by such Covered Person unless the initiation of such proceeding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k. If any term or provision of this Article VIII or the application to any Person or circumstance is held invalid or unenforceable to any extent, the remainder of this Article VIII and the application of such provision to other Persons and circumstances shall not be affected thereby and such provision shall be enforced to the greatest extent permitted by law.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The Corporation hereby acknowledges that certain Covered Persons may have rights to indemnification, insurance and/or advancement of expenses provided by a stockholder of the Corporation or its Affiliates (other than any Corporation Group Entity) (directly or through insurance obtained by any such entity) (collectively, the “</w:t>
      </w:r>
      <w:r>
        <w:rPr>
          <w:rFonts w:ascii="Times New Roman" w:hAnsi="Times New Roman"/>
          <w:sz w:val="20"/>
          <w:u w:val="single"/>
        </w:rPr>
        <w:t>Stockholder Indemnitors</w:t>
      </w:r>
      <w:r>
        <w:rPr>
          <w:rFonts w:ascii="Times New Roman" w:hAnsi="Times New Roman"/>
          <w:sz w:val="20"/>
        </w:rPr>
        <w:t xml:space="preserve">”). The Corporation hereby agrees and acknowledges that (i) it is the indemnitor of first resort with respect to the Covered Persons, (ii) it shall be required to advance the full amount of expenses incurred by the Covered Persons and shall be liable for the full amount of any losses, claims, damages, liabilities and expenses (including, without limitation, attorneys’ fees and expenses, judgments, fines, penalties and amounts paid or to be paid in settlement) to the extent legally permitted and, as required by law, the terms of this Certificate of Incorporation, the Bylaws, an agreement, vote of stockholders or disinterested directors, any other agreement between the Corporation and any Covered Persons or otherwise, without regard to any rights the Covered Persons may have against the Stockholder Indemnitors and (iii) to the extent permitted by law, it irrevocably waives, relinquishes and releases the Stockholder Indemnitors from any and all claims against the Stockholder Indemnitors for contribution, subrogation or any other recovery of any kind in respect thereof. The Corporation further agrees that no advancement or payment by the Stockholder Indemnitors on behalf of the Corporation with respect to any claim for which the Covered Persons have sought indemnification from the Corporation shall affect the foregoing and the Stockholder Indemnitors shall have a right of contribution and/or be subrogated to the extent of such advancement or payment to all of the rights of recovery of the Covered Persons against the Corporation. The rights provided in this Article IX shall be contract rights. The Corporation and each Covered Person agree that Stockholder Indemnitors are express third-party beneficiaries of Articles VIII and 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the Corporation is authorized to provide indemnification of (and advancement of expenses to) agents of the Corporation (and any other persons to which the DGCL permits the Corporation to provide indemnification) through Bylaw provisions, agreements with such agents or other persons, by vote of stockholders or disinterested directors or otherwise, in excess of the indemnification and advancement otherwise permitted by Section 145 of the DGCL, subject only to limits created by the DGCL and applicable law, with respect to actions for breach of duty to the Corporation, its stockholders, and others.”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xml:space="preserve">” means, with respect to any specified Person, any other Person that directly, or indirectly through one or more intermediaries, controls, is controlled by, or is under common control with, such first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Subsidiary</w:t>
      </w:r>
      <w:r>
        <w:rPr>
          <w:rFonts w:ascii="Times New Roman" w:hAnsi="Times New Roman"/>
          <w:sz w:val="20"/>
        </w:rPr>
        <w:t xml:space="preserve">” of any Person means (i) a corporation more than fifty percent (50%) of the combined voting power of the outstanding voting stock of which is owned, directly or indirectly, by such Person or by one or more other Subsidiaries of such Person or by such Person and one or more other Subsidiaries thereof,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thereof, directly or indirectly, has at least a majority ownership interest and the power to direct the policies, management and affairs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B</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(the “</w:t>
      </w:r>
      <w:r>
        <w:rPr>
          <w:rFonts w:ascii="Times New Roman" w:hAnsi="Times New Roman"/>
          <w:sz w:val="20"/>
          <w:u w:val="single"/>
        </w:rPr>
        <w:t>Stockholder</w:t>
      </w:r>
      <w:r>
        <w:rPr>
          <w:rFonts w:ascii="Times New Roman" w:hAnsi="Times New Roman"/>
          <w:sz w:val="20"/>
        </w:rPr>
        <w:t>”) understands that: (i) Destination XL Group, Inc., a Delaware corporation (“</w:t>
      </w:r>
      <w:r>
        <w:rPr>
          <w:rFonts w:ascii="Times New Roman" w:hAnsi="Times New Roman"/>
          <w:sz w:val="20"/>
          <w:u w:val="single"/>
        </w:rPr>
        <w:t>DXL</w:t>
      </w:r>
      <w:r>
        <w:rPr>
          <w:rFonts w:ascii="Times New Roman" w:hAnsi="Times New Roman"/>
          <w:sz w:val="20"/>
        </w:rPr>
        <w:t>”), has entered into an Agreement and Plan of Merger, dated as of December 10, 2025 (as amended, supplemented, restated or otherwise modified from time to time, the “</w:t>
      </w:r>
      <w:r>
        <w:rPr>
          <w:rFonts w:ascii="Times New Roman" w:hAnsi="Times New Roman"/>
          <w:sz w:val="20"/>
          <w:u w:val="single"/>
        </w:rPr>
        <w:t>Merger Agreement</w:t>
      </w:r>
      <w:r>
        <w:rPr>
          <w:rFonts w:ascii="Times New Roman" w:hAnsi="Times New Roman"/>
          <w:sz w:val="20"/>
        </w:rPr>
        <w:t>”), with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pursuant to which Merger Sub will be merged with and into FBB (the “</w:t>
      </w:r>
      <w:r>
        <w:rPr>
          <w:rFonts w:ascii="Times New Roman" w:hAnsi="Times New Roman"/>
          <w:sz w:val="20"/>
          <w:u w:val="single"/>
        </w:rPr>
        <w:t>Merger</w:t>
      </w:r>
      <w:r>
        <w:rPr>
          <w:rFonts w:ascii="Times New Roman" w:hAnsi="Times New Roman"/>
          <w:sz w:val="20"/>
        </w:rPr>
        <w:t>”) and the separate corporate existence of Merger Sub will cease and FBB will continue as the surviving corporation in the Merger and as a wholly owned subsidiary of DXL; and (ii) in connection with the Merger, stockholders of FBB will receive DXL Common Stock. Capitalized terms used but not otherwise defined in this letter agreement (the “</w:t>
      </w:r>
      <w:r>
        <w:rPr>
          <w:rFonts w:ascii="Times New Roman" w:hAnsi="Times New Roman"/>
          <w:sz w:val="20"/>
          <w:u w:val="single"/>
        </w:rPr>
        <w:t>Agreement</w:t>
      </w:r>
      <w:r>
        <w:rPr>
          <w:rFonts w:ascii="Times New Roman" w:hAnsi="Times New Roman"/>
          <w:sz w:val="20"/>
        </w:rPr>
        <w:t>”) will have the meanings ascribed to such terms in the Merger Agreement. This letter agreement shall not be effective until the effective time of the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a material inducement to the willingness of each of DXL and FBB to enter into the Merger Agreement, and for other good and valuable consideration, the receipt and sufficiency of which are hereby acknowledged, the Stockholder hereby agrees that the Stockholder will not, subject to the exceptions set forth in this Agreement, during the period commencing on the Effective Time and ending 90 days after the Closing Date (the “</w:t>
      </w:r>
      <w:r>
        <w:rPr>
          <w:rFonts w:ascii="Times New Roman" w:hAnsi="Times New Roman"/>
          <w:sz w:val="20"/>
          <w:u w:val="single"/>
        </w:rPr>
        <w:t>Restricted Period</w:t>
      </w:r>
      <w:r>
        <w:rPr>
          <w:rFonts w:ascii="Times New Roman" w:hAnsi="Times New Roman"/>
          <w:sz w:val="20"/>
        </w:rPr>
        <w:t>”), (a) offer, pledge, sell, contract to sell, sell any option or contract to purchase, purchase any option or contract to sell, grant any option, right or warrant to purchase, or otherwise transfer or dispose of, directly or indirectly, any DXL Common Stock, or any securities convertible into or exercisable or exchangeable for DXL Common Stock, including, without limitation, DXL Common Stock or such other securities which may be deemed to be beneficially owned by the Stockholder in accordance with the rules and regulations of the Securities and Exchange Commission and securities of DXL which may be issued upon exercise of a stock option or warrant (collectively, the “</w:t>
      </w:r>
      <w:r>
        <w:rPr>
          <w:rFonts w:ascii="Times New Roman" w:hAnsi="Times New Roman"/>
          <w:sz w:val="20"/>
          <w:u w:val="single"/>
        </w:rPr>
        <w:t>Stockholder’s Shares</w:t>
      </w:r>
      <w:r>
        <w:rPr>
          <w:rFonts w:ascii="Times New Roman" w:hAnsi="Times New Roman"/>
          <w:sz w:val="20"/>
        </w:rPr>
        <w:t xml:space="preserve">”), or (b) enter into any swap or other agreement that transfers, in whole or in part, any of the economic consequences of ownership of the DXL Common Stock or such other securities, whether any such transaction described in clause (a) or (b) above is to be settled by delivery of DXL Common Stock or such other securities, in cash or otherwise, in each case other than (i) transfers of the Stockholder’s Shares as charitable gifts or donations, (ii) transfers or dispositions of the Stockholder’s Shares directly as a gift to a member of the Stockholder’s immediate family, or to any trust for the direct or indirect benefit of the Stockholder or the immediate family of the Stockholder, (iii) transfers or dispositions of the Stockholder’s Shares by will, other testamentary document or intestate succession to the legal representative, heir, beneficiary or a member of the immediate family of the Stockholder, (iv) transfers of the Stockholder’s Shares to stockholders, direct or indirect affiliates (within the meaning set forth in Rule 405 under the Securities Act of 1933, as amended),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(v) transfers that occur by operation of law pursuant to a qualified domestic order or in connection with a divorce settlement, (vi) transfers or dispositions not involving a change in beneficial ownership, and (vii) if the Stockholder is a trust, transfers or dispositions to any beneficiary of the Stockholder or the estate of any such beneficiary; </w:t>
      </w:r>
      <w:r>
        <w:rPr>
          <w:rFonts w:ascii="Times New Roman" w:hAnsi="Times New Roman"/>
          <w:sz w:val="20"/>
          <w:u w:val="single"/>
        </w:rPr>
        <w:t>provided</w:t>
      </w:r>
      <w:r>
        <w:rPr>
          <w:rFonts w:ascii="Times New Roman" w:hAnsi="Times New Roman"/>
          <w:sz w:val="20"/>
        </w:rPr>
        <w:t xml:space="preserve"> that, in each case, the transferee agrees in writing to be bound by the terms and conditions of this Agreement and either the Stockholder or the transferee provides DXL with a copy of such agreement promptly upon consummation of any such transfer;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no filing by any party (donor, donee, transferor or transferee)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and any such transfer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shall not involve a disposition for value. For purposes of this Agreement, “immediate family” shall mean any relationship by blood, marriage or adoption, not more remote than first cousin. </w:t>
      </w:r>
    </w:p>
    <w:p>
      <w:pPr>
        <w:pStyle w:val="TextBody"/>
        <w:bidi w:val="0"/>
        <w:spacing w:before="360" w:after="0"/>
        <w:jc w:val="left"/>
        <w:rPr>
          <w:rFonts w:ascii="Times New Roman" w:hAnsi="Times New Roman"/>
          <w:sz w:val="20"/>
        </w:rPr>
      </w:pPr>
      <w:r>
        <w:rPr>
          <w:rFonts w:ascii="Times New Roman" w:hAnsi="Times New Roman"/>
          <w:sz w:val="20"/>
        </w:rPr>
        <w:t xml:space="preserve">Notwithstanding the restrictions imposed by this Agreement, the Stockholder may (a) establish a trading plan pursuant to Rule 10b5-1 under the Exchange Act for the transfer of DXL Common Stock, provided that such plan does not provide for any transfers of DXL Common Stock during the Restricted Period, and (b) transfer or dispose of DXL Common Stock acquired on the open market following the Effective Time; </w:t>
      </w:r>
      <w:r>
        <w:rPr>
          <w:rFonts w:ascii="Times New Roman" w:hAnsi="Times New Roman"/>
          <w:sz w:val="20"/>
          <w:u w:val="single"/>
        </w:rPr>
        <w:t>provided that</w:t>
      </w:r>
      <w:r>
        <w:rPr>
          <w:rFonts w:ascii="Times New Roman" w:hAnsi="Times New Roman"/>
          <w:sz w:val="20"/>
        </w:rPr>
        <w:t xml:space="preserve">, with respect to (a) above, no filing under the Exchange Act or other public announcement shall be required or shall be made voluntarily in connection with the establishment of such a plan, </w:t>
      </w:r>
      <w:r>
        <w:rPr>
          <w:rFonts w:ascii="Times New Roman" w:hAnsi="Times New Roman"/>
          <w:sz w:val="20"/>
          <w:u w:val="single"/>
        </w:rPr>
        <w:t>provided</w:t>
      </w:r>
      <w:r>
        <w:rPr>
          <w:rFonts w:ascii="Times New Roman" w:hAnsi="Times New Roman"/>
          <w:sz w:val="20"/>
        </w:rPr>
        <w:t xml:space="preserve"> that reasonable notice shall be provided to DXL prior to any such filing, and </w:t>
      </w:r>
      <w:r>
        <w:rPr>
          <w:rFonts w:ascii="Times New Roman" w:hAnsi="Times New Roman"/>
          <w:sz w:val="20"/>
          <w:u w:val="single"/>
        </w:rPr>
        <w:t>provided further</w:t>
      </w:r>
      <w:r>
        <w:rPr>
          <w:rFonts w:ascii="Times New Roman" w:hAnsi="Times New Roman"/>
          <w:sz w:val="20"/>
        </w:rPr>
        <w:t xml:space="preserve"> that, for the avoidance of doubt, the underlying DXL Common Stock shall continue to be subject to the restrictions on transfer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 attempted transfer in violation of this Agreement will be of no effect and null and void, regardless of whether the purported transferee has any actual or constructive knowledge of the transfer restrictions set forth in this Agreement, and will not be recorded on the stock transfer books of DXL. In order to ensure compliance with the restrictions referred to herein, the Stockholder agrees that DXL may issue appropriate “stop transfer” certificates or instructions. DXL may cause the legend set forth below, or a legend substantially equivalent thereto, to be placed upon any certificate(s) or other documents or instruments evidencing ownership of the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represents and warrants that the Stockholder has full power and authority to enter into this Agreement. All authority conferred or agreed to be conferred and any obligations of the Stockholder under this Agreement will be binding upon the successors, assigns, heirs or personal representatives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Stockholder’s Shares from this Agreement, DXL will cooperate with the Stockholder to facilitate the timely preparation and delivery of certificates representing the Stockholder’s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The Stockholder understands that each of DXL and FBB is relying upon this Agreement in proceeding toward consummation of the Merger. The Stockholder also understands that other individuals or entities are executing similar Lock-Up Agreements in connection with the Merger Agreement (each, a “</w:t>
      </w:r>
      <w:r>
        <w:rPr>
          <w:rFonts w:ascii="Times New Roman" w:hAnsi="Times New Roman"/>
          <w:sz w:val="20"/>
          <w:u w:val="single"/>
        </w:rPr>
        <w:t>Similar Agreement</w:t>
      </w:r>
      <w:r>
        <w:rPr>
          <w:rFonts w:ascii="Times New Roman" w:hAnsi="Times New Roman"/>
          <w:sz w:val="20"/>
        </w:rPr>
        <w:t xml:space="preserve">”). It is further understood and agreed that (a) no amendment or modification will be made to any Similar Agreement unless the Stockholder is afforded the opportunity to receive the same amendment or modification to this Agreement, and (b) no signatory to any Similar Agreement will be released from its obligations thereunder without notice being provided to the Stockholder. The Stockholder further understands that this Agreement is irrevocable and is binding upon the Stockholder’s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be deemed to vest in DXL or FBB any direct or indirect ownership or incidence of ownership of or with respect to the Stockholder’s Shares. All rights, ownership and economic benefits of and relating to the Stockholder’s Shares shall remain vested in and belong to the Stockholder, and DXL and FBB shall have no authority solely by virtue of this Agreement to direct the Stockholder in the voting or disposition of any of the Stockholder’s Shares, except as otherwise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in accordance with its terms, the Stockholder will be released from all obligations and liabilities under this Agreement automatically and without notice or other action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by facsimile or electronic (i.e., PDF) transmission, which is deemed an original.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0"/>
        <w:gridCol w:w="181"/>
        <w:gridCol w:w="3721"/>
      </w:tblGrid>
      <w:tr>
        <w:trPr/>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70"/>
        <w:gridCol w:w="112"/>
        <w:gridCol w:w="2939"/>
        <w:gridCol w:w="126"/>
        <w:gridCol w:w="4458"/>
      </w:tblGrid>
      <w:tr>
        <w:trPr/>
        <w:tc>
          <w:tcPr>
            <w:tcW w:w="257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45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570" w:type="dxa"/>
            <w:tcBorders/>
            <w:vAlign w:val="center"/>
          </w:tcPr>
          <w:p>
            <w:pPr>
              <w:pStyle w:val="TableContents"/>
              <w:bidi w:val="0"/>
              <w:spacing w:before="0" w:after="283"/>
              <w:jc w:val="left"/>
              <w:rPr>
                <w:sz w:val="4"/>
                <w:szCs w:val="4"/>
              </w:rPr>
            </w:pPr>
            <w:r>
              <w:rPr>
                <w:sz w:val="4"/>
                <w:szCs w:val="4"/>
              </w:rPr>
            </w:r>
          </w:p>
        </w:tc>
        <w:tc>
          <w:tcPr>
            <w:tcW w:w="3051" w:type="dxa"/>
            <w:gridSpan w:val="2"/>
            <w:tcBorders/>
            <w:vAlign w:val="center"/>
          </w:tcPr>
          <w:p>
            <w:pPr>
              <w:pStyle w:val="TableContents"/>
              <w:bidi w:val="0"/>
              <w:spacing w:before="0" w:after="283"/>
              <w:jc w:val="left"/>
              <w:rPr>
                <w:sz w:val="4"/>
                <w:szCs w:val="4"/>
              </w:rPr>
            </w:pPr>
            <w:r>
              <w:rPr>
                <w:sz w:val="4"/>
                <w:szCs w:val="4"/>
              </w:rPr>
            </w:r>
          </w:p>
        </w:tc>
        <w:tc>
          <w:tcPr>
            <w:tcW w:w="4584" w:type="dxa"/>
            <w:gridSpan w:val="2"/>
            <w:tcBorders/>
            <w:vAlign w:val="center"/>
          </w:tcPr>
          <w:p>
            <w:pPr>
              <w:pStyle w:val="TableContents"/>
              <w:bidi w:val="0"/>
              <w:spacing w:before="0" w:after="283"/>
              <w:jc w:val="left"/>
              <w:rPr>
                <w:sz w:val="4"/>
                <w:szCs w:val="4"/>
              </w:rPr>
            </w:pPr>
            <w:r>
              <w:rPr>
                <w:sz w:val="4"/>
                <w:szCs w:val="4"/>
              </w:rPr>
            </w:r>
          </w:p>
        </w:tc>
      </w:tr>
      <w:tr>
        <w:trPr/>
        <w:tc>
          <w:tcPr>
            <w:tcW w:w="257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Print Name of</w:t>
              <w:br/>
              <w:t>Stockholder:</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445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Signature (for individuals):</w:t>
            </w:r>
          </w:p>
          <w:p>
            <w:pPr>
              <w:pStyle w:val="TableContents"/>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Signature (for entities):</w:t>
            </w:r>
          </w:p>
          <w:p>
            <w:pPr>
              <w:pStyle w:val="TableContents"/>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382"/>
        <w:gridCol w:w="61"/>
        <w:gridCol w:w="759"/>
        <w:gridCol w:w="61"/>
        <w:gridCol w:w="281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4"/>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Name: </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b/>
          <w:sz w:val="20"/>
          <w:u w:val="single"/>
        </w:rPr>
        <w:t>Exhibit C</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Voting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b/>
          <w:sz w:val="20"/>
        </w:rPr>
        <w:t>THIS 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xml:space="preserve">”) is made and entered into as of December 10, 2025 by and among each of the persons set forth on </w:t>
      </w:r>
      <w:r>
        <w:rPr>
          <w:rFonts w:ascii="Times New Roman" w:hAnsi="Times New Roman"/>
          <w:sz w:val="20"/>
          <w:u w:val="single"/>
        </w:rPr>
        <w:t>Schedule A</w:t>
      </w:r>
      <w:r>
        <w:rPr>
          <w:rFonts w:ascii="Times New Roman" w:hAnsi="Times New Roman"/>
          <w:sz w:val="20"/>
        </w:rPr>
        <w:t xml:space="preserve"> hereto (each, a “</w:t>
      </w:r>
      <w:r>
        <w:rPr>
          <w:rFonts w:ascii="Times New Roman" w:hAnsi="Times New Roman"/>
          <w:b/>
          <w:sz w:val="20"/>
        </w:rPr>
        <w:t>Stockholder</w:t>
      </w:r>
      <w:r>
        <w:rPr>
          <w:rFonts w:ascii="Times New Roman" w:hAnsi="Times New Roman"/>
          <w:sz w:val="20"/>
        </w:rPr>
        <w:t>,” and collectively, the “</w:t>
      </w:r>
      <w:r>
        <w:rPr>
          <w:rFonts w:ascii="Times New Roman" w:hAnsi="Times New Roman"/>
          <w:b/>
          <w:sz w:val="20"/>
        </w:rPr>
        <w:t>Stockholders</w:t>
      </w:r>
      <w:r>
        <w:rPr>
          <w:rFonts w:ascii="Times New Roman" w:hAnsi="Times New Roman"/>
          <w:sz w:val="20"/>
        </w:rPr>
        <w:t>”) of Destination XL Group, Inc., a Delaware corporation (“</w:t>
      </w:r>
      <w:r>
        <w:rPr>
          <w:rFonts w:ascii="Times New Roman" w:hAnsi="Times New Roman"/>
          <w:b/>
          <w:sz w:val="20"/>
        </w:rPr>
        <w:t>DXL</w:t>
      </w:r>
      <w:r>
        <w:rPr>
          <w:rFonts w:ascii="Times New Roman" w:hAnsi="Times New Roman"/>
          <w:sz w:val="20"/>
        </w:rPr>
        <w:t>”), and FBB Holdings I, Inc., a Delaware corporation (“</w:t>
      </w:r>
      <w:r>
        <w:rPr>
          <w:rFonts w:ascii="Times New Roman" w:hAnsi="Times New Roman"/>
          <w:b/>
          <w:sz w:val="20"/>
        </w:rPr>
        <w:t>FBB</w:t>
      </w:r>
      <w:r>
        <w:rPr>
          <w:rFonts w:ascii="Times New Roman" w:hAnsi="Times New Roman"/>
          <w:sz w:val="20"/>
        </w:rPr>
        <w:t>”). FBB and Stockholders are each sometimes referred to herein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or following the execution hereof, FBB, DXL, and Divine Merger Sub I, Inc., a Delaware corporation and wholly owned direct subsidiary of DXL (“</w:t>
      </w:r>
      <w:r>
        <w:rPr>
          <w:rFonts w:ascii="Times New Roman" w:hAnsi="Times New Roman"/>
          <w:b/>
          <w:sz w:val="20"/>
        </w:rPr>
        <w:t>Merger Sub</w:t>
      </w:r>
      <w:r>
        <w:rPr>
          <w:rFonts w:ascii="Times New Roman" w:hAnsi="Times New Roman"/>
          <w:sz w:val="20"/>
        </w:rPr>
        <w:t>”), have entered, or will enter, into an Agreement and Plan of Merger (as the same may be amended from time to time, the “</w:t>
      </w:r>
      <w:r>
        <w:rPr>
          <w:rFonts w:ascii="Times New Roman" w:hAnsi="Times New Roman"/>
          <w:b/>
          <w:sz w:val="20"/>
        </w:rPr>
        <w:t>Merger Agreement</w:t>
      </w:r>
      <w:r>
        <w:rPr>
          <w:rFonts w:ascii="Times New Roman" w:hAnsi="Times New Roman"/>
          <w:sz w:val="20"/>
        </w:rPr>
        <w:t>”), pursuant to which the Merger Sub will be merged with and into FBB (the “</w:t>
      </w:r>
      <w:r>
        <w:rPr>
          <w:rFonts w:ascii="Times New Roman" w:hAnsi="Times New Roman"/>
          <w:b/>
          <w:sz w:val="20"/>
        </w:rPr>
        <w:t>Merger</w:t>
      </w:r>
      <w:r>
        <w:rPr>
          <w:rFonts w:ascii="Times New Roman" w:hAnsi="Times New Roman"/>
          <w:sz w:val="20"/>
        </w:rPr>
        <w:t xml:space="preserve">”), with FBB being the surviving corporation in the Merger; and </w:t>
      </w:r>
    </w:p>
    <w:p>
      <w:pPr>
        <w:pStyle w:val="TextBody"/>
        <w:bidi w:val="0"/>
        <w:spacing w:before="240" w:after="0"/>
        <w:jc w:val="left"/>
        <w:rPr>
          <w:rFonts w:ascii="Times New Roman" w:hAnsi="Times New Roman"/>
          <w:sz w:val="20"/>
        </w:rPr>
      </w:pPr>
      <w:r>
        <w:rPr>
          <w:rFonts w:ascii="Times New Roman" w:hAnsi="Times New Roman"/>
          <w:sz w:val="20"/>
        </w:rPr>
        <w:t>WHEREAS, as of the date hereof, each Stockholder is the record and beneficial owner (as defined in Rule 13d-3 under the Exchange Act) of the number of shares of common stock, par value $0.01 per share, of DXL (“</w:t>
      </w:r>
      <w:r>
        <w:rPr>
          <w:rFonts w:ascii="Times New Roman" w:hAnsi="Times New Roman"/>
          <w:b/>
          <w:sz w:val="20"/>
        </w:rPr>
        <w:t>DXL Common Stock</w:t>
      </w:r>
      <w:r>
        <w:rPr>
          <w:rFonts w:ascii="Times New Roman" w:hAnsi="Times New Roman"/>
          <w:sz w:val="20"/>
        </w:rPr>
        <w:t>”), set forth opposite such Stockholder’s name on Schedule A (all such shares of DXL Common Stock, together with any shares of DXL Common Stock or other voting equity securities of DXL that are hereafter issued to or otherwise directly or indirectly acquired or beneficially owned by such Stockholder prior to the Expiration Time (as defined below) (the “</w:t>
      </w:r>
      <w:r>
        <w:rPr>
          <w:rFonts w:ascii="Times New Roman" w:hAnsi="Times New Roman"/>
          <w:b/>
          <w:sz w:val="20"/>
        </w:rPr>
        <w:t>After-Acquired Shares</w:t>
      </w:r>
      <w:r>
        <w:rPr>
          <w:rFonts w:ascii="Times New Roman" w:hAnsi="Times New Roman"/>
          <w:sz w:val="20"/>
        </w:rPr>
        <w:t>”), such Stockholder’s “</w:t>
      </w:r>
      <w:r>
        <w:rPr>
          <w:rFonts w:ascii="Times New Roman" w:hAnsi="Times New Roman"/>
          <w:b/>
          <w:sz w:val="20"/>
        </w:rPr>
        <w:t>Covered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set forth herein, and other good and valuable consideration, the receipt and sufficiency of which are acknowledged, 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Definitions</w:t>
      </w:r>
      <w:r>
        <w:rPr>
          <w:rFonts w:ascii="Times New Roman" w:hAnsi="Times New Roman"/>
          <w:b/>
          <w:sz w:val="20"/>
        </w:rPr>
        <w:t>.</w:t>
      </w:r>
      <w:r>
        <w:rPr>
          <w:rFonts w:ascii="Times New Roman" w:hAnsi="Times New Roman"/>
          <w:sz w:val="20"/>
        </w:rPr>
        <w:t xml:space="preserve"> Capitalized terms used but not otherwise defined herein shall have the respective meanings ascribed to such terms in the Merger Agreement. As used in this Agreement, the following terms have the meanings set forth below: </w:t>
      </w:r>
    </w:p>
    <w:p>
      <w:pPr>
        <w:pStyle w:val="TextBody"/>
        <w:bidi w:val="0"/>
        <w:spacing w:before="120" w:after="0"/>
        <w:jc w:val="left"/>
        <w:rPr/>
      </w:pPr>
      <w:r>
        <w:rPr/>
        <w:t>“</w:t>
      </w:r>
      <w:r>
        <w:rPr>
          <w:rFonts w:ascii="Times New Roman" w:hAnsi="Times New Roman"/>
          <w:b/>
          <w:sz w:val="20"/>
        </w:rPr>
        <w:t>Adverse Proposal</w:t>
      </w:r>
      <w:r>
        <w:rPr>
          <w:rFonts w:ascii="Times New Roman" w:hAnsi="Times New Roman"/>
          <w:sz w:val="20"/>
        </w:rPr>
        <w:t xml:space="preserve">” means: (i) any DXL Takeover Proposal; (ii) any change in the present capitalization of DXL or any amendment or other change to the DXL Charter or the DXL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hereby or thereby. </w:t>
      </w:r>
    </w:p>
    <w:p>
      <w:pPr>
        <w:pStyle w:val="TextBody"/>
        <w:bidi w:val="0"/>
        <w:spacing w:before="240" w:after="0"/>
        <w:jc w:val="left"/>
        <w:rPr/>
      </w:pPr>
      <w:r>
        <w:rPr/>
        <w:t>“</w:t>
      </w:r>
      <w:r>
        <w:rPr>
          <w:rFonts w:ascii="Times New Roman" w:hAnsi="Times New Roman"/>
          <w:b/>
          <w:sz w:val="20"/>
        </w:rPr>
        <w:t>Controlled Affiliate</w:t>
      </w:r>
      <w:r>
        <w:rPr>
          <w:rFonts w:ascii="Times New Roman" w:hAnsi="Times New Roman"/>
          <w:sz w:val="20"/>
        </w:rPr>
        <w:t xml:space="preserve">” means, with respect to any person, any other person that, directly or indirectly, through one or more intermediaries, controls such person. As used in this definition, the term “control” means the possession, directly or indirectly, of the power to direct or cause the direction of the management and policies of an entity, whether through ownership of voting securities, by contract or otherwise. Ownership of more than fifty percent (50%) of the beneficial interests of an entity shall be conclusive evidence that control exists.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any direct or indirect (i) sale, tender, exchange, assignment, encumbrance, gift, hedge, pledge, hypothecation, disposition or other transfer (by operation of Law or otherwise), voluntarily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involuntarily, or entry into any contract, option or other arrangement or understanding with respect to any sale, tender, exchange, assignment, encumbrance, gift, hedge, pledge, hypothecation, disposition or other transfer (by operation of Law or otherwise), of any Covered Shares (excluding, for the avoidance of doubt, any sale, tender, exchange, assignment, encumbrance, gift, hedge, pledge, hypothecation, disposition or other transfer pursuant to this Agreement or the Merger Agreement) or any right, title or interest therein; (ii) (x) deposit of any Covered Shares into a voting trust, (y) entry into a voting agreement with respect to any Covered Shares (other than this Agreement) or (z) grant of any irrevocable or revocable proxy, corporate representative appointment or power of attorney (or other consent or authorization) with respect to any Covered Shares; or (iii) entry into an agreement, arrangement, understanding or commitment (whether or not in writing) to take any of the actions referred to in the foregoing sub-paragraphs (i) or (ii). </w:t>
      </w:r>
    </w:p>
    <w:p>
      <w:pPr>
        <w:pStyle w:val="TextBody"/>
        <w:bidi w:val="0"/>
        <w:spacing w:before="36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No Transfer; No Inconsistent Arrangements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Each Stockholder agrees not to Transfer any of such Stockholder’s Covered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involuntary Transfer of any of such Stockholder’s Covered Shares shall occur (including a sale by such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Any action taken in violation of the immediately preceding sentence shall, to the fullest extent permitted by Law,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Each Stockholder hereby authorizes and instructs DXL to cause DXL’s transfer agent or other registrar to enter stop transfer instructions and implement stop transfer procedures with respect to all of the Covered Shares or other capital stock or any securities convertible into or exercisable or exchangeable for Covered Shares or other capital stock of DXL owned or held (of record or beneficially) by such Stockholder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Each Stockholder shall not, directly or indirectly, take any action that would make any representation or warranty of such Stockholder contained herein untrue or incorrect or have the effect of preventing, impairing or materially delaying such Stockholder from performing any of its obligations under this Agreement or that would, or would reasonably be expected to, have the effect of preventing, impairing or materially delaying, the consummation of the Merger or the other transactions or the performance by DXL of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Agreement to Vote</w:t>
      </w:r>
      <w:r>
        <w:rPr>
          <w:rFonts w:ascii="Times New Roman" w:hAnsi="Times New Roman"/>
          <w:sz w:val="20"/>
          <w:u w:val="single"/>
        </w:rPr>
        <w:t>.</w:t>
      </w:r>
      <w:r>
        <w:rPr>
          <w:rFonts w:ascii="Times New Roman" w:hAnsi="Times New Roman"/>
          <w:sz w:val="20"/>
        </w:rPr>
        <w:t xml:space="preserve"> Each Stockholder irrevocably and unconditionally agrees that, at every meeting of the stockholders of DXL, however called, including any adjournment or postponement thereof, and in connection with any action proposed to be taken by written consent of the stockholders of DXL, such Stockholder shall, in each case, to the fullest extent that such Stockholder’s Covered Shares are entitled to vote thereon: (a) appear at each such meeting or otherwise cause all such Covered Shares to be counted as present thereat for the purpose of determining a quorum; and (b) be present (in person or by proxy) and vote (or cause to be voted), or deliver (or cause to be delivered) a written consent with respect to, all such Covered Shares (i) in favor of (A) the issuance of DXL Common Stock as the Merger Consideration pursuant to the terms of the Merger Agreement and (B) any other matters that would reasonably be expected to facilitate the Merger, including any proposal to adjourn or postpone any meeting of the stockholders of DXL to a later date; and (ii) against any Adverse Proposal; </w:t>
      </w:r>
      <w:r>
        <w:rPr>
          <w:rFonts w:ascii="Times New Roman" w:hAnsi="Times New Roman"/>
          <w:sz w:val="20"/>
          <w:u w:val="single"/>
        </w:rPr>
        <w:t>provided</w:t>
      </w:r>
      <w:r>
        <w:rPr>
          <w:rFonts w:ascii="Times New Roman" w:hAnsi="Times New Roman"/>
          <w:sz w:val="20"/>
        </w:rPr>
        <w:t xml:space="preserve">, that for the avoidance of doubt, any adjournment or postponement of the DXL Stockholders Meeting permitted by Section 6.01(h) of the Merger Agreement or by </w:t>
      </w:r>
      <w:r>
        <w:rPr>
          <w:rFonts w:ascii="Times New Roman" w:hAnsi="Times New Roman"/>
          <w:sz w:val="20"/>
          <w:u w:val="single"/>
        </w:rPr>
        <w:t>Section 3(b)(i)(B)</w:t>
      </w:r>
      <w:r>
        <w:rPr>
          <w:rFonts w:ascii="Times New Roman" w:hAnsi="Times New Roman"/>
          <w:sz w:val="20"/>
        </w:rPr>
        <w:t xml:space="preserve"> hereof shall not constitute an Adverse Proposal. Such Stockholder shall retain at all times the right to vote such Stockholder’s Covered Shares in such Stockholder’s sole discretion, and without any other limitation, on any matters other than those expressly set forth in this </w:t>
      </w:r>
      <w:r>
        <w:rPr>
          <w:rFonts w:ascii="Times New Roman" w:hAnsi="Times New Roman"/>
          <w:sz w:val="20"/>
          <w:u w:val="single"/>
        </w:rPr>
        <w:t>Section 3</w:t>
      </w:r>
      <w:r>
        <w:rPr>
          <w:rFonts w:ascii="Times New Roman" w:hAnsi="Times New Roman"/>
          <w:sz w:val="20"/>
        </w:rPr>
        <w:t xml:space="preserve"> that are at any time or from time to time presented for consideration to the stockholders of DXL generally. For the avoidance of doubt, the foregoing commitments in this </w:t>
      </w:r>
      <w:r>
        <w:rPr>
          <w:rFonts w:ascii="Times New Roman" w:hAnsi="Times New Roman"/>
          <w:sz w:val="20"/>
          <w:u w:val="single"/>
        </w:rPr>
        <w:t>Section 3</w:t>
      </w:r>
      <w:r>
        <w:rPr>
          <w:rFonts w:ascii="Times New Roman" w:hAnsi="Times New Roman"/>
          <w:sz w:val="20"/>
        </w:rPr>
        <w:t xml:space="preserve"> apply to any Covered Shares held by any trust, limited partnership or other entity directly or indirectly holding Covered Shares over which the applicable Stockholder exercises direct or indirect voting control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Proxy and Power of Attorney</w:t>
      </w:r>
      <w:r>
        <w:rPr>
          <w:rFonts w:ascii="Times New Roman" w:hAnsi="Times New Roman"/>
          <w:b/>
          <w:sz w:val="20"/>
        </w:rPr>
        <w:t xml:space="preserve">. </w:t>
      </w:r>
      <w:r>
        <w:rPr>
          <w:rFonts w:ascii="Times New Roman" w:hAnsi="Times New Roman"/>
          <w:sz w:val="20"/>
        </w:rPr>
        <w:t xml:space="preserve">Solely in the event of a failure by any Stockholder to act in accordance with such Stockholder’s obligations as to voting pursuant to </w:t>
      </w:r>
      <w:r>
        <w:rPr>
          <w:rFonts w:ascii="Times New Roman" w:hAnsi="Times New Roman"/>
          <w:sz w:val="20"/>
          <w:u w:val="single"/>
        </w:rPr>
        <w:t>Section 3</w:t>
      </w:r>
      <w:r>
        <w:rPr>
          <w:rFonts w:ascii="Times New Roman" w:hAnsi="Times New Roman"/>
          <w:sz w:val="20"/>
        </w:rPr>
        <w:t xml:space="preserve"> hereof, such Stockholder hereby appoints Jim Fogarty and Lauren Gee (each, an “</w:t>
      </w:r>
      <w:r>
        <w:rPr>
          <w:rFonts w:ascii="Times New Roman" w:hAnsi="Times New Roman"/>
          <w:b/>
          <w:sz w:val="20"/>
        </w:rPr>
        <w:t>Attorney</w:t>
      </w:r>
      <w:r>
        <w:rPr>
          <w:rFonts w:ascii="Times New Roman" w:hAnsi="Times New Roman"/>
          <w:sz w:val="20"/>
        </w:rPr>
        <w:t xml:space="preserve">”), in their capacities as officers of FBB, and each of them individually, until the Expiration Time (at which time this proxy shall automatically be revoked), as its proxy and attorney-in-fact, with full power of substitution and re-substitution, to vote or act by written consent during the term of this Agreement with respect to the Covered Shares in accordance with </w:t>
      </w:r>
      <w:r>
        <w:rPr>
          <w:rFonts w:ascii="Times New Roman" w:hAnsi="Times New Roman"/>
          <w:sz w:val="20"/>
          <w:u w:val="single"/>
        </w:rPr>
        <w:t>Section 3</w:t>
      </w:r>
      <w:r>
        <w:rPr>
          <w:rFonts w:ascii="Times New Roman" w:hAnsi="Times New Roman"/>
          <w:sz w:val="20"/>
        </w:rPr>
        <w:t xml:space="preserve"> hereof in the event such Stockholder fails to comply with its obligation under this Agreement or attempts or purports to vote (or provide consent with respect to), or cause any other person to vote or provide consent with respect to, such Stockholder’s Covered Shares in a manner inconsistent with the terms of this Agreement. This proxy and power of attorney is given to secure the performance of the duties of the Stockholders under this Agreement. Any applicable Stockholder shall take such further actions or execute such other instruments as may be necessary to effectuate the intent of this proxy. This proxy and power of attorney granted by any applicable Stockholder shall be irrevocable during the term of this Agreement, shall be deemed to be coupled with an interest sufficient in law to support an irrevocable proxy, and shall revoke any and all prior proxies granted by such Stockholder with respect to the Covered Shares. The power of attorney granted by any applicable Stockholder herein is a durable power of attorney and shall survive the bankruptcy, death or incapacity of such Stockholder. The proxy and power of attorney granted hereunder shall terminate upon the termination of this Agreement. Any applicable Stockholder irrevocably undertakes to ratify any act committed in the exercise of the power under this </w:t>
      </w:r>
      <w:r>
        <w:rPr>
          <w:rFonts w:ascii="Times New Roman" w:hAnsi="Times New Roman"/>
          <w:sz w:val="20"/>
          <w:u w:val="single"/>
        </w:rPr>
        <w:t>Section 4</w:t>
      </w:r>
      <w:r>
        <w:rPr>
          <w:rFonts w:ascii="Times New Roman" w:hAnsi="Times New Roman"/>
          <w:sz w:val="20"/>
        </w:rPr>
        <w:t xml:space="preserve"> if called upon to do so. Any applicable Stockholder undertakes and agrees: (i) to indemnify the Attorney against all actions, claims, demands, proceedings, costs, charges, expenses and other liabilities whatsoever which may be made against the Attorney or for which the Attorney may become liable by reason of acting pursuant to this power of attorney; and (ii) that the Attorney shall not be liable to such Stockholder for any loss or damage occurring as a result of any act or omission made by the Attorney by reason of acting pursuant to this power of attorney.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No Limit on Fiduciary Duties as Director</w:t>
      </w:r>
      <w:r>
        <w:rPr>
          <w:rFonts w:ascii="Times New Roman" w:hAnsi="Times New Roman"/>
          <w:b/>
          <w:sz w:val="20"/>
        </w:rPr>
        <w:t xml:space="preserve">. </w:t>
      </w:r>
      <w:r>
        <w:rPr>
          <w:rFonts w:ascii="Times New Roman" w:hAnsi="Times New Roman"/>
          <w:sz w:val="20"/>
        </w:rPr>
        <w:t xml:space="preserve">Notwithstanding anything herein to the contrary, the covenants and agreements set forth herein shall not prevent any Stockholder from exercising his or her duties and obligations as a director of the Company or otherwise taking any action, subject to the applicable provisions of the Merger Agreement, while acting in such capacity as a director of the Company. Each Stockholder is executing this Agreement solely in its capacity as a stockholder. </w:t>
      </w:r>
    </w:p>
    <w:p>
      <w:pPr>
        <w:pStyle w:val="TextBody"/>
        <w:bidi w:val="0"/>
        <w:spacing w:before="240" w:after="0"/>
        <w:jc w:val="left"/>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 Solicitation</w:t>
      </w:r>
      <w:r>
        <w:rPr>
          <w:rFonts w:ascii="Times New Roman" w:hAnsi="Times New Roman"/>
          <w:sz w:val="20"/>
        </w:rPr>
        <w:t xml:space="preserve">. From the date hereof until the Expiration Time, each Stockholder shall not, and shall cause its Controlled Affiliates not to, and its and their respective officers, agents and other representatives not to, directly or indirectly: (i) initiate, solicit, knowingly encourage or knowingly facilitate inquiries or proposals with respect to any DXL Takeover Proposal; (ii) engage or participate in any negotiations with any person concerning any DXL Takeover Proposal; (iii) provide any confidential or nonpublic information or data to, or have or participate in any discussions with, any person relating to any DXL Takeover Proposal (other than the parties to the Merger Agreement and their Representatives); (iv) approve or enter into any term sheet, letter of intent, commitment, memorandum of understanding, agreement in principle, acquisition agreement, merger agreement, voting or support agreement, or other agreement (whether written or oral, binding or nonbinding) in connection with or relating to any DXL Takeover Proposal; or (v) become a member of a “group” (as defined in Section 13(d)(3) under the Exchange Act) with respect to any voting securities of DXL for the purpose of opposing, discouraging or competing with or taking any actions inconsistent with the transactions contemplated by this Agreement or the Merger Agreement. Each Stockholder shall, and shall cause its Controlled Affiliates to, and shall cause its respective officer, agents and other representatives to, immediately cease and cause to be terminated any existing solicitations of, or discussions or negotiations with, any third party relating to any DXL Takeover Proposal. For purposes of this </w:t>
      </w:r>
      <w:r>
        <w:rPr>
          <w:rFonts w:ascii="Times New Roman" w:hAnsi="Times New Roman"/>
          <w:sz w:val="20"/>
          <w:u w:val="single"/>
        </w:rPr>
        <w:t>Section 6.1</w:t>
      </w:r>
      <w:r>
        <w:rPr>
          <w:rFonts w:ascii="Times New Roman" w:hAnsi="Times New Roman"/>
          <w:sz w:val="20"/>
        </w:rPr>
        <w:t xml:space="preserve">, “DXL Takeover Proposal” shall have the meaning ascribed to such term in the Merger Agreement but shall also include any Transfer of any of such Stockholder’s Covered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Waiver of Certain Actions</w:t>
      </w:r>
      <w:r>
        <w:rPr>
          <w:rFonts w:ascii="Times New Roman" w:hAnsi="Times New Roman"/>
          <w:sz w:val="20"/>
        </w:rPr>
        <w:t xml:space="preserve">. Each Stockholder agrees not to commence or participate in, and to take all actions necessary to opt out of any class in any class action with respect to, any claim, derivative or otherwise, against FBB, DXL, any of their respective affiliates or successors or any of their respective directors, managers or officers (a) challenging the validity of, or seeking to enjoin or delay the operation of, any provision of this Agreement or the Merger Agreement (including any claim seeking to enjoin or delay the consummation of the Merger) or (b) alleging a breach of any duty of the Board of Directors of DXL in connection with the Merger Agreement, this Agreement,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Notice of Certain Events</w:t>
      </w:r>
      <w:r>
        <w:rPr>
          <w:rFonts w:ascii="Times New Roman" w:hAnsi="Times New Roman"/>
          <w:sz w:val="20"/>
        </w:rPr>
        <w:t xml:space="preserve">. Each Stockholder agrees to notify FBB of any development occurring after the date hereof that causes, or that would reasonably be expected to cause, any material breach of any of the representations and warranties of such Stockholder set forth in </w:t>
      </w:r>
      <w:r>
        <w:rPr>
          <w:rFonts w:ascii="Times New Roman" w:hAnsi="Times New Roman"/>
          <w:sz w:val="20"/>
          <w:u w:val="single"/>
        </w:rPr>
        <w:t>Section 7</w:t>
      </w:r>
      <w:r>
        <w:rPr>
          <w:rFonts w:ascii="Times New Roman" w:hAnsi="Times New Roman"/>
          <w:sz w:val="20"/>
        </w:rPr>
        <w:t xml:space="preserve">. Promptly upon the acquisition of any After-Acquired Shares, such Stockholder shall notify FBB of the number of After-Acquired Shares so acquired; it being understood that any such shares shall be subject to the terms of this Agreement as though owned by such Stockholder on the date hereof and the representation and warranties in </w:t>
      </w:r>
      <w:r>
        <w:rPr>
          <w:rFonts w:ascii="Times New Roman" w:hAnsi="Times New Roman"/>
          <w:sz w:val="20"/>
          <w:u w:val="single"/>
        </w:rPr>
        <w:t>Section 7</w:t>
      </w:r>
      <w:r>
        <w:rPr>
          <w:rFonts w:ascii="Times New Roman" w:hAnsi="Times New Roman"/>
          <w:sz w:val="20"/>
        </w:rPr>
        <w:t xml:space="preserve"> below shall be true and correct as of the date that such After-Acquired Shares are acquired.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Documentation and Information</w:t>
      </w:r>
      <w:r>
        <w:rPr>
          <w:rFonts w:ascii="Times New Roman" w:hAnsi="Times New Roman"/>
          <w:sz w:val="20"/>
        </w:rPr>
        <w:t xml:space="preserve">. Each Stockholder shall not, and shall cause such Stockholder’s Controlled Affiliates and such Stockholder’s and such Stockholder’s Controlled Affiliates’ respective officers, agents and other representatives not to, make any public announcement or other communication to a third party regarding this Agreement, the Merger Agreement, or the transactions contemplated thereby or hereby without the prior written consent of FBB except in accordance with Section 9.13 of the Merger Agreement. Each Stockholder consents to and authorizes DXL and FBB to publish and disclose in all documents and schedules filed with the SEC or any other Governmental Entity or applicable securities exchange, and any press release or other disclosure document that DXL or FBB reasonably determines to be necessary or advisable in connection with the Merger, the other transactions contemplated by the Merger Agreement or any other transactions contemplated by this Agreement, such Stockholder’s identity and ownership of such Stockholder’s Covered Shares, the existence of this Agreement and the nature of such Stockholder’s commitments and obligations under this Agreement, and such Stockholder acknowledges that DXL and FBB may file this Agreement or a form hereof with the SEC or any other Governmental Entity or securities exchange. Each Stockholder agrees to promptly give FBB and DXL any information that is in such Stockholder’s possession that FBB or DXL may reasonably request for the preparation of any such disclosure documents, and such Stockholder agrees to promptly notify FBB and DXL of any required corrections with respect to any written information supplied by such Stockholder specifically for use in any such disclosure document, if and to the extent that such Stockholder shall become aware that any such information shall have become false or misleading in any material respect.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Representations and Warranties of Each Stockholder</w:t>
      </w:r>
      <w:r>
        <w:rPr>
          <w:rFonts w:ascii="Times New Roman" w:hAnsi="Times New Roman"/>
          <w:b/>
          <w:sz w:val="20"/>
        </w:rPr>
        <w:t xml:space="preserve">. </w:t>
      </w:r>
      <w:r>
        <w:rPr>
          <w:rFonts w:ascii="Times New Roman" w:hAnsi="Times New Roman"/>
          <w:sz w:val="20"/>
        </w:rPr>
        <w:t xml:space="preserve">Each Stockholder represents and warrants to FBB, as to such Stockholder with respect to such Stockholder’s Covered Shares, on a several basis, that: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Due Organization;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Stockholder is duly organized, validly existing and in good standing under the laws of the State of Delaware, (ii) such Stockholder has the requisite corporate power and authority to enter into and to perform its obligations under this Agreement, (iii) the execution and delivery of this Agreement by such Stockholder and the performance of its obligations hereunder and the consummation of the transactions contemplated hereby have been duly authorized by all necessary corporate action on the part of such Stockholder, and (iv) no other proceedings on the part of such Stockholder are necessary to authorize the execution, delivery and performance of this Agreement by such Stockholder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has been duly and validly executed and delivered by such Stockholder and, assuming the due authorization, execution and delivery by FBB, constitutes a legal, valid and binding obligation of such Stockholder, enforceable against such Stockholder in accordance with its terms, except as limited by Laws affecting the enforcement of creditors’ rights generally, by general equitable principles or by the discretion of any Governmental Entity before which any proceeding seeking enforcement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Ownership of the Covered Shares; Voting Power</w:t>
      </w:r>
      <w:r>
        <w:rPr>
          <w:rFonts w:ascii="Times New Roman" w:hAnsi="Times New Roman"/>
          <w:sz w:val="20"/>
        </w:rPr>
        <w:t>. Such Stockholder is the record and beneficial owner (as defined in Rule 13d-3 under the Exchange Act) of all of such Stockholder’s Covered Shares and has good and marketable title to all of such Stockholder’s Covered Shares, free and clear of any Liens in respect of such Covered Shares, other than those created by this Agreement or those imposed by applicable securities Law (collectively, “</w:t>
      </w:r>
      <w:r>
        <w:rPr>
          <w:rFonts w:ascii="Times New Roman" w:hAnsi="Times New Roman"/>
          <w:b/>
          <w:sz w:val="20"/>
        </w:rPr>
        <w:t>Permitted Liens</w:t>
      </w:r>
      <w:r>
        <w:rPr>
          <w:rFonts w:ascii="Times New Roman" w:hAnsi="Times New Roman"/>
          <w:sz w:val="20"/>
        </w:rPr>
        <w:t xml:space="preserve">”). The Covered Shares listed on </w:t>
      </w:r>
      <w:r>
        <w:rPr>
          <w:rFonts w:ascii="Times New Roman" w:hAnsi="Times New Roman"/>
          <w:sz w:val="20"/>
          <w:u w:val="single"/>
        </w:rPr>
        <w:t>Schedule A</w:t>
      </w:r>
      <w:r>
        <w:rPr>
          <w:rFonts w:ascii="Times New Roman" w:hAnsi="Times New Roman"/>
          <w:sz w:val="20"/>
        </w:rPr>
        <w:t xml:space="preserve"> opposite such Stockholder’s name constitute all of the shares of capital stock of DXL or any other securities of DXL beneficially owned by such Stockholder as of the date hereof. As of the date hereof, such Stockholder has not entered into any agreement to Transfer any such Covered Shares. Such Stockholder has full voting power with respect to all of such Stockholder’s Covered Shares, and full power of disposition with respect to Covered Shares, full power to issue instructions with respect to the matters set forth herein and full power to agree to all of the matters set forth in this Agreement, in each case with respect to all such Stockholder’s Covered Shares. None of such Stockholder’s Covered Shares are subject to any stockholders’ agreement, proxy, voting trust or other agreement, arrangement or Lien with respect to the voting of such Covered Shares, except as expressly provided herein (including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Non-Contravention; Consents</w:t>
      </w:r>
      <w:r>
        <w:rPr>
          <w:rFonts w:ascii="Times New Roman" w:hAnsi="Times New Roman"/>
          <w:sz w:val="20"/>
        </w:rPr>
        <w:t xml:space="preserve">. Neither the execution and delivery of this Agreement by such Stockholder nor the consummation of the transactions contemplated hereby nor compliance by such Stockholder with any provisions herein will (a) violate, contravene or conflict with or result in any breach of any provision of the certificate of formation or operating agreement or equivalent organizational documents of such Stockholder, (b) require any consent, approval, authorization or permit of, or filing with or notification to, any Governmental Entity on the part of such Stockholder, except for compliance with the applicable requirements of the Securities Act, the Exchange Act or any other securities laws and the rules and regulations promulgated thereunder, (c) violate, conflict with, or result in a breach of or default under any provisions of, or require any consent, waiver or approval under any of the terms, conditions or provisions of, any Contract to which such Stockholder is a party or by which such Stockholder or any of such Stockholder’s Covered Shares may be bound, (d) result in the creation or imposition of any Lien (other than any Permitted Liens or Lien created by FBB) on any of such Stockholder’s Covered Shares or (e) violate any Law applicable to such Stockholder or by which any of such Stockholder’s Covered Shares are bound, except, in the case of each of clauses (c), (d) and (e), as would not, individually or in the aggregate, reasonably be expected to prevent, impair or delay the consummation by such Stockholder of the transactions contemplated by this Agreement or otherwise prevent, impair or delay such Stockholder’s ability to perform such Stockholder’s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Legal Proceedings</w:t>
      </w:r>
      <w:r>
        <w:rPr>
          <w:rFonts w:ascii="Times New Roman" w:hAnsi="Times New Roman"/>
          <w:sz w:val="20"/>
        </w:rPr>
        <w:t xml:space="preserve">. There are no legal, administrative, arbitral or other proceedings, claims, actions or governmental or regulatory investigations of any nature pending against or, to the knowledge of such Stockholder, threatened against or affecting such Stockholder or any of such Stockholder’s properties or assets (including any of such Stockholder’s Covered Shares) that would, individually or in the aggregate, reasonably be expected to prevent, impair or delay the consummation by such Stockholder of the transactions contemplated by this Agreement or otherwise prevent, impair or delay such Stockholder’s ability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Opportunity to Review; Reliance</w:t>
      </w:r>
      <w:r>
        <w:rPr>
          <w:rFonts w:ascii="Times New Roman" w:hAnsi="Times New Roman"/>
          <w:sz w:val="20"/>
        </w:rPr>
        <w:t xml:space="preserve">. Such Stockholder has had the opportunity to review the Merger Agreement and this Agreement with counsel of such Stockholder’s own choosing. Such Stockholder understands and acknowledges that FBB and DXL are entering into the Merger Agreement in reliance upon such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Termination</w:t>
      </w:r>
      <w:r>
        <w:rPr>
          <w:rFonts w:ascii="Times New Roman" w:hAnsi="Times New Roman"/>
          <w:b/>
          <w:sz w:val="20"/>
        </w:rPr>
        <w:t xml:space="preserve">. </w:t>
      </w:r>
      <w:r>
        <w:rPr>
          <w:rFonts w:ascii="Times New Roman" w:hAnsi="Times New Roman"/>
          <w:sz w:val="20"/>
        </w:rPr>
        <w:t>This Agreement shall terminate automatically and shall have no further force or effect as of the earliest to occur of the following (the “</w:t>
      </w:r>
      <w:r>
        <w:rPr>
          <w:rFonts w:ascii="Times New Roman" w:hAnsi="Times New Roman"/>
          <w:b/>
          <w:sz w:val="20"/>
        </w:rPr>
        <w:t>Expiration Time</w:t>
      </w:r>
      <w:r>
        <w:rPr>
          <w:rFonts w:ascii="Times New Roman" w:hAnsi="Times New Roman"/>
          <w:sz w:val="20"/>
        </w:rPr>
        <w:t xml:space="preserve">”): (a) the Effective Time; (b) the date and time that the Merger Agreement is validly terminated in accordance with the terms and provisions thereof; and (c) the termination of this Agreement by mutual written consent of the Parties. Upon termination of this Agreement, no Party shall have any further obligations or liabilities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nothing set forth in this </w:t>
      </w:r>
      <w:r>
        <w:rPr>
          <w:rFonts w:ascii="Times New Roman" w:hAnsi="Times New Roman"/>
          <w:sz w:val="20"/>
          <w:u w:val="single"/>
        </w:rPr>
        <w:t>Section 8</w:t>
      </w:r>
      <w:r>
        <w:rPr>
          <w:rFonts w:ascii="Times New Roman" w:hAnsi="Times New Roman"/>
          <w:sz w:val="20"/>
        </w:rPr>
        <w:t xml:space="preserve"> shall relieve any Party from liability for fraud or any intentional breach of this Agreement prior to termination hereof and (y) the provisions of </w:t>
      </w:r>
      <w:r>
        <w:rPr>
          <w:rFonts w:ascii="Times New Roman" w:hAnsi="Times New Roman"/>
          <w:sz w:val="20"/>
          <w:u w:val="single"/>
        </w:rPr>
        <w:t>Section 9</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Party. Subject to the preceding sentence, but without relieving any Party of any obligation hereunder,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Amendment and Modification; Waiver</w:t>
      </w:r>
      <w:r>
        <w:rPr>
          <w:rFonts w:ascii="Times New Roman" w:hAnsi="Times New Roman"/>
          <w:sz w:val="20"/>
        </w:rPr>
        <w:t xml:space="preserve">. Any provision of this Agreement may be amended, modified, supplemented or waived if, but only if, such amendment, modification, supplement or waiver is in writing and is signed, in the case of an amendment, modification or supplement by a Party or, in the case of a waiver, by the Party against whom the waiver is to be effective. No failure or delay by any Party to assert any of its rights under this Agreement or otherwise shall constitute a waiver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Times New Roman" w:hAnsi="Times New Roman"/>
          <w:sz w:val="20"/>
          <w:u w:val="single"/>
        </w:rPr>
        <w:t>Section 8</w:t>
      </w:r>
      <w:r>
        <w:rPr>
          <w:rFonts w:ascii="Times New Roman" w:hAnsi="Times New Roman"/>
          <w:sz w:val="20"/>
        </w:rPr>
        <w:t xml:space="preserve">,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The Parties hereby waive any requirement for the securing or posting of any bond in connection with the obtaining of any specific performance or injunctive relief and, in any action for specific performance, the defense of adequacy of a remedy at Law.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Notices</w:t>
      </w:r>
      <w:r>
        <w:rPr>
          <w:rFonts w:ascii="Times New Roman" w:hAnsi="Times New Roman"/>
          <w:sz w:val="20"/>
        </w:rPr>
        <w:t xml:space="preserve">. All notices, consents and other communications hereunder shall be in writing and shall be given in the manner described in Section 9.02 of the Merger Agreement, addressed as follows: (i) if to FBB, to the email addresses set forth in Section 9.02 of the Merger Agreement, and (ii) if to a Stockholder, to such Stockholder’s email address set forth on a signature page hereto, or to such other email address as such Party may hereafter specify for the purpose by notice to each other Party.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any dispute, controversy or claim arising out of, relating to or in connection with this Agreement, the negotiation, execution, existence, validity, enforceability or performance of this Agreement, or for the breach or alleged breach hereof (whether in contract, in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hereby irrevocably and unconditionally submits, for such Party and such Party’s property, to the exclusive jurisdiction of the Court of Chancery of the State of Delaware, or, if (and only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such Party may legally and effectively do so, any objection that such Party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9.6(b)</w:t>
      </w:r>
      <w:r>
        <w:rPr>
          <w:rFonts w:ascii="Times New Roman" w:hAnsi="Times New Roman"/>
          <w:sz w:val="20"/>
        </w:rPr>
        <w:t xml:space="preserve"> in the manner provided for notices in </w:t>
      </w:r>
      <w:r>
        <w:rPr>
          <w:rFonts w:ascii="Times New Roman" w:hAnsi="Times New Roman"/>
          <w:sz w:val="20"/>
          <w:u w:val="single"/>
        </w:rPr>
        <w:t>Section 9.5</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SUCH PARTY MAY HAVE TO A TRIAL BY JURY IN RESPECT OF ANY LITIGATION DIRECTLY OR INDIRECTLY ARISING OUT OF OR RELATING TO THIS AGREEMENT AND ANY OF THE AGREEMENTS DELIVERED IN CONNECTION HEREWITH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SUCH PARTY UNDERSTANDS AND HAS CONSIDERED THE IMPLICATIONS OF SUCH WAIVERS, (C) SUCH PARTY MAKES SUCH WAIVERS VOLUNTARILY AND (D) SUCH PARTY HAS BEEN INDUCED TO ENTER INTO THIS AGREEMENT BY, AMONG OTHER THINGS, THE MUTUAL WAIVERS AND CERTIFICATIONS IN THIS </w:t>
      </w:r>
      <w:r>
        <w:rPr>
          <w:rFonts w:ascii="Times New Roman" w:hAnsi="Times New Roman"/>
          <w:sz w:val="20"/>
          <w:u w:val="single"/>
        </w:rPr>
        <w:t>SECTION 9.7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Entire Agreement; Third 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together with the Merger Agreement (together with the Exhibits, FBB Disclosure Schedule and the other documents delivered pursuant thereto)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Agreement, express or implied, is intended to confer upon any person (other than the Parties) any rights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Counterparts</w:t>
      </w:r>
      <w:r>
        <w:rPr>
          <w:rFonts w:ascii="Times New Roman" w:hAnsi="Times New Roman"/>
          <w:sz w:val="20"/>
        </w:rPr>
        <w:t xml:space="preserve">. This Agreement may be executed in multiple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Mutual Drafting;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Headings of the articles and sections of this Agreement are for convenience of the Parties only and shall be given no substantive or interpretative effect whatsoever. Except as otherwise indicated, all references in this Agreement to “Sections,” are intended to refer to Sections of this Agreement. The schedule attached to this Agreement constitutes a part of this Agreement and is incorporated in this Agreement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words “include,” “includes” or “including” mean “including without limitation,” and the words “hereof,” “hereby,” “herein,” “hereunder” and similar terms refer to this Agreement as a whole and not any particular section in which such words appear. The words “shall” and “will” have the same meaning. The phrase “to the extent” shall mean the degree to which a subject or other thing extends, and such phrase shall not mean simply “if.” All references in this Agreement to “$” are intended to refer to U.S. dollars. Unless otherwise specifically provided for herein, the term “or” shall not be deemed to be exclusive, and shall be interpreted as “and/or”. The term “affiliates” shall have the meaning set forth in Rule 12b-2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Expenses</w:t>
      </w:r>
      <w:r>
        <w:rPr>
          <w:rFonts w:ascii="Times New Roman" w:hAnsi="Times New Roman"/>
          <w:sz w:val="20"/>
        </w:rPr>
        <w:t xml:space="preserve">. All costs and expenses incurred in connection with this Agreement shall be paid by the Party incurring such cost or expense.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Further Assurances</w:t>
      </w:r>
      <w:r>
        <w:rPr>
          <w:rFonts w:ascii="Times New Roman" w:hAnsi="Times New Roman"/>
          <w:sz w:val="20"/>
        </w:rPr>
        <w:t xml:space="preserve">. Each Stockholder will execute and deliver, or cause to be executed and delivered, all further documents and instruments and use such Stockholder’s reasonable best efforts to take, or cause to be taken, all actions and to do, or cause to be done, all things necessary, proper or advisable under applicable Law, to perform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Stockholder Obligations Several and Not Joint</w:t>
      </w:r>
      <w:r>
        <w:rPr>
          <w:rFonts w:ascii="Times New Roman" w:hAnsi="Times New Roman"/>
          <w:sz w:val="20"/>
        </w:rPr>
        <w:t xml:space="preserve">. Except if a Stockholder is an affiliate of another Stockholder, the obligations of each Stockholder under this Agreement shall be several and not joint, and no Stockholder shall be liable for any breach of the terms of this Agreement by any other Stockholder.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0"/>
        <w:gridCol w:w="3317"/>
      </w:tblGrid>
      <w:tr>
        <w:trPr/>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7" w:type="dxa"/>
            <w:tcBorders>
              <w:bottom w:val="single" w:sz="2" w:space="0" w:color="000000"/>
            </w:tcBorders>
            <w:tcMar>
              <w:bottom w:w="28" w:type="dxa"/>
            </w:tcMar>
          </w:tcPr>
          <w:p>
            <w:pPr>
              <w:pStyle w:val="TableContents"/>
              <w:bidi w:val="0"/>
              <w:spacing w:before="0" w:after="283"/>
              <w:jc w:val="left"/>
              <w:rPr/>
            </w:pPr>
            <w:r>
              <w:rPr/>
              <w:t> </w:t>
            </w:r>
          </w:p>
        </w:tc>
      </w:tr>
      <w:tr>
        <w:trPr/>
        <w:tc>
          <w:tcPr>
            <w:tcW w:w="70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Jim Fogarty</w:t>
            </w:r>
          </w:p>
        </w:tc>
      </w:tr>
      <w:tr>
        <w:trPr/>
        <w:tc>
          <w:tcPr>
            <w:tcW w:w="70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12"/>
        <w:gridCol w:w="156"/>
        <w:gridCol w:w="3448"/>
        <w:gridCol w:w="121"/>
        <w:gridCol w:w="446"/>
        <w:gridCol w:w="121"/>
        <w:gridCol w:w="1040"/>
        <w:gridCol w:w="139"/>
        <w:gridCol w:w="3522"/>
      </w:tblGrid>
      <w:tr>
        <w:trPr/>
        <w:tc>
          <w:tcPr>
            <w:tcW w:w="121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Pr>
          <w:p>
            <w:pPr>
              <w:pStyle w:val="TableContents"/>
              <w:bidi w:val="0"/>
              <w:spacing w:before="0" w:after="283"/>
              <w:jc w:val="left"/>
              <w:rPr>
                <w:b/>
              </w:rPr>
            </w:pPr>
            <w:r>
              <w:rPr>
                <w:b/>
              </w:rPr>
              <w:t>LIONEL F. CONACHER</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01" w:type="dxa"/>
            <w:gridSpan w:val="3"/>
            <w:tcBorders/>
          </w:tcPr>
          <w:p>
            <w:pPr>
              <w:pStyle w:val="TableContents"/>
              <w:bidi w:val="0"/>
              <w:spacing w:before="0" w:after="283"/>
              <w:jc w:val="left"/>
              <w:rPr>
                <w:b/>
              </w:rPr>
            </w:pPr>
            <w:r>
              <w:rPr>
                <w:b/>
              </w:rPr>
              <w:t>WILL MESDAG</w:t>
            </w:r>
          </w:p>
        </w:tc>
      </w:tr>
      <w:tr>
        <w:trPr>
          <w:trHeight w:val="240" w:hRule="atLeast"/>
        </w:trPr>
        <w:tc>
          <w:tcPr>
            <w:tcW w:w="1212" w:type="dxa"/>
            <w:tcBorders/>
            <w:vAlign w:val="center"/>
          </w:tcPr>
          <w:p>
            <w:pPr>
              <w:pStyle w:val="TableContents"/>
              <w:bidi w:val="0"/>
              <w:spacing w:before="0" w:after="283"/>
              <w:jc w:val="left"/>
              <w:rPr>
                <w:sz w:val="4"/>
                <w:szCs w:val="4"/>
              </w:rPr>
            </w:pPr>
            <w:r>
              <w:rPr>
                <w:sz w:val="4"/>
                <w:szCs w:val="4"/>
              </w:rPr>
            </w:r>
          </w:p>
        </w:tc>
        <w:tc>
          <w:tcPr>
            <w:tcW w:w="3604" w:type="dxa"/>
            <w:gridSpan w:val="2"/>
            <w:tcBorders/>
            <w:vAlign w:val="center"/>
          </w:tcPr>
          <w:p>
            <w:pPr>
              <w:pStyle w:val="TableContents"/>
              <w:bidi w:val="0"/>
              <w:spacing w:before="0" w:after="283"/>
              <w:jc w:val="left"/>
              <w:rPr>
                <w:sz w:val="4"/>
                <w:szCs w:val="4"/>
              </w:rPr>
            </w:pPr>
            <w:r>
              <w:rPr>
                <w:sz w:val="4"/>
                <w:szCs w:val="4"/>
              </w:rPr>
            </w:r>
          </w:p>
        </w:tc>
        <w:tc>
          <w:tcPr>
            <w:tcW w:w="567" w:type="dxa"/>
            <w:gridSpan w:val="2"/>
            <w:tcBorders/>
            <w:vAlign w:val="center"/>
          </w:tcPr>
          <w:p>
            <w:pPr>
              <w:pStyle w:val="TableContents"/>
              <w:bidi w:val="0"/>
              <w:spacing w:before="0" w:after="283"/>
              <w:jc w:val="left"/>
              <w:rPr>
                <w:sz w:val="4"/>
                <w:szCs w:val="4"/>
              </w:rPr>
            </w:pPr>
            <w:r>
              <w:rPr>
                <w:sz w:val="4"/>
                <w:szCs w:val="4"/>
              </w:rPr>
            </w:r>
          </w:p>
        </w:tc>
        <w:tc>
          <w:tcPr>
            <w:tcW w:w="1161" w:type="dxa"/>
            <w:gridSpan w:val="2"/>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By:</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3448"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By:</w:t>
            </w:r>
          </w:p>
        </w:tc>
        <w:tc>
          <w:tcPr>
            <w:tcW w:w="139" w:type="dxa"/>
            <w:tcBorders>
              <w:bottom w:val="single" w:sz="2" w:space="0" w:color="000000"/>
            </w:tcBorders>
            <w:tcMar>
              <w:bottom w:w="28" w:type="dxa"/>
            </w:tcMar>
            <w:vAlign w:val="bottom"/>
          </w:tcPr>
          <w:p>
            <w:pPr>
              <w:pStyle w:val="TableContents"/>
              <w:bidi w:val="0"/>
              <w:spacing w:before="0" w:after="283"/>
              <w:jc w:val="left"/>
              <w:rPr/>
            </w:pPr>
            <w:r>
              <w:rPr/>
              <w:t> </w:t>
            </w:r>
          </w:p>
        </w:tc>
        <w:tc>
          <w:tcPr>
            <w:tcW w:w="3522" w:type="dxa"/>
            <w:tcBorders>
              <w:bottom w:val="single" w:sz="2" w:space="0" w:color="000000"/>
            </w:tcBorders>
            <w:tcMar>
              <w:bottom w:w="28" w:type="dxa"/>
            </w:tcMar>
          </w:tcPr>
          <w:p>
            <w:pPr>
              <w:pStyle w:val="TableContents"/>
              <w:bidi w:val="0"/>
              <w:spacing w:before="0" w:after="283"/>
              <w:jc w:val="left"/>
              <w:rPr/>
            </w:pPr>
            <w:r>
              <w:rPr/>
              <w:t> </w:t>
            </w:r>
          </w:p>
        </w:tc>
      </w:tr>
      <w:tr>
        <w:trPr/>
        <w:tc>
          <w:tcPr>
            <w:tcW w:w="1212" w:type="dxa"/>
            <w:tcBorders/>
          </w:tcPr>
          <w:p>
            <w:pPr>
              <w:pStyle w:val="TableContents"/>
              <w:bidi w:val="0"/>
              <w:spacing w:before="0" w:after="283"/>
              <w:jc w:val="left"/>
              <w:rPr/>
            </w:pPr>
            <w:r>
              <w:rPr/>
              <w:t>Name:</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Name:</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Email:</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Email:</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39"/>
        <w:gridCol w:w="131"/>
        <w:gridCol w:w="3703"/>
        <w:gridCol w:w="118"/>
        <w:gridCol w:w="479"/>
        <w:gridCol w:w="118"/>
        <w:gridCol w:w="810"/>
        <w:gridCol w:w="118"/>
        <w:gridCol w:w="3789"/>
      </w:tblGrid>
      <w:tr>
        <w:trPr/>
        <w:tc>
          <w:tcPr>
            <w:tcW w:w="93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Pr>
          <w:p>
            <w:pPr>
              <w:pStyle w:val="TableContents"/>
              <w:bidi w:val="0"/>
              <w:spacing w:before="0" w:after="283"/>
              <w:jc w:val="left"/>
              <w:rPr>
                <w:b/>
              </w:rPr>
            </w:pPr>
            <w:r>
              <w:rPr>
                <w:b/>
              </w:rPr>
              <w:t>HARVEY S. KANTER</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17" w:type="dxa"/>
            <w:gridSpan w:val="3"/>
            <w:tcBorders/>
          </w:tcPr>
          <w:p>
            <w:pPr>
              <w:pStyle w:val="TableContents"/>
              <w:bidi w:val="0"/>
              <w:spacing w:before="0" w:after="283"/>
              <w:jc w:val="left"/>
              <w:rPr>
                <w:b/>
              </w:rPr>
            </w:pPr>
            <w:r>
              <w:rPr>
                <w:b/>
              </w:rPr>
              <w:t>IVY ROSS</w:t>
            </w:r>
          </w:p>
        </w:tc>
      </w:tr>
      <w:tr>
        <w:trPr>
          <w:trHeight w:val="240" w:hRule="atLeast"/>
        </w:trPr>
        <w:tc>
          <w:tcPr>
            <w:tcW w:w="939" w:type="dxa"/>
            <w:tcBorders/>
            <w:vAlign w:val="center"/>
          </w:tcPr>
          <w:p>
            <w:pPr>
              <w:pStyle w:val="TableContents"/>
              <w:bidi w:val="0"/>
              <w:spacing w:before="0" w:after="283"/>
              <w:jc w:val="left"/>
              <w:rPr>
                <w:sz w:val="4"/>
                <w:szCs w:val="4"/>
              </w:rPr>
            </w:pPr>
            <w:r>
              <w:rPr>
                <w:sz w:val="4"/>
                <w:szCs w:val="4"/>
              </w:rPr>
            </w:r>
          </w:p>
        </w:tc>
        <w:tc>
          <w:tcPr>
            <w:tcW w:w="3834" w:type="dxa"/>
            <w:gridSpan w:val="2"/>
            <w:tcBorders/>
            <w:vAlign w:val="center"/>
          </w:tcPr>
          <w:p>
            <w:pPr>
              <w:pStyle w:val="TableContents"/>
              <w:bidi w:val="0"/>
              <w:spacing w:before="0" w:after="283"/>
              <w:jc w:val="left"/>
              <w:rPr>
                <w:sz w:val="4"/>
                <w:szCs w:val="4"/>
              </w:rPr>
            </w:pPr>
            <w:r>
              <w:rPr>
                <w:sz w:val="4"/>
                <w:szCs w:val="4"/>
              </w:rPr>
            </w:r>
          </w:p>
        </w:tc>
        <w:tc>
          <w:tcPr>
            <w:tcW w:w="597" w:type="dxa"/>
            <w:gridSpan w:val="2"/>
            <w:tcBorders/>
            <w:vAlign w:val="center"/>
          </w:tcPr>
          <w:p>
            <w:pPr>
              <w:pStyle w:val="TableContents"/>
              <w:bidi w:val="0"/>
              <w:spacing w:before="0" w:after="283"/>
              <w:jc w:val="left"/>
              <w:rPr>
                <w:sz w:val="4"/>
                <w:szCs w:val="4"/>
              </w:rPr>
            </w:pPr>
            <w:r>
              <w:rPr>
                <w:sz w:val="4"/>
                <w:szCs w:val="4"/>
              </w:rPr>
            </w:r>
          </w:p>
        </w:tc>
        <w:tc>
          <w:tcPr>
            <w:tcW w:w="928" w:type="dxa"/>
            <w:gridSpan w:val="2"/>
            <w:tcBorders/>
            <w:vAlign w:val="center"/>
          </w:tcPr>
          <w:p>
            <w:pPr>
              <w:pStyle w:val="TableContents"/>
              <w:bidi w:val="0"/>
              <w:spacing w:before="0" w:after="283"/>
              <w:jc w:val="left"/>
              <w:rPr>
                <w:sz w:val="4"/>
                <w:szCs w:val="4"/>
              </w:rPr>
            </w:pPr>
            <w:r>
              <w:rPr>
                <w:sz w:val="4"/>
                <w:szCs w:val="4"/>
              </w:rPr>
            </w:r>
          </w:p>
        </w:tc>
        <w:tc>
          <w:tcPr>
            <w:tcW w:w="3907" w:type="dxa"/>
            <w:gridSpan w:val="2"/>
            <w:tcBorders/>
            <w:vAlign w:val="center"/>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By:</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3703" w:type="dxa"/>
            <w:tcBorders>
              <w:bottom w:val="single" w:sz="2" w:space="0" w:color="000000"/>
            </w:tcBorders>
            <w:tcMar>
              <w:bottom w:w="28" w:type="dxa"/>
            </w:tcMa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789" w:type="dxa"/>
            <w:tcBorders>
              <w:bottom w:val="single" w:sz="2" w:space="0" w:color="000000"/>
            </w:tcBorders>
            <w:tcMar>
              <w:bottom w:w="28" w:type="dxa"/>
            </w:tcMar>
          </w:tcPr>
          <w:p>
            <w:pPr>
              <w:pStyle w:val="TableContents"/>
              <w:bidi w:val="0"/>
              <w:spacing w:before="0" w:after="283"/>
              <w:jc w:val="left"/>
              <w:rPr/>
            </w:pPr>
            <w:r>
              <w:rPr/>
              <w:t> </w:t>
            </w:r>
          </w:p>
        </w:tc>
      </w:tr>
      <w:tr>
        <w:trPr/>
        <w:tc>
          <w:tcPr>
            <w:tcW w:w="939" w:type="dxa"/>
            <w:tcBorders/>
          </w:tcPr>
          <w:p>
            <w:pPr>
              <w:pStyle w:val="TableContents"/>
              <w:bidi w:val="0"/>
              <w:spacing w:before="0" w:after="283"/>
              <w:jc w:val="left"/>
              <w:rPr/>
            </w:pPr>
            <w:r>
              <w:rPr/>
              <w:t>Name:</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Name:</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Email:</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Email:</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49"/>
        <w:gridCol w:w="132"/>
        <w:gridCol w:w="3654"/>
        <w:gridCol w:w="117"/>
        <w:gridCol w:w="472"/>
        <w:gridCol w:w="117"/>
        <w:gridCol w:w="892"/>
        <w:gridCol w:w="126"/>
        <w:gridCol w:w="3746"/>
      </w:tblGrid>
      <w:tr>
        <w:trPr/>
        <w:tc>
          <w:tcPr>
            <w:tcW w:w="94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Pr>
          <w:p>
            <w:pPr>
              <w:pStyle w:val="TableContents"/>
              <w:bidi w:val="0"/>
              <w:spacing w:before="0" w:after="283"/>
              <w:jc w:val="left"/>
              <w:rPr>
                <w:b/>
              </w:rPr>
            </w:pPr>
            <w:r>
              <w:rPr>
                <w:b/>
              </w:rPr>
              <w:t>CARMEN R. BAUZA</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64" w:type="dxa"/>
            <w:gridSpan w:val="3"/>
            <w:tcBorders/>
          </w:tcPr>
          <w:p>
            <w:pPr>
              <w:pStyle w:val="TableContents"/>
              <w:bidi w:val="0"/>
              <w:spacing w:before="0" w:after="283"/>
              <w:jc w:val="left"/>
              <w:rPr>
                <w:b/>
              </w:rPr>
            </w:pPr>
            <w:r>
              <w:rPr>
                <w:b/>
              </w:rPr>
              <w:t>ELAINE RUBIN</w:t>
            </w:r>
          </w:p>
        </w:tc>
      </w:tr>
      <w:tr>
        <w:trPr>
          <w:trHeight w:val="240" w:hRule="atLeast"/>
        </w:trPr>
        <w:tc>
          <w:tcPr>
            <w:tcW w:w="949" w:type="dxa"/>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c>
          <w:tcPr>
            <w:tcW w:w="58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3872"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By:</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3746" w:type="dxa"/>
            <w:tcBorders>
              <w:bottom w:val="single" w:sz="2" w:space="0" w:color="000000"/>
            </w:tcBorders>
            <w:tcMar>
              <w:bottom w:w="28" w:type="dxa"/>
            </w:tcMar>
          </w:tcPr>
          <w:p>
            <w:pPr>
              <w:pStyle w:val="TableContents"/>
              <w:bidi w:val="0"/>
              <w:spacing w:before="0" w:after="283"/>
              <w:jc w:val="left"/>
              <w:rPr/>
            </w:pPr>
            <w:r>
              <w:rPr/>
              <w:t> </w:t>
            </w:r>
          </w:p>
        </w:tc>
      </w:tr>
      <w:tr>
        <w:trPr/>
        <w:tc>
          <w:tcPr>
            <w:tcW w:w="949" w:type="dxa"/>
            <w:tcBorders/>
          </w:tcPr>
          <w:p>
            <w:pPr>
              <w:pStyle w:val="TableContents"/>
              <w:bidi w:val="0"/>
              <w:spacing w:before="0" w:after="283"/>
              <w:jc w:val="left"/>
              <w:rPr/>
            </w:pPr>
            <w:r>
              <w:rPr/>
              <w:t>Name:</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Name:</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Email:</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Email:</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65"/>
        <w:gridCol w:w="75"/>
        <w:gridCol w:w="3142"/>
      </w:tblGrid>
      <w:tr>
        <w:trPr/>
        <w:tc>
          <w:tcPr>
            <w:tcW w:w="86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JACK BOYLE</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 </w:t>
            </w:r>
          </w:p>
        </w:tc>
      </w:tr>
      <w:tr>
        <w:trPr/>
        <w:tc>
          <w:tcPr>
            <w:tcW w:w="865" w:type="dxa"/>
            <w:tcBorders/>
          </w:tcPr>
          <w:p>
            <w:pPr>
              <w:pStyle w:val="TableContents"/>
              <w:bidi w:val="0"/>
              <w:spacing w:before="0" w:after="283"/>
              <w:jc w:val="left"/>
              <w:rPr/>
            </w:pPr>
            <w:r>
              <w:rPr/>
              <w:t>Name:</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Email:</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0"/>
        <w:gridCol w:w="559"/>
        <w:gridCol w:w="125"/>
        <w:gridCol w:w="2087"/>
        <w:gridCol w:w="60"/>
        <w:gridCol w:w="859"/>
        <w:gridCol w:w="120"/>
        <w:gridCol w:w="60"/>
        <w:gridCol w:w="803"/>
        <w:gridCol w:w="62"/>
      </w:tblGrid>
      <w:tr>
        <w:trPr/>
        <w:tc>
          <w:tcPr>
            <w:tcW w:w="5470"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559" w:type="dxa"/>
            <w:vMerge w:val="restart"/>
            <w:tcBorders/>
            <w:vAlign w:val="bottom"/>
          </w:tcPr>
          <w:p>
            <w:pPr>
              <w:pStyle w:val="TableContents"/>
              <w:bidi w:val="0"/>
              <w:spacing w:before="0" w:after="283"/>
              <w:jc w:val="left"/>
              <w:rPr/>
            </w:pPr>
            <w:r>
              <w:rPr/>
              <w:t>  </w:t>
            </w:r>
          </w:p>
        </w:tc>
        <w:tc>
          <w:tcPr>
            <w:tcW w:w="221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DXL Common Stock</w:t>
            </w:r>
          </w:p>
        </w:tc>
        <w:tc>
          <w:tcPr>
            <w:tcW w:w="60" w:type="dxa"/>
            <w:vMerge w:val="restart"/>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continue"/>
            <w:tcBorders/>
            <w:shd w:fill="CCEEFF" w:val="clear"/>
            <w:vAlign w:val="bottom"/>
          </w:tcPr>
          <w:p>
            <w:pPr>
              <w:pStyle w:val="Normal"/>
              <w:bidi w:val="0"/>
              <w:jc w:val="left"/>
              <w:rPr/>
            </w:pPr>
            <w:r>
              <w:rPr/>
            </w:r>
          </w:p>
        </w:tc>
        <w:tc>
          <w:tcPr>
            <w:tcW w:w="559" w:type="dxa"/>
            <w:vMerge w:val="continue"/>
            <w:tcBorders/>
            <w:shd w:fill="CCEEFF" w:val="clear"/>
            <w:vAlign w:val="bottom"/>
          </w:tcPr>
          <w:p>
            <w:pPr>
              <w:pStyle w:val="Normal"/>
              <w:bidi w:val="0"/>
              <w:jc w:val="left"/>
              <w:rPr/>
            </w:pPr>
            <w:r>
              <w:rPr/>
            </w:r>
          </w:p>
        </w:tc>
        <w:tc>
          <w:tcPr>
            <w:tcW w:w="2212"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346,312</w:t>
            </w:r>
          </w:p>
        </w:tc>
        <w:tc>
          <w:tcPr>
            <w:tcW w:w="62" w:type="dxa"/>
            <w:tcBorders/>
            <w:shd w:fill="CCEEFF" w:val="clear"/>
            <w:vAlign w:val="bottom"/>
          </w:tcPr>
          <w:p>
            <w:pPr>
              <w:pStyle w:val="TableContents"/>
              <w:bidi w:val="0"/>
              <w:spacing w:before="0" w:after="283"/>
              <w:jc w:val="left"/>
              <w:rPr/>
            </w:pPr>
            <w:r>
              <w:rPr/>
              <w:t> </w:t>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729,857</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118,879</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547,154</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 Mesdag</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2,593,758</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Ivy Ross</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275,095</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Elaine Rubin</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210,391</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VOTING AGREEMENT - SCHEDULE 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D</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and Officers of the Surviving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Jim Fogarty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w:t>
      </w:r>
    </w:p>
    <w:p>
      <w:pPr>
        <w:pStyle w:val="TextBody"/>
        <w:bidi w:val="0"/>
        <w:spacing w:before="360" w:after="0"/>
        <w:jc w:val="left"/>
        <w:rPr>
          <w:rFonts w:ascii="Times New Roman" w:hAnsi="Times New Roman"/>
          <w:b/>
          <w:sz w:val="20"/>
        </w:rPr>
      </w:pPr>
      <w:r>
        <w:rPr>
          <w:rFonts w:ascii="Times New Roman" w:hAnsi="Times New Roman"/>
          <w:b/>
          <w:sz w:val="20"/>
        </w:rPr>
        <w:t xml:space="preserve">Officers: </w:t>
      </w:r>
    </w:p>
    <w:p>
      <w:pPr>
        <w:pStyle w:val="TextBody"/>
        <w:bidi w:val="0"/>
        <w:spacing w:before="120" w:after="0"/>
        <w:jc w:val="left"/>
        <w:rPr>
          <w:rFonts w:ascii="Times New Roman" w:hAnsi="Times New Roman"/>
          <w:sz w:val="20"/>
        </w:rPr>
      </w:pPr>
      <w:r>
        <w:rPr>
          <w:rFonts w:ascii="Times New Roman" w:hAnsi="Times New Roman"/>
          <w:sz w:val="20"/>
        </w:rPr>
        <w:t xml:space="preserve">Jim Fogarty,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0" w:name="tx76201_90"/>
      <w:bookmarkEnd w:id="220"/>
      <w:r>
        <w:rPr>
          <w:rFonts w:ascii="Times New Roman" w:hAnsi="Times New Roman"/>
          <w:b/>
          <w:sz w:val="20"/>
        </w:rPr>
        <w:t xml:space="preserve">ANNEX B </w:t>
      </w:r>
    </w:p>
    <w:p>
      <w:pPr>
        <w:pStyle w:val="TextBody"/>
        <w:bidi w:val="0"/>
        <w:spacing w:before="240" w:after="0"/>
        <w:jc w:val="left"/>
        <w:rPr>
          <w:rFonts w:ascii="Times New Roman" w:hAnsi="Times New Roman"/>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 xml:space="preserve">the May 2026 Supplemental Financial Analyses </w:t>
      </w:r>
      <w:r>
        <w:rPr>
          <w:rFonts w:ascii="Times New Roman" w:hAnsi="Times New Roman"/>
          <w:b/>
          <w:i/>
          <w:sz w:val="20"/>
        </w:rPr>
        <w: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drawing>
                <wp:inline distT="0" distB="0" distL="0" distR="0">
                  <wp:extent cx="1741805" cy="141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1741805" cy="14160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p>
            <w:pPr>
              <w:pStyle w:val="TableContents"/>
              <w:bidi w:val="0"/>
              <w:spacing w:before="0" w:after="0"/>
              <w:jc w:val="left"/>
              <w:rPr>
                <w:rFonts w:ascii="Times New Roman" w:hAnsi="Times New Roman"/>
                <w:sz w:val="20"/>
              </w:rPr>
            </w:pPr>
            <w:r>
              <w:rPr>
                <w:rFonts w:ascii="Times New Roman" w:hAnsi="Times New Roman"/>
                <w:sz w:val="20"/>
              </w:rPr>
              <w:t>330 Madison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20"/>
              <w:jc w:val="left"/>
              <w:rPr>
                <w:rFonts w:ascii="Times New Roman" w:hAnsi="Times New Roman"/>
                <w:sz w:val="20"/>
              </w:rPr>
            </w:pPr>
            <w:r>
              <w:rPr>
                <w:rFonts w:ascii="Times New Roman" w:hAnsi="Times New Roman"/>
                <w:sz w:val="20"/>
              </w:rPr>
              <w:t>GuggenheimPartners.com</w:t>
            </w:r>
          </w:p>
        </w:tc>
      </w:tr>
    </w:tbl>
    <w:p>
      <w:pPr>
        <w:pStyle w:val="TextBody"/>
        <w:bidi w:val="0"/>
        <w:spacing w:before="200" w:after="0"/>
        <w:jc w:val="left"/>
        <w:rPr>
          <w:rFonts w:ascii="Times New Roman" w:hAnsi="Times New Roman"/>
          <w:sz w:val="20"/>
        </w:rPr>
      </w:pPr>
      <w:r>
        <w:rPr>
          <w:rFonts w:ascii="Times New Roman" w:hAnsi="Times New Roman"/>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Destination XL Group, Inc. (“Destination XL”) and FBB Holdings I, Inc. (“FBB”) intend to enter into an Agreement and Plan of Merger to be dated as of December 11, 2025 (the “Agreement”) pursuant to which Divine Merger Sub I, Inc., a wholly owned subsidiary of Destination XL (“Merger Sub”), will be merged with and into FBB (the “Merger”) and FBB will become a wholly owned subsidiary of Destination XL. Pursuant to the Agreement, each of the issued and outstanding shares of the common stock, par value $0.01 per share, of FBB (“FBB Common Stock”), subject to certain exceptions, will be converted into the right to receive that number of shares of the common stock, par value $0.01 per share, of Destination XL (“DXL Common Stock”) equal to (i) the number of shares of DXL Common Stock outstanding immediately before the Merger multiplied by (y) the quotient of fifty-five per cent (55%) divided by (z) forty-five per cent (45%) then (ii) divided by the number of shares of FBB Common Stock outstanding immediately before the Merger, with the aggregate shares of DXL Common Stock to be issued in the Merger referred to herein as the “Merger Consideration.” The terms and conditions of the Merger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us to render our opinion as to whether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our opinion,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Destination XL;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Destination XL and FBB and their respective businesses and future prospects (including (i) certain financial projections for Destination XL on a stand-alone basis for the fiscal years ending January 31, 2026 through January 31, 2035, (ii) certain financial projections for FBB on a stand-alone basis for the calendar years ending December 31, 2025 through December 31, 2034, (iii) certain estimates as to potentially realizable existing net operating loss carry-forwards expected to be utilized by Destination XL and (iv) certain estimates as to potentially realizable benefits under Section 163(j) of the Code (as defined below) available and expected to be utilized by FBB (together, the ”Destination XL-Provided Financial Projections”) and certain other estimates and other forward-looking information), all as prepared by, discussed with and approved for our use by Destination XL’s senior management (collectively with the Synergy Estimates (as defined below), the “Destination 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FBB and its business and future prospects (including certain financial projections for FBB on a stand-alone basis for the calendar years ending December 31, 2025 through December 31, 2029 (the “FBB-Provided Financial Projections” and together with the Destination XL-Provided Financial Projections, the “Financial Projections”) and certain other estimates and other forward looking information), all as prepared by and discussed with FBB’s senior management and reviewed by, discussed with and approved for our use by Destination XL’s senior management (collectively, the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“Synergy Estimates” or the “Synergies”), all as prepared by and discussed with Destination XL’s and FBB’s respective senior management and approved for our use by Destination 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XL’s senior management their strategic and financial rationale for the Merger as well as their views of Destination 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strategic and financial rationale for the Merger as well as their views of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Destination XL, FBB and the Synergies based on the Destination XL-Provided Financial Projections and the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the Destination 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Destination XL and FBB and certain trading multiples and the trading activity of the Destination XL Common Stock with corresponding data for certain publicly traded companies that we deemed relevant in evaluating Destination 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w:t>
            </w:r>
            <w:r>
              <w:rPr>
                <w:rFonts w:ascii="Times New Roman" w:hAnsi="Times New Roman"/>
                <w:i/>
                <w:sz w:val="20"/>
              </w:rPr>
              <w:t>pro forma</w:t>
            </w:r>
            <w:r>
              <w:rPr>
                <w:rFonts w:ascii="Times New Roman" w:hAnsi="Times New Roman"/>
                <w:sz w:val="20"/>
              </w:rPr>
              <w:t xml:space="preserve"> financial results, financial condition and capitalization of Destination 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relied upon and assumed the accuracy, completeness and reasonableness of all industry, business, financial, legal, regulatory, tax, accounting, actuarial and other information provided by or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 or FBB (including, without limitation, the Destination XL-Provided Information and the FBB-Provided Information)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do not assume any responsibility, obligation or liability for the accuracy, completeness, reasonableness, achievability or independent verification of, and we have not independently verified, any such information (including, without limitation, the Destination XL-Provided Information or the FBB-Provided Information), (ii) express no view or opinion regarding the reasonableness or achievability of the Financial Projections, the Synergy Estimates, any other estimates or any other forward-looking information provided by Destination XL or FBB or the assumptions upon which any of the foregoing are based and (iii) have relied upon the assurances of Destination XL’s senior management that they are (in the case of the Destination XL-Provided Information) and have assumed that FBB’s senior management are (in the case of the FBB-Provided Information) unaware of any facts or circumstances that would make the Destination XL-Provided Information or the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have been advised by Destination XL’s senior management, and have assumed, that the Destination XL-Provided Financial Projections have been (y) reasonably prepared on bases reflecting the best currently available estimates and judgments of Destination XL’s senior management as to the expected future performance of Destination XL and FBB and (z) reviewed by Destination XL’s Board of Directors with the understanding that such information will be used and relied upon by us in connection with rendering our opinion, (ii) have been advised by Destination XL’s senior management, and have assumed, that the Synergy Estimates have been (y) reasonably prepared on bases reflecting the best currently available estimates and judgments of Destination XL’s and FBB’s respective senior management as to the expected amounts and realization of the Synergies and (z) reviewed by Destination XL’s Board of Directors with the understanding that such information will be used and relied upon by us in connection with rendering our opinion, (iii) have assumed that the FBB-Provided Financial Projections have been reasonably prepared on bases reflecting the best currently available estimates and judgments of FBB’s senior management as to the expected future performance of FBB on a stand-alone basis and (iv) have assumed that any financial projections/forecasts, any other estimates and/or any other forward-looking information obtained by us from public sources, data suppliers and other third parties are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course of our engagement, we were asked by Destination XL’s Board of Directors to solicit indications of interest from various potential third-party transaction counterparties regarding a potential extraordinary corporate transaction with or involving Destination XL, and we have considered the results of such solicitation process in rendering our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not performed or obtained any independent appraisal of the assets or liabilities (including any contingent, derivative or off-balance sheet assets and liabilities) of Destination XL, FBB or any other entity or the solvency or fair value of Destination XL, FBB or any other entity, nor have we been furnished with any such appraisals. We are not legal, regulatory, tax, consulting, accounting, appraisal or actuarial experts and nothing in our opinion should be construed as constituting advice with respect to such matters; accordingly, we have relied on the assessments of Destination XL’s senior management, FBB’s senior management and Destination XL’s other professional advisors with respect to such matters. We have assumed that the Merger will qualify, for US federal income tax purposes, as a “reorganization” within the meaning of Section 368(a) of the Internal Revenue Code of 1986, as amended (the “Code”). We are not expressing any view or rendering any opinion regarding the tax consequences of the Merger to Destination XL, FBB or their respective securityholders.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our opinion, we have assumed that, in all respects meaningful to our analyses, (i) the final executed form of the Agreement will not differ from the draft that we have reviewed, (ii) Destination XL, FBB and Merger Sub will comply with all terms and provisions of the Agreement and (iii) the representations and warranties of Destination XL, FBB and Merger Sub contained in the Agreement are true and correct and all conditions to the obligations of each party to the Agreement to consummate the Merger will be satisfied without any waiver, amendment or modification thereof. We also have assumed that the Merger will be consummated in a timely manner in accordance with the terms of the Agreement and in compliance with all applicable legal and other requirements, without any delays, limitations, restrictions, conditions, waivers, amendments or modifications (regulatory, tax-related or otherwise) that would have an effect on Destination XL, FBB or the Merger (including its contemplated benefits) in any way meaningful to our analyses or opinion. Further, in rendering our opinion we have assumed in all respects meaningful to our analyses that concurrently with, but immediately prior to, the Merger, those certain Commitment and Subscription Agreements (as defined in the Agreement) by and between FBB and certain FBB investors will be consummated on the terms and subject to the conditions set forth in such Commitment and Subscription Agreements, such that the aggregate amount of indebtedness of FBB upon consummation of the Merger shall be as reflected in the Destination XL-Provided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 we do not express any view or opinion as to (i) the prices at which the shares of Destination XL Common Stock, FBB Common Stock or other securities or financial instruments of or relating to Destination XL or FBB may trade or otherwise be transferable at any time, (ii) the potential effects of volatility in the credit, financial or equity markets on Destination XL or FBB, their respective securities or other financial instruments or the Merger or (iii) the impact of the Merger on the solvency or viability of Destination XL, FBB or Merger Sub or the ability of Destination XL, FBB or Merger Sub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a financial advisor to Destination XL in connection with the Merger and will receive a customary fee for such services, an installment of which is payable upon the rendering of our opinion and an additional installment may be payable upon successful consummation of the Merger. In addition, Destination XL has agreed to reimburse us for certain expenses and to indemnify us against certain liabilities arising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 aside from our current engagement by Destination XL, we have not been previously engaged during the past two years by Destination XL to provide financial advisory or investment banking services for which we received fees and (ii) we have not been previously engaged during the past two years by FBB to provide financial advisory or investment banking services for which we received fees, except that we acted as financial advisor to FBB in connection with its July 2024 acquisition of Avenue, for which we received agreed upon fees. We may in the future seek to provide Destination XL and FBB or their respective affiliates with financial advisory and investment banking services unrelated to the Merger, for which services we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Destination XL, FBB, other participants in the Merger or their respective affiliates,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Destination XL, FBB, other participants in the Merger or their respective affiliates. Furthermore, our and our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affiliates’ and related entities’ respective directors, officers, employees, consultants and agents may have investments in Destination XL, FBB,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Destination XL, FBB, other participants in the Merger or their respective affiliates or the Merger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provided to Destination XL’s Board of Directors (in its capacity as such) for its information and assistance in connection with its evaluation of the Merger Consideration. Our opinion may not be disclosed publicly, made available to third parties or reproduced, disseminated, quoted from or referred to at any time, in whole or in part, without our prior written consent; provided, however, that this letter may be included in its entirety in any proxy statement to be distributed to the stockholders of Destination XL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Our opinion and any materials provided in connection therewith do not constitute a recommendation to Destination XL’s Board of Directors with respect to the Merger, nor does our opinion or any summary of our underlying analyses constitute advice or a recommendation to any stockholder of Destination XL as to how to vote or act in connection with the Merger or otherwise. Our opinion does not address Destination XL’s underlying business or financial decision to pursue or effect the Merger, the relative merits of the Merger as compared to any alternative business or financial strategies that might exist for Destination XL or the effects of any other transaction in which Destination XL might engage. Our opinion addresses only the fairness, from a financial point of view and as of the date hereof, of the Merger Consideration to the extent expressly specified herein. We do not express any view or opinion as to (i) any other term, aspect or implication of (y) the Merger (including, without limitation, the form or structure of the Merger) or the Agreement or (z) any other agreement, transaction document or instrument contemplated by the Agreement or to be entered into or amended in connection with the Merger or (ii) the fairness, financial or otherwise, of the Merger to, or of any consideration to be paid to or received by, the holders of any class of securities (other than as expressly specified herein), creditors or other constituencies of Destination XL or FBB. Furthermore, we do not express any view or opinion as to the fairness, financial or otherwise, of the amount or nature of any compensation payable to or to be received by any of Destination XL’s or FBB’s directors, officers or employees, or any class of such persons, in connection with the Merger relative to the Merger Consideration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authorized for issuance by our Fairness Opinion and Valuation Committee. Our opinion is subject to the assumptions, limitations, qualifications and other conditions contained herein and is necessarily based on economic, business, capital markets and other conditions, and the information made available to us, as of the date hereof. We assume no responsibility for updating or revising our opinion based on facts, circumstances or events occurring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it is our opinion that, as of the date hereof,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left"/>
        <w:rPr/>
      </w:pPr>
      <w:r>
        <w:rPr/>
        <w:drawing>
          <wp:inline distT="0" distB="0" distL="0" distR="0">
            <wp:extent cx="2476500" cy="3721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6"/>
                    <a:stretch>
                      <a:fillRect/>
                    </a:stretch>
                  </pic:blipFill>
                  <pic:spPr bwMode="auto">
                    <a:xfrm>
                      <a:off x="0" y="0"/>
                      <a:ext cx="2476500" cy="3721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LLC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1" w:name="tx76201_91"/>
      <w:bookmarkEnd w:id="221"/>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240" w:after="0"/>
        <w:jc w:val="left"/>
        <w:rPr>
          <w:rFonts w:ascii="Times New Roman" w:hAnsi="Times New Roman"/>
          <w:sz w:val="20"/>
        </w:rPr>
      </w:pPr>
      <w:r>
        <w:rPr>
          <w:rFonts w:ascii="Times New Roman" w:hAnsi="Times New Roman"/>
          <w:sz w:val="20"/>
        </w:rPr>
        <w:t>Destination XL Group, Inc, a Delaware corporation (the “</w:t>
      </w:r>
      <w:r>
        <w:rPr>
          <w:rFonts w:ascii="Times New Roman" w:hAnsi="Times New Roman"/>
          <w:b/>
          <w:i/>
          <w:sz w:val="20"/>
        </w:rPr>
        <w:t>Corporation</w:t>
      </w:r>
      <w:r>
        <w:rPr>
          <w:rFonts w:ascii="Times New Roman" w:hAnsi="Times New Roman"/>
          <w:sz w:val="20"/>
        </w:rPr>
        <w:t xml:space="preserve">”), hereby certifies that: </w:t>
      </w:r>
    </w:p>
    <w:p>
      <w:pPr>
        <w:pStyle w:val="TextBody"/>
        <w:bidi w:val="0"/>
        <w:spacing w:before="120" w:after="0"/>
        <w:jc w:val="left"/>
        <w:rPr>
          <w:rFonts w:ascii="Times New Roman" w:hAnsi="Times New Roman"/>
          <w:sz w:val="20"/>
        </w:rPr>
      </w:pPr>
      <w:r>
        <w:rPr>
          <w:rFonts w:ascii="Times New Roman" w:hAnsi="Times New Roman"/>
          <w:sz w:val="20"/>
        </w:rPr>
        <w:t xml:space="preserve">1. The certificate of incorporation of the Corporation is hereby amended by inserting the following at the beginning of Article FOURTH thereof: </w:t>
      </w:r>
    </w:p>
    <w:p>
      <w:pPr>
        <w:pStyle w:val="TextBody"/>
        <w:bidi w:val="0"/>
        <w:spacing w:before="120" w:after="0"/>
        <w:jc w:val="left"/>
        <w:rPr>
          <w:rFonts w:ascii="Times New Roman" w:hAnsi="Times New Roman"/>
          <w:sz w:val="20"/>
        </w:rPr>
      </w:pPr>
      <w:r>
        <w:rPr>
          <w:rFonts w:ascii="Times New Roman" w:hAnsi="Times New Roman"/>
          <w:sz w:val="20"/>
        </w:rPr>
        <w:t>Effective immediately upon the effectiveness of the Certificate of Amendment adding this paragraph to this Restated Certificate of Incorporation (the “</w:t>
      </w:r>
      <w:r>
        <w:rPr>
          <w:rFonts w:ascii="Times New Roman" w:hAnsi="Times New Roman"/>
          <w:b/>
          <w:sz w:val="20"/>
        </w:rPr>
        <w:t>Effective Time</w:t>
      </w:r>
      <w:r>
        <w:rPr>
          <w:rFonts w:ascii="Times New Roman" w:hAnsi="Times New Roman"/>
          <w:sz w:val="20"/>
        </w:rPr>
        <w:t>”), each two (2) to thirty (30) shares of Common Stock that are issued and outstanding immediately prior to the Effective Time shall be reclassified and combined into one (1) validly issued, fully paid, and non-assessable share of Common Stock, with the exact ratio within such range to be determined by the Board of Directors prior to the Effective Time and notice of such ratio to be given by the Corporation to its stockholders (the “</w:t>
      </w:r>
      <w:r>
        <w:rPr>
          <w:rFonts w:ascii="Times New Roman" w:hAnsi="Times New Roman"/>
          <w:b/>
          <w:sz w:val="20"/>
        </w:rPr>
        <w:t>Reverse Split</w:t>
      </w:r>
      <w:r>
        <w:rPr>
          <w:rFonts w:ascii="Times New Roman" w:hAnsi="Times New Roman"/>
          <w:sz w:val="20"/>
        </w:rPr>
        <w:t>”). The Reverse Split shall occur automatically without any further action by the Corporation or its stockholders and whether or not any certificate representing such shares immediately prior to the Effective Time (the “</w:t>
      </w:r>
      <w:r>
        <w:rPr>
          <w:rFonts w:ascii="Times New Roman" w:hAnsi="Times New Roman"/>
          <w:b/>
          <w:sz w:val="20"/>
        </w:rPr>
        <w:t>Old Certificate</w:t>
      </w:r>
      <w:r>
        <w:rPr>
          <w:rFonts w:ascii="Times New Roman" w:hAnsi="Times New Roman"/>
          <w:sz w:val="20"/>
        </w:rPr>
        <w:t xml:space="preserve">”) is surrendered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Amendment has been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 On ______ __, 2026, the Board of Directors of the Corporation determined that each ____ (__) shares of the Corporation’s Common Stock that are issued and outstanding immediately prior to the Effective Time, shall automatically be reclassified and combined into one (1) validly issued, fully paid, and non-assessable share of Common Stock, pursuant to the amendment set forth in this Certificate of Amendment. The Corporation gave notice to its stockholders of this ratio on ______ __, 2026.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w:t>
      </w:r>
      <w:r>
        <w:rPr>
          <w:rFonts w:ascii="Times New Roman" w:hAnsi="Times New Roman"/>
          <w:sz w:val="20"/>
        </w:rPr>
        <w:t xml:space="preserve">This Certificate of Amendment shall be effective on ______ __, 2026 at __:__ </w:t>
      </w:r>
      <w:r>
        <w:rPr>
          <w:rFonts w:ascii="Times New Roman" w:hAnsi="Times New Roman"/>
          <w:b/>
          <w:sz w:val="20"/>
        </w:rPr>
        <w:t>[</w:t>
      </w:r>
      <w:r>
        <w:rPr>
          <w:rFonts w:ascii="Times New Roman" w:hAnsi="Times New Roman"/>
          <w:sz w:val="20"/>
        </w:rPr>
        <w:t>a</w:t>
      </w:r>
      <w:r>
        <w:rPr>
          <w:rFonts w:ascii="Times New Roman" w:hAnsi="Times New Roman"/>
          <w:b/>
          <w:sz w:val="20"/>
        </w:rPr>
        <w:t>][</w:t>
      </w:r>
      <w:r>
        <w:rPr>
          <w:rFonts w:ascii="Times New Roman" w:hAnsi="Times New Roman"/>
          <w:sz w:val="20"/>
        </w:rPr>
        <w:t>p</w:t>
      </w:r>
      <w:r>
        <w:rPr>
          <w:rFonts w:ascii="Times New Roman" w:hAnsi="Times New Roman"/>
          <w:b/>
          <w:sz w:val="20"/>
        </w:rPr>
        <w:t>]</w:t>
      </w:r>
      <w:r>
        <w:rPr>
          <w:rFonts w:ascii="Times New Roman" w:hAnsi="Times New Roman"/>
          <w:sz w:val="20"/>
        </w:rPr>
        <w:t>.m. Eastern Time.</w:t>
      </w:r>
      <w:r>
        <w:rPr>
          <w:rFonts w:ascii="Times New Roman" w:hAnsi="Times New Roman"/>
          <w:b/>
          <w:sz w:val="20"/>
        </w:rPr>
        <w: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i/>
          <w:sz w:val="20"/>
        </w:rPr>
        <w:t>Signature Page Follows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and acknowledged this certificate on the date set forth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63"/>
        <w:gridCol w:w="233"/>
        <w:gridCol w:w="2586"/>
      </w:tblGrid>
      <w:tr>
        <w:trPr/>
        <w:tc>
          <w:tcPr>
            <w:tcW w:w="1263"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DESTINATION XL GROUP, INC.</w:t>
            </w:r>
          </w:p>
        </w:tc>
      </w:tr>
      <w:tr>
        <w:trPr>
          <w:trHeight w:val="240" w:hRule="atLeast"/>
        </w:trPr>
        <w:tc>
          <w:tcPr>
            <w:tcW w:w="1263" w:type="dxa"/>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1263" w:type="dxa"/>
            <w:tcBorders/>
          </w:tcPr>
          <w:p>
            <w:pPr>
              <w:pStyle w:val="TableContents"/>
              <w:bidi w:val="0"/>
              <w:spacing w:before="0" w:after="283"/>
              <w:jc w:val="left"/>
              <w:rPr/>
            </w:pPr>
            <w:r>
              <w:rPr/>
              <w:t>By: </w:t>
            </w:r>
          </w:p>
        </w:tc>
        <w:tc>
          <w:tcPr>
            <w:tcW w:w="2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86"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c>
          <w:tcPr>
            <w:tcW w:w="4082" w:type="dxa"/>
            <w:gridSpan w:val="3"/>
            <w:tcBorders/>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2" w:name="tx76201_92"/>
      <w:bookmarkEnd w:id="222"/>
      <w:r>
        <w:rPr>
          <w:rFonts w:ascii="Times New Roman" w:hAnsi="Times New Roman"/>
          <w:b/>
          <w:sz w:val="20"/>
        </w:rPr>
        <w:t xml:space="preserve">ANNEX D </w:t>
      </w:r>
    </w:p>
    <w:p>
      <w:pPr>
        <w:pStyle w:val="TextBody"/>
        <w:bidi w:val="0"/>
        <w:spacing w:before="240" w:after="0"/>
        <w:jc w:val="left"/>
        <w:rPr>
          <w:rFonts w:ascii="Times New Roman" w:hAnsi="Times New Roman"/>
          <w:sz w:val="20"/>
        </w:rPr>
      </w:pPr>
      <w:r>
        <w:rPr>
          <w:rFonts w:ascii="Times New Roman" w:hAnsi="Times New Roman"/>
          <w:sz w:val="20"/>
          <w:u w:val="single"/>
        </w:rPr>
        <w:t>Explanatory Note</w:t>
      </w:r>
      <w:r>
        <w:rPr>
          <w:rFonts w:ascii="Times New Roman" w:hAnsi="Times New Roman"/>
          <w:sz w:val="20"/>
        </w:rPr>
        <w:t xml:space="preserve">: This Annex D contains a copy of the Destination XL Group, Inc. Second Amended and Restated 2016 Incentive Compensation Plan as proposed to be amended by Proposal 3 included in this Proxy Statement to which this Annex D is attached. </w:t>
      </w:r>
    </w:p>
    <w:p>
      <w:pPr>
        <w:pStyle w:val="TextBody"/>
        <w:bidi w:val="0"/>
        <w:spacing w:before="240" w:after="0"/>
        <w:jc w:val="left"/>
        <w:rPr>
          <w:rFonts w:ascii="Times New Roman" w:hAnsi="Times New Roman"/>
          <w:sz w:val="20"/>
        </w:rPr>
      </w:pPr>
      <w:r>
        <w:rPr>
          <w:rFonts w:ascii="Times New Roman" w:hAnsi="Times New Roman"/>
          <w:sz w:val="20"/>
          <w:u w:val="single"/>
        </w:rPr>
        <w:t>Editing Guide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Proposed additions are shown in blue, bold and as underlined text; </w:t>
      </w:r>
    </w:p>
    <w:p>
      <w:pPr>
        <w:pStyle w:val="TextBody"/>
        <w:bidi w:val="0"/>
        <w:spacing w:before="0" w:after="0"/>
        <w:jc w:val="left"/>
        <w:rPr>
          <w:rFonts w:ascii="Times New Roman" w:hAnsi="Times New Roman"/>
          <w:sz w:val="20"/>
        </w:rPr>
      </w:pPr>
      <w:r>
        <w:rPr>
          <w:rFonts w:ascii="Times New Roman" w:hAnsi="Times New Roman"/>
          <w:sz w:val="20"/>
        </w:rPr>
        <w:t xml:space="preserve">Proposed deletions are shown in red, bold and as strike-throughs; and </w:t>
      </w:r>
    </w:p>
    <w:p>
      <w:pPr>
        <w:pStyle w:val="TextBody"/>
        <w:bidi w:val="0"/>
        <w:spacing w:before="0" w:after="0"/>
        <w:jc w:val="left"/>
        <w:rPr>
          <w:rFonts w:ascii="Times New Roman" w:hAnsi="Times New Roman"/>
          <w:sz w:val="20"/>
        </w:rPr>
      </w:pPr>
      <w:r>
        <w:rPr>
          <w:rFonts w:ascii="Times New Roman" w:hAnsi="Times New Roman"/>
          <w:sz w:val="20"/>
        </w:rPr>
        <w:t>Existing text, which has been moved, is shown in green, as lighter bold with underlined text or strike-through, as applicable.</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AS AMENDED EFFECTIVE (</w:t>
      </w:r>
      <w:r>
        <w:rPr>
          <w:rFonts w:ascii="Times New Roman" w:hAnsi="Times New Roman"/>
          <w:b/>
          <w:color w:val="0000FF"/>
          <w:sz w:val="20"/>
          <w:u w:val="single"/>
          <w:bdr w:val="double" w:sz="2" w:space="1" w:color="000000"/>
        </w:rPr>
        <w:t>[XXX, XX, 2026]</w:t>
      </w:r>
      <w:r>
        <w:rPr>
          <w:rFonts w:ascii="Times New Roman" w:hAnsi="Times New Roman"/>
          <w:b/>
          <w:color w:val="0000FF"/>
          <w:sz w:val="20"/>
        </w:rPr>
        <w:t xml:space="preserve"> </w:t>
      </w:r>
      <w:r>
        <w:rPr>
          <w:rFonts w:ascii="Times New Roman" w:hAnsi="Times New Roman"/>
          <w:b/>
          <w:strike/>
          <w:color w:val="FF0000"/>
          <w:sz w:val="20"/>
          <w:u w:val="single"/>
        </w:rPr>
        <w:t>AUGUST 8, 2024</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AS AMENDED</w:t>
      </w:r>
      <w:r>
        <w:rPr>
          <w:rFonts w:ascii="Times New Roman" w:hAnsi="Times New Roman"/>
          <w:b/>
          <w:sz w:val="20"/>
        </w:rPr>
        <w:t xml:space="preserve"> EFFECTIVE ([XXX, XX,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
        <w:gridCol w:w="111"/>
        <w:gridCol w:w="8959"/>
        <w:gridCol w:w="128"/>
        <w:gridCol w:w="60"/>
        <w:gridCol w:w="525"/>
        <w:gridCol w:w="65"/>
      </w:tblGrid>
      <w:tr>
        <w:trPr/>
        <w:tc>
          <w:tcPr>
            <w:tcW w:w="35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95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7" w:type="dxa"/>
            <w:tcBorders/>
          </w:tcPr>
          <w:p>
            <w:pPr>
              <w:pStyle w:val="TableContents"/>
              <w:bidi w:val="0"/>
              <w:spacing w:before="0" w:after="283"/>
              <w:jc w:val="left"/>
              <w:rPr>
                <w:b/>
              </w:rPr>
            </w:pPr>
            <w:r>
              <w:rPr>
                <w:b/>
              </w:rPr>
              <w:t>1.</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99">
              <w:r>
                <w:rPr>
                  <w:rStyle w:val="InternetLink"/>
                  <w:rFonts w:ascii="Times New Roman" w:hAnsi="Times New Roman"/>
                  <w:b/>
                  <w:sz w:val="20"/>
                </w:rPr>
                <w:t>Purpose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2.</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0">
              <w:r>
                <w:rPr>
                  <w:rStyle w:val="InternetLink"/>
                  <w:rFonts w:ascii="Times New Roman" w:hAnsi="Times New Roman"/>
                  <w:b/>
                  <w:sz w:val="20"/>
                </w:rPr>
                <w:t>Definitions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3.</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1">
              <w:r>
                <w:rPr>
                  <w:rStyle w:val="InternetLink"/>
                  <w:rFonts w:ascii="Times New Roman" w:hAnsi="Times New Roman"/>
                  <w:b/>
                  <w:sz w:val="20"/>
                </w:rPr>
                <w:t>Administration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D-7</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4.</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2">
              <w:r>
                <w:rPr>
                  <w:rStyle w:val="InternetLink"/>
                  <w:rFonts w:ascii="Times New Roman" w:hAnsi="Times New Roman"/>
                  <w:b/>
                  <w:sz w:val="20"/>
                </w:rPr>
                <w:t>Shares Subject to Plan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5.</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3">
              <w:r>
                <w:rPr>
                  <w:rStyle w:val="InternetLink"/>
                  <w:rFonts w:ascii="Times New Roman" w:hAnsi="Times New Roman"/>
                  <w:b/>
                  <w:sz w:val="20"/>
                </w:rPr>
                <w:t>Eligibility; Per-Participation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6.</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4">
              <w:r>
                <w:rPr>
                  <w:rStyle w:val="InternetLink"/>
                  <w:rFonts w:ascii="Times New Roman" w:hAnsi="Times New Roman"/>
                  <w:b/>
                  <w:sz w:val="20"/>
                </w:rPr>
                <w:t>Award Vesting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7.</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5">
              <w:r>
                <w:rPr>
                  <w:rStyle w:val="InternetLink"/>
                  <w:rFonts w:ascii="Times New Roman" w:hAnsi="Times New Roman"/>
                  <w:b/>
                  <w:sz w:val="20"/>
                </w:rPr>
                <w:t>Specific Terms of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D-10</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8.</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6">
              <w:r>
                <w:rPr>
                  <w:rStyle w:val="InternetLink"/>
                  <w:rFonts w:ascii="Times New Roman" w:hAnsi="Times New Roman"/>
                  <w:b/>
                  <w:sz w:val="20"/>
                </w:rPr>
                <w:t>Certain Provisions Applicable to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D-15</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9.</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7">
              <w:r>
                <w:rPr>
                  <w:rStyle w:val="InternetLink"/>
                  <w:rFonts w:ascii="Times New Roman" w:hAnsi="Times New Roman"/>
                  <w:b/>
                  <w:sz w:val="20"/>
                </w:rPr>
                <w:t>Change in Control</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10.</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8">
              <w:r>
                <w:rPr>
                  <w:rStyle w:val="InternetLink"/>
                  <w:rFonts w:ascii="Times New Roman" w:hAnsi="Times New Roman"/>
                  <w:b/>
                  <w:sz w:val="20"/>
                </w:rPr>
                <w:t>General Provisions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D-20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AS AMENDED EFFECTIVE ([XXX, XX,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3" w:name="tx76201_99"/>
            <w:bookmarkEnd w:id="223"/>
            <w:r>
              <w:rPr>
                <w:b/>
                <w:i/>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Purpose</w:t>
            </w:r>
            <w:r>
              <w:rPr>
                <w:rFonts w:ascii="Times New Roman" w:hAnsi="Times New Roman"/>
                <w:sz w:val="20"/>
              </w:rPr>
              <w:t>. The purpose of this SECOND AMENDED AND RESTATED DESTINATION XL GROUP, INC. 2016 INCENTIVE COMPENSATION PLAN (the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replaced the 2006 Incentive Compensation Plan which was last amended effective as of August 1, 2013. The Plan was originally adopted effective as of August 4, 2016 and was amended effective as of August 8, 2019, August 12, 2020</w:t>
            </w:r>
            <w:r>
              <w:rPr>
                <w:rFonts w:ascii="Times New Roman" w:hAnsi="Times New Roman"/>
                <w:b/>
                <w:color w:val="0000FF"/>
                <w:sz w:val="20"/>
                <w:u w:val="single"/>
                <w:bdr w:val="double" w:sz="2" w:space="1" w:color="000000"/>
              </w:rPr>
              <w:t>,</w:t>
            </w:r>
            <w:r>
              <w:rPr>
                <w:rFonts w:ascii="Times New Roman" w:hAnsi="Times New Roman"/>
                <w:sz w:val="20"/>
              </w:rPr>
              <w:t xml:space="preserve"> </w:t>
            </w:r>
            <w:r>
              <w:rPr>
                <w:rFonts w:ascii="Times New Roman" w:hAnsi="Times New Roman"/>
                <w:strike/>
                <w:color w:val="FF0000"/>
                <w:sz w:val="20"/>
              </w:rPr>
              <w:t xml:space="preserve">and </w:t>
            </w:r>
            <w:r>
              <w:rPr>
                <w:rFonts w:ascii="Times New Roman" w:hAnsi="Times New Roman"/>
                <w:sz w:val="20"/>
              </w:rPr>
              <w:t xml:space="preserve">August 5, 2021 </w:t>
            </w:r>
            <w:r>
              <w:rPr>
                <w:rFonts w:ascii="Times New Roman" w:hAnsi="Times New Roman"/>
                <w:b/>
                <w:color w:val="0000FF"/>
                <w:sz w:val="20"/>
                <w:u w:val="single"/>
                <w:bdr w:val="double" w:sz="2" w:space="1" w:color="000000"/>
              </w:rPr>
              <w:t>and August 8, 2024</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24" w:name="tx76201_100"/>
            <w:bookmarkEnd w:id="224"/>
            <w:r>
              <w:rPr>
                <w:b/>
                <w:i/>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Definitions</w:t>
            </w:r>
            <w:r>
              <w:rPr>
                <w:rFonts w:ascii="Times New Roman" w:hAnsi="Times New Roman"/>
                <w:sz w:val="20"/>
              </w:rPr>
              <w:t xml:space="preserve">. For purposes of the Plan, the following terms shall be defined as set forth below, in addition to such terms defined in Section 1 hereof and elsewhere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pPr>
            <w:r>
              <w:rPr/>
              <w:t>“</w:t>
            </w:r>
            <w:r>
              <w:rPr>
                <w:rFonts w:ascii="Times New Roman" w:hAnsi="Times New Roman"/>
                <w:b/>
                <w:i/>
                <w:sz w:val="20"/>
              </w:rPr>
              <w:t>Award</w:t>
            </w:r>
            <w:r>
              <w:rPr>
                <w:rFonts w:ascii="Times New Roman" w:hAnsi="Times New Roman"/>
                <w:sz w:val="20"/>
              </w:rPr>
              <w:t xml:space="preserve">”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pPr>
            <w:r>
              <w:rPr/>
              <w:t>“</w:t>
            </w:r>
            <w:r>
              <w:rPr>
                <w:rFonts w:ascii="Times New Roman" w:hAnsi="Times New Roman"/>
                <w:b/>
                <w:i/>
                <w:sz w:val="20"/>
              </w:rPr>
              <w:t>Award Agreement</w:t>
            </w:r>
            <w:r>
              <w:rPr>
                <w:rFonts w:ascii="Times New Roman" w:hAnsi="Times New Roman"/>
                <w:sz w:val="20"/>
              </w:rPr>
              <w:t xml:space="preserve">” means any written agreement, contract or other instrument or document evidencing any Award granted by the Committee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pPr>
            <w:r>
              <w:rPr/>
              <w:t>“</w:t>
            </w:r>
            <w:r>
              <w:rPr>
                <w:rFonts w:ascii="Times New Roman" w:hAnsi="Times New Roman"/>
                <w:b/>
                <w:i/>
                <w:sz w:val="20"/>
              </w:rPr>
              <w:t>Beneficiary</w:t>
            </w:r>
            <w:r>
              <w:rPr>
                <w:rFonts w:ascii="Times New Roman" w:hAnsi="Times New Roman"/>
                <w:sz w:val="20"/>
              </w:rPr>
              <w:t xml:space="preserve">”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Participant’s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pPr>
            <w:r>
              <w:rPr/>
              <w:t>“</w:t>
            </w:r>
            <w:r>
              <w:rPr>
                <w:rFonts w:ascii="Times New Roman" w:hAnsi="Times New Roman"/>
                <w:b/>
                <w:i/>
                <w:sz w:val="20"/>
              </w:rPr>
              <w:t>Beneficial Owner</w:t>
            </w:r>
            <w:r>
              <w:rPr>
                <w:rFonts w:ascii="Times New Roman" w:hAnsi="Times New Roman"/>
                <w:sz w:val="20"/>
              </w:rPr>
              <w:t xml:space="preserve">” shall have the meaning ascribed to such term in Rule 13d-3 under the Exchange Act and any successor to such Rule.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pPr>
            <w:r>
              <w:rPr/>
              <w:t>“</w:t>
            </w:r>
            <w:r>
              <w:rPr>
                <w:rFonts w:ascii="Times New Roman" w:hAnsi="Times New Roman"/>
                <w:b/>
                <w:i/>
                <w:sz w:val="20"/>
              </w:rPr>
              <w:t>Board</w:t>
            </w:r>
            <w:r>
              <w:rPr>
                <w:rFonts w:ascii="Times New Roman" w:hAnsi="Times New Roman"/>
                <w:sz w:val="20"/>
              </w:rPr>
              <w:t xml:space="preserve">” means the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79" w:type="dxa"/>
            <w:tcBorders/>
          </w:tcPr>
          <w:p>
            <w:pPr>
              <w:pStyle w:val="TableContents"/>
              <w:bidi w:val="0"/>
              <w:spacing w:before="0" w:after="0"/>
              <w:jc w:val="left"/>
              <w:rPr/>
            </w:pPr>
            <w:r>
              <w:rPr/>
              <w:t>“</w:t>
            </w:r>
            <w:r>
              <w:rPr>
                <w:rFonts w:ascii="Times New Roman" w:hAnsi="Times New Roman"/>
                <w:b/>
                <w:i/>
                <w:sz w:val="20"/>
              </w:rPr>
              <w:t>Change in Control</w:t>
            </w:r>
            <w:r>
              <w:rPr>
                <w:rFonts w:ascii="Times New Roman" w:hAnsi="Times New Roman"/>
                <w:sz w:val="20"/>
              </w:rPr>
              <w:t xml:space="preserve">” means a Change in Control as defined in Section 9(b)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79" w:type="dxa"/>
            <w:tcBorders/>
          </w:tcPr>
          <w:p>
            <w:pPr>
              <w:pStyle w:val="TableContents"/>
              <w:bidi w:val="0"/>
              <w:spacing w:before="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from time to time, including regulations thereunder and successor provisions and regulations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pPr>
            <w:r>
              <w:rPr/>
              <w:t>“</w:t>
            </w:r>
            <w:r>
              <w:rPr>
                <w:rFonts w:ascii="Times New Roman" w:hAnsi="Times New Roman"/>
                <w:b/>
                <w:i/>
                <w:sz w:val="20"/>
              </w:rPr>
              <w:t>Committee</w:t>
            </w:r>
            <w:r>
              <w:rPr>
                <w:rFonts w:ascii="Times New Roman" w:hAnsi="Times New Roman"/>
                <w:sz w:val="20"/>
              </w:rPr>
              <w:t xml:space="preserve">”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and (ii)”Independent”; provided, however, the failure of the Committee to be so comprised shall not invalidate any Award that otherwise satisfies the terms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pPr>
            <w:r>
              <w:rPr/>
              <w:t>“</w:t>
            </w:r>
            <w:r>
              <w:rPr>
                <w:rFonts w:ascii="Times New Roman" w:hAnsi="Times New Roman"/>
                <w:b/>
                <w:i/>
                <w:sz w:val="20"/>
              </w:rPr>
              <w:t>Consultant</w:t>
            </w:r>
            <w:r>
              <w:rPr>
                <w:rFonts w:ascii="Times New Roman" w:hAnsi="Times New Roman"/>
                <w:sz w:val="20"/>
              </w:rPr>
              <w:t xml:space="preserve">” means any person (other than an Employee or a Director, solely with respect to rendering services in such person’s capacity as a Director) who is engaged by the Company or any Related Entity to render consulting or advisory services to the Company or such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(j)</w:t>
            </w:r>
          </w:p>
        </w:tc>
        <w:tc>
          <w:tcPr>
            <w:tcW w:w="8882" w:type="dxa"/>
            <w:tcBorders/>
          </w:tcPr>
          <w:p>
            <w:pPr>
              <w:pStyle w:val="TableContents"/>
              <w:bidi w:val="0"/>
              <w:spacing w:before="0" w:after="0"/>
              <w:jc w:val="left"/>
              <w:rPr/>
            </w:pPr>
            <w:r>
              <w:rPr/>
              <w:t>“</w:t>
            </w:r>
            <w:r>
              <w:rPr>
                <w:rFonts w:ascii="Times New Roman" w:hAnsi="Times New Roman"/>
                <w:b/>
                <w:i/>
                <w:sz w:val="20"/>
              </w:rPr>
              <w:t>Continuous Service”</w:t>
            </w:r>
            <w:r>
              <w:rPr>
                <w:rFonts w:ascii="Times New Roman" w:hAnsi="Times New Roman"/>
                <w:sz w:val="20"/>
              </w:rPr>
              <w:t xml:space="preserve">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w:t>
            </w:r>
          </w:p>
        </w:tc>
        <w:tc>
          <w:tcPr>
            <w:tcW w:w="8881" w:type="dxa"/>
            <w:tcBorders/>
          </w:tcPr>
          <w:p>
            <w:pPr>
              <w:pStyle w:val="TableContents"/>
              <w:bidi w:val="0"/>
              <w:spacing w:before="0" w:after="0"/>
              <w:jc w:val="left"/>
              <w:rPr/>
            </w:pPr>
            <w:r>
              <w:rPr/>
              <w:t>“</w:t>
            </w:r>
            <w:r>
              <w:rPr>
                <w:rFonts w:ascii="Times New Roman" w:hAnsi="Times New Roman"/>
                <w:b/>
                <w:i/>
                <w:sz w:val="20"/>
              </w:rPr>
              <w:t>Deferred Stock</w:t>
            </w:r>
            <w:r>
              <w:rPr>
                <w:rFonts w:ascii="Times New Roman" w:hAnsi="Times New Roman"/>
                <w:sz w:val="20"/>
              </w:rPr>
              <w:t xml:space="preserve">” means a right to receive Shares, cash measured based upon the value of Shares or a combination thereof, at the end of a specified deferral period, which right is not subject to a substantial risk of forfeiture (other than the potential clawback of benefits under Section 8(f)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79" w:type="dxa"/>
            <w:tcBorders/>
          </w:tcPr>
          <w:p>
            <w:pPr>
              <w:pStyle w:val="TableContents"/>
              <w:bidi w:val="0"/>
              <w:spacing w:before="0" w:after="0"/>
              <w:jc w:val="left"/>
              <w:rPr/>
            </w:pPr>
            <w:r>
              <w:rPr/>
              <w:t>“</w:t>
            </w:r>
            <w:r>
              <w:rPr>
                <w:rFonts w:ascii="Times New Roman" w:hAnsi="Times New Roman"/>
                <w:b/>
                <w:i/>
                <w:sz w:val="20"/>
              </w:rPr>
              <w:t>Deferred Award</w:t>
            </w:r>
            <w:r>
              <w:rPr>
                <w:rFonts w:ascii="Times New Roman" w:hAnsi="Times New Roman"/>
                <w:sz w:val="20"/>
              </w:rPr>
              <w:t xml:space="preserve">” means an Award of Deferred Stock or Restricted Stock Units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(m)</w:t>
            </w:r>
          </w:p>
        </w:tc>
        <w:tc>
          <w:tcPr>
            <w:tcW w:w="8880" w:type="dxa"/>
            <w:tcBorders/>
          </w:tcPr>
          <w:p>
            <w:pPr>
              <w:pStyle w:val="TableContents"/>
              <w:bidi w:val="0"/>
              <w:spacing w:before="0" w:after="0"/>
              <w:jc w:val="left"/>
              <w:rPr/>
            </w:pPr>
            <w:r>
              <w:rPr/>
              <w:t>“</w:t>
            </w:r>
            <w:r>
              <w:rPr>
                <w:rFonts w:ascii="Times New Roman" w:hAnsi="Times New Roman"/>
                <w:b/>
                <w:i/>
                <w:sz w:val="20"/>
              </w:rPr>
              <w:t>Director</w:t>
            </w:r>
            <w:r>
              <w:rPr>
                <w:rFonts w:ascii="Times New Roman" w:hAnsi="Times New Roman"/>
                <w:sz w:val="20"/>
              </w:rPr>
              <w:t xml:space="preserve">” means a member of the Board or the board of directors of any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w:t>
            </w:r>
          </w:p>
        </w:tc>
        <w:tc>
          <w:tcPr>
            <w:tcW w:w="8880" w:type="dxa"/>
            <w:tcBorders/>
          </w:tcPr>
          <w:p>
            <w:pPr>
              <w:pStyle w:val="TableContents"/>
              <w:bidi w:val="0"/>
              <w:spacing w:before="0" w:after="0"/>
              <w:jc w:val="left"/>
              <w:rPr/>
            </w:pPr>
            <w:r>
              <w:rPr/>
              <w:t>“</w:t>
            </w:r>
            <w:r>
              <w:rPr>
                <w:rFonts w:ascii="Times New Roman" w:hAnsi="Times New Roman"/>
                <w:b/>
                <w:i/>
                <w:sz w:val="20"/>
              </w:rPr>
              <w:t>Disability</w:t>
            </w:r>
            <w:r>
              <w:rPr>
                <w:rFonts w:ascii="Times New Roman" w:hAnsi="Times New Roman"/>
                <w:sz w:val="20"/>
              </w:rPr>
              <w:t xml:space="preserve">” means a permanent and total disability (within the meaning of Section 22(e) of the Code), as determined by a medical doctor satisfactory to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(o)</w:t>
            </w:r>
          </w:p>
        </w:tc>
        <w:tc>
          <w:tcPr>
            <w:tcW w:w="8881" w:type="dxa"/>
            <w:tcBorders/>
          </w:tcPr>
          <w:p>
            <w:pPr>
              <w:pStyle w:val="TableContents"/>
              <w:bidi w:val="0"/>
              <w:spacing w:before="0" w:after="0"/>
              <w:jc w:val="left"/>
              <w:rPr/>
            </w:pPr>
            <w:r>
              <w:rPr/>
              <w:t>“</w:t>
            </w:r>
            <w:r>
              <w:rPr>
                <w:rFonts w:ascii="Times New Roman" w:hAnsi="Times New Roman"/>
                <w:b/>
                <w:i/>
                <w:sz w:val="20"/>
              </w:rPr>
              <w:t>Dividend Equivalent</w:t>
            </w:r>
            <w:r>
              <w:rPr>
                <w:rFonts w:ascii="Times New Roman" w:hAnsi="Times New Roman"/>
                <w:sz w:val="20"/>
              </w:rPr>
              <w:t xml:space="preserve">” means a right, granted to a Participant under Section 7(g) hereof, to receive cash, Shares, other Awards or other property equal in value to dividends paid with respect to a specified number of Shares, or other periodic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(p)</w:t>
            </w:r>
          </w:p>
        </w:tc>
        <w:tc>
          <w:tcPr>
            <w:tcW w:w="8882" w:type="dxa"/>
            <w:tcBorders/>
          </w:tcPr>
          <w:p>
            <w:pPr>
              <w:pStyle w:val="TableContents"/>
              <w:bidi w:val="0"/>
              <w:spacing w:before="0" w:after="0"/>
              <w:jc w:val="left"/>
              <w:rPr/>
            </w:pPr>
            <w:r>
              <w:rPr/>
              <w:t>“</w:t>
            </w:r>
            <w:r>
              <w:rPr>
                <w:rFonts w:ascii="Times New Roman" w:hAnsi="Times New Roman"/>
                <w:b/>
                <w:i/>
                <w:sz w:val="20"/>
              </w:rPr>
              <w:t>Effective Date</w:t>
            </w:r>
            <w:r>
              <w:rPr>
                <w:rFonts w:ascii="Times New Roman" w:hAnsi="Times New Roman"/>
                <w:sz w:val="20"/>
              </w:rPr>
              <w:t xml:space="preserve">” means the effective date of the Plan, which shall be the Shareholder Approval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w:t>
            </w:r>
          </w:p>
        </w:tc>
        <w:tc>
          <w:tcPr>
            <w:tcW w:w="8880" w:type="dxa"/>
            <w:tcBorders/>
          </w:tcPr>
          <w:p>
            <w:pPr>
              <w:pStyle w:val="TableContents"/>
              <w:bidi w:val="0"/>
              <w:spacing w:before="0" w:after="0"/>
              <w:jc w:val="left"/>
              <w:rPr/>
            </w:pPr>
            <w:r>
              <w:rPr/>
              <w:t>“</w:t>
            </w:r>
            <w:r>
              <w:rPr>
                <w:rFonts w:ascii="Times New Roman" w:hAnsi="Times New Roman"/>
                <w:b/>
                <w:i/>
                <w:sz w:val="20"/>
              </w:rPr>
              <w:t>Eligible Person</w:t>
            </w:r>
            <w:r>
              <w:rPr>
                <w:rFonts w:ascii="Times New Roman" w:hAnsi="Times New Roman"/>
                <w:sz w:val="20"/>
              </w:rPr>
              <w:t xml:space="preserve">”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w:t>
            </w:r>
          </w:p>
        </w:tc>
        <w:tc>
          <w:tcPr>
            <w:tcW w:w="8882" w:type="dxa"/>
            <w:tcBorders/>
          </w:tcPr>
          <w:p>
            <w:pPr>
              <w:pStyle w:val="TableContents"/>
              <w:bidi w:val="0"/>
              <w:spacing w:before="0" w:after="0"/>
              <w:jc w:val="left"/>
              <w:rPr/>
            </w:pPr>
            <w:r>
              <w:rPr/>
              <w:t>“</w:t>
            </w:r>
            <w:r>
              <w:rPr>
                <w:rFonts w:ascii="Times New Roman" w:hAnsi="Times New Roman"/>
                <w:b/>
                <w:i/>
                <w:sz w:val="20"/>
              </w:rPr>
              <w:t>Employee</w:t>
            </w:r>
            <w:r>
              <w:rPr>
                <w:rFonts w:ascii="Times New Roman" w:hAnsi="Times New Roman"/>
                <w:sz w:val="20"/>
              </w:rPr>
              <w:t xml:space="preserve">”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w:t>
            </w:r>
          </w:p>
        </w:tc>
        <w:tc>
          <w:tcPr>
            <w:tcW w:w="8880" w:type="dxa"/>
            <w:tcBorders/>
          </w:tcPr>
          <w:p>
            <w:pPr>
              <w:pStyle w:val="TableContents"/>
              <w:bidi w:val="0"/>
              <w:spacing w:before="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from time to time, including rules thereunder and successor provisions and rules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(t)</w:t>
            </w:r>
          </w:p>
        </w:tc>
        <w:tc>
          <w:tcPr>
            <w:tcW w:w="8881" w:type="dxa"/>
            <w:tcBorders/>
          </w:tcPr>
          <w:p>
            <w:pPr>
              <w:pStyle w:val="TableContents"/>
              <w:bidi w:val="0"/>
              <w:spacing w:before="0" w:after="0"/>
              <w:jc w:val="left"/>
              <w:rPr/>
            </w:pPr>
            <w:r>
              <w:rPr/>
              <w:t>“</w:t>
            </w:r>
            <w:r>
              <w:rPr>
                <w:rFonts w:ascii="Times New Roman" w:hAnsi="Times New Roman"/>
                <w:b/>
                <w:i/>
                <w:sz w:val="20"/>
              </w:rPr>
              <w:t>Fair Market Value</w:t>
            </w:r>
            <w:r>
              <w:rPr>
                <w:rFonts w:ascii="Times New Roman" w:hAnsi="Times New Roman"/>
                <w:sz w:val="20"/>
              </w:rPr>
              <w:t xml:space="preserve">” means the fair market value of Shares, Awards or other property on the date as of which the value is being determined, as determined by the Committee, or under procedures established by the Committee. Unless otherwise determined by the Committee, the Fair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(u)</w:t>
            </w:r>
          </w:p>
        </w:tc>
        <w:tc>
          <w:tcPr>
            <w:tcW w:w="8881" w:type="dxa"/>
            <w:tcBorders/>
          </w:tcPr>
          <w:p>
            <w:pPr>
              <w:pStyle w:val="TableContents"/>
              <w:bidi w:val="0"/>
              <w:spacing w:before="0" w:after="0"/>
              <w:jc w:val="left"/>
              <w:rPr/>
            </w:pPr>
            <w:r>
              <w:rPr/>
              <w:t>“</w:t>
            </w:r>
            <w:r>
              <w:rPr>
                <w:rFonts w:ascii="Times New Roman" w:hAnsi="Times New Roman"/>
                <w:b/>
                <w:i/>
                <w:sz w:val="20"/>
              </w:rPr>
              <w:t>Full Value Award</w:t>
            </w:r>
            <w:r>
              <w:rPr>
                <w:rFonts w:ascii="Times New Roman" w:hAnsi="Times New Roman"/>
                <w:sz w:val="20"/>
              </w:rPr>
              <w:t xml:space="preserve">” means any Award other than an option or a Stock Appreciation Right and that is settled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pPr>
            <w:r>
              <w:rPr/>
              <w:t>“</w:t>
            </w:r>
            <w:r>
              <w:rPr>
                <w:rFonts w:ascii="Times New Roman" w:hAnsi="Times New Roman"/>
                <w:b/>
                <w:i/>
                <w:sz w:val="20"/>
              </w:rPr>
              <w:t>Good Reason</w:t>
            </w:r>
            <w:r>
              <w:rPr>
                <w:rFonts w:ascii="Times New Roman" w:hAnsi="Times New Roman"/>
                <w:sz w:val="20"/>
              </w:rPr>
              <w:t xml:space="preserve">”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w:t>
            </w:r>
          </w:p>
        </w:tc>
        <w:tc>
          <w:tcPr>
            <w:tcW w:w="8879" w:type="dxa"/>
            <w:tcBorders/>
          </w:tcPr>
          <w:p>
            <w:pPr>
              <w:pStyle w:val="TableContents"/>
              <w:bidi w:val="0"/>
              <w:spacing w:before="0" w:after="0"/>
              <w:jc w:val="left"/>
              <w:rPr/>
            </w:pPr>
            <w:r>
              <w:rPr/>
              <w:t>“</w:t>
            </w:r>
            <w:r>
              <w:rPr>
                <w:rFonts w:ascii="Times New Roman" w:hAnsi="Times New Roman"/>
                <w:b/>
                <w:i/>
                <w:sz w:val="20"/>
              </w:rPr>
              <w:t>Incentive Stock Option</w:t>
            </w:r>
            <w:r>
              <w:rPr>
                <w:rFonts w:ascii="Times New Roman" w:hAnsi="Times New Roman"/>
                <w:sz w:val="20"/>
              </w:rPr>
              <w:t xml:space="preserve">” means any Option intended to be designated as an incentive stock option within the meaning of Section 422 of the Code or any successor provision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w:t>
            </w:r>
          </w:p>
        </w:tc>
        <w:tc>
          <w:tcPr>
            <w:tcW w:w="8880" w:type="dxa"/>
            <w:tcBorders/>
          </w:tcPr>
          <w:p>
            <w:pPr>
              <w:pStyle w:val="TableContents"/>
              <w:bidi w:val="0"/>
              <w:spacing w:before="0" w:after="0"/>
              <w:jc w:val="left"/>
              <w:rPr/>
            </w:pPr>
            <w:r>
              <w:rPr/>
              <w:t>“</w:t>
            </w:r>
            <w:r>
              <w:rPr>
                <w:rFonts w:ascii="Times New Roman" w:hAnsi="Times New Roman"/>
                <w:b/>
                <w:i/>
                <w:sz w:val="20"/>
              </w:rPr>
              <w:t>Independent</w:t>
            </w:r>
            <w:r>
              <w:rPr>
                <w:rFonts w:ascii="Times New Roman" w:hAnsi="Times New Roman"/>
                <w:sz w:val="20"/>
              </w:rPr>
              <w:t xml:space="preserve">”,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(y)</w:t>
            </w:r>
          </w:p>
        </w:tc>
        <w:tc>
          <w:tcPr>
            <w:tcW w:w="8881" w:type="dxa"/>
            <w:tcBorders/>
          </w:tcPr>
          <w:p>
            <w:pPr>
              <w:pStyle w:val="TableContents"/>
              <w:bidi w:val="0"/>
              <w:spacing w:before="0" w:after="0"/>
              <w:jc w:val="left"/>
              <w:rPr/>
            </w:pPr>
            <w:r>
              <w:rPr/>
              <w:t>“</w:t>
            </w:r>
            <w:r>
              <w:rPr>
                <w:rFonts w:ascii="Times New Roman" w:hAnsi="Times New Roman"/>
                <w:b/>
                <w:i/>
                <w:sz w:val="20"/>
              </w:rPr>
              <w:t>Incumbent Board</w:t>
            </w:r>
            <w:r>
              <w:rPr>
                <w:rFonts w:ascii="Times New Roman" w:hAnsi="Times New Roman"/>
                <w:sz w:val="20"/>
              </w:rPr>
              <w:t xml:space="preserve">” means the Incumbent Board as defined in Section 9(b)(ii)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(z)</w:t>
            </w:r>
          </w:p>
        </w:tc>
        <w:tc>
          <w:tcPr>
            <w:tcW w:w="8879" w:type="dxa"/>
            <w:tcBorders/>
          </w:tcPr>
          <w:p>
            <w:pPr>
              <w:pStyle w:val="TableContents"/>
              <w:bidi w:val="0"/>
              <w:spacing w:before="0" w:after="0"/>
              <w:jc w:val="left"/>
              <w:rPr/>
            </w:pPr>
            <w:r>
              <w:rPr/>
              <w:t>“</w:t>
            </w:r>
            <w:r>
              <w:rPr>
                <w:rFonts w:ascii="Times New Roman" w:hAnsi="Times New Roman"/>
                <w:b/>
                <w:i/>
                <w:sz w:val="20"/>
              </w:rPr>
              <w:t>Justifiable Cause</w:t>
            </w:r>
            <w:r>
              <w:rPr>
                <w:rFonts w:ascii="Times New Roman" w:hAnsi="Times New Roman"/>
                <w:sz w:val="20"/>
              </w:rPr>
              <w:t xml:space="preserve">”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 of guilty to, or pleas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(aa)</w:t>
            </w:r>
          </w:p>
        </w:tc>
        <w:tc>
          <w:tcPr>
            <w:tcW w:w="8880" w:type="dxa"/>
            <w:tcBorders/>
          </w:tcPr>
          <w:p>
            <w:pPr>
              <w:pStyle w:val="TableContents"/>
              <w:bidi w:val="0"/>
              <w:spacing w:before="0" w:after="0"/>
              <w:jc w:val="left"/>
              <w:rPr/>
            </w:pPr>
            <w:r>
              <w:rPr/>
              <w:t>“</w:t>
            </w:r>
            <w:r>
              <w:rPr>
                <w:rFonts w:ascii="Times New Roman" w:hAnsi="Times New Roman"/>
                <w:b/>
                <w:i/>
                <w:sz w:val="20"/>
              </w:rPr>
              <w:t>Listing Market</w:t>
            </w:r>
            <w:r>
              <w:rPr>
                <w:rFonts w:ascii="Times New Roman" w:hAnsi="Times New Roman"/>
                <w:sz w:val="20"/>
              </w:rPr>
              <w:t xml:space="preserve">” means the NASDAQ Stock Market or any national securities exchange on which the Company’s securities are listed for trading and, if not listed for trading on the NASDAQ Stock Market or a national securities exchange, then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(bb)</w:t>
            </w:r>
          </w:p>
        </w:tc>
        <w:tc>
          <w:tcPr>
            <w:tcW w:w="8880" w:type="dxa"/>
            <w:tcBorders/>
          </w:tcPr>
          <w:p>
            <w:pPr>
              <w:pStyle w:val="TableContents"/>
              <w:bidi w:val="0"/>
              <w:spacing w:before="0" w:after="0"/>
              <w:jc w:val="left"/>
              <w:rPr/>
            </w:pPr>
            <w:r>
              <w:rPr/>
              <w:t>“</w:t>
            </w:r>
            <w:r>
              <w:rPr>
                <w:rFonts w:ascii="Times New Roman" w:hAnsi="Times New Roman"/>
                <w:b/>
                <w:i/>
                <w:sz w:val="20"/>
              </w:rPr>
              <w:t>Option</w:t>
            </w:r>
            <w:r>
              <w:rPr>
                <w:rFonts w:ascii="Times New Roman" w:hAnsi="Times New Roman"/>
                <w:sz w:val="20"/>
              </w:rPr>
              <w:t xml:space="preserve">” means a right granted to a Participant under Section 7(b) hereof, to purchase Shares or other Awards at a specified price during specified time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(cc)</w:t>
            </w:r>
          </w:p>
        </w:tc>
        <w:tc>
          <w:tcPr>
            <w:tcW w:w="8879" w:type="dxa"/>
            <w:tcBorders/>
          </w:tcPr>
          <w:p>
            <w:pPr>
              <w:pStyle w:val="TableContents"/>
              <w:bidi w:val="0"/>
              <w:spacing w:before="0" w:after="0"/>
              <w:jc w:val="left"/>
              <w:rPr/>
            </w:pPr>
            <w:r>
              <w:rPr/>
              <w:t>“</w:t>
            </w:r>
            <w:r>
              <w:rPr>
                <w:rFonts w:ascii="Times New Roman" w:hAnsi="Times New Roman"/>
                <w:b/>
                <w:i/>
                <w:sz w:val="20"/>
              </w:rPr>
              <w:t>Optionee</w:t>
            </w:r>
            <w:r>
              <w:rPr>
                <w:rFonts w:ascii="Times New Roman" w:hAnsi="Times New Roman"/>
                <w:sz w:val="20"/>
              </w:rPr>
              <w:t xml:space="preserve">” means a person to whom an Option is granted under this Plan or any person who succeeds to the rights of such person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(dd)</w:t>
            </w:r>
          </w:p>
        </w:tc>
        <w:tc>
          <w:tcPr>
            <w:tcW w:w="8880" w:type="dxa"/>
            <w:tcBorders/>
          </w:tcPr>
          <w:p>
            <w:pPr>
              <w:pStyle w:val="TableContents"/>
              <w:bidi w:val="0"/>
              <w:spacing w:before="0" w:after="0"/>
              <w:jc w:val="left"/>
              <w:rPr/>
            </w:pPr>
            <w:r>
              <w:rPr/>
              <w:t>“</w:t>
            </w:r>
            <w:r>
              <w:rPr>
                <w:rFonts w:ascii="Times New Roman" w:hAnsi="Times New Roman"/>
                <w:b/>
                <w:i/>
                <w:sz w:val="20"/>
              </w:rPr>
              <w:t>Other Stock-Based Awards</w:t>
            </w:r>
            <w:r>
              <w:rPr>
                <w:rFonts w:ascii="Times New Roman" w:hAnsi="Times New Roman"/>
                <w:sz w:val="20"/>
              </w:rPr>
              <w:t xml:space="preserve">” means Awards granted to a Participant under Section 7(i)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(ee)</w:t>
            </w:r>
          </w:p>
        </w:tc>
        <w:tc>
          <w:tcPr>
            <w:tcW w:w="8880" w:type="dxa"/>
            <w:tcBorders/>
          </w:tcPr>
          <w:p>
            <w:pPr>
              <w:pStyle w:val="TableContents"/>
              <w:bidi w:val="0"/>
              <w:spacing w:before="0" w:after="0"/>
              <w:jc w:val="left"/>
              <w:rPr/>
            </w:pPr>
            <w:r>
              <w:rPr/>
              <w:t>“</w:t>
            </w:r>
            <w:r>
              <w:rPr>
                <w:rFonts w:ascii="Times New Roman" w:hAnsi="Times New Roman"/>
                <w:b/>
                <w:i/>
                <w:sz w:val="20"/>
              </w:rPr>
              <w:t>Participant</w:t>
            </w:r>
            <w:r>
              <w:rPr>
                <w:rFonts w:ascii="Times New Roman" w:hAnsi="Times New Roman"/>
                <w:sz w:val="20"/>
              </w:rPr>
              <w:t xml:space="preserve">” means a person who has been granted an Award under the Plan which remains outstanding, including a person who is no longer an Eligible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(ff)</w:t>
            </w:r>
          </w:p>
        </w:tc>
        <w:tc>
          <w:tcPr>
            <w:tcW w:w="8881" w:type="dxa"/>
            <w:tcBorders/>
          </w:tcPr>
          <w:p>
            <w:pPr>
              <w:pStyle w:val="TableContents"/>
              <w:bidi w:val="0"/>
              <w:spacing w:before="0" w:after="0"/>
              <w:jc w:val="left"/>
              <w:rPr/>
            </w:pPr>
            <w:r>
              <w:rPr/>
              <w:t>“</w:t>
            </w:r>
            <w:r>
              <w:rPr>
                <w:rFonts w:ascii="Times New Roman" w:hAnsi="Times New Roman"/>
                <w:b/>
                <w:i/>
                <w:sz w:val="20"/>
              </w:rPr>
              <w:t>Performance Award</w:t>
            </w:r>
            <w:r>
              <w:rPr>
                <w:rFonts w:ascii="Times New Roman" w:hAnsi="Times New Roman"/>
                <w:sz w:val="20"/>
              </w:rPr>
              <w:t xml:space="preserve">” means any Award of Performance Shares or Performance Units granted pursuant to Section 7(h).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(gg)</w:t>
            </w:r>
          </w:p>
        </w:tc>
        <w:tc>
          <w:tcPr>
            <w:tcW w:w="8880" w:type="dxa"/>
            <w:tcBorders/>
          </w:tcPr>
          <w:p>
            <w:pPr>
              <w:pStyle w:val="TableContents"/>
              <w:bidi w:val="0"/>
              <w:spacing w:before="0" w:after="0"/>
              <w:jc w:val="left"/>
              <w:rPr/>
            </w:pPr>
            <w:r>
              <w:rPr/>
              <w:t>“</w:t>
            </w:r>
            <w:r>
              <w:rPr>
                <w:rFonts w:ascii="Times New Roman" w:hAnsi="Times New Roman"/>
                <w:b/>
                <w:i/>
                <w:sz w:val="20"/>
              </w:rPr>
              <w:t>Performance Period</w:t>
            </w:r>
            <w:r>
              <w:rPr>
                <w:rFonts w:ascii="Times New Roman" w:hAnsi="Times New Roman"/>
                <w:sz w:val="20"/>
              </w:rPr>
              <w:t xml:space="preserve">” means that period established by the Committee at the time any Performance Award is granted or at any time thereafter during which any performance goals specified by the Committee with respect to such Award are to be measured.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(hh)</w:t>
            </w:r>
          </w:p>
        </w:tc>
        <w:tc>
          <w:tcPr>
            <w:tcW w:w="8880" w:type="dxa"/>
            <w:tcBorders/>
          </w:tcPr>
          <w:p>
            <w:pPr>
              <w:pStyle w:val="TableContents"/>
              <w:bidi w:val="0"/>
              <w:spacing w:before="0" w:after="0"/>
              <w:jc w:val="left"/>
              <w:rPr/>
            </w:pPr>
            <w:r>
              <w:rPr/>
              <w:t>“</w:t>
            </w:r>
            <w:r>
              <w:rPr>
                <w:rFonts w:ascii="Times New Roman" w:hAnsi="Times New Roman"/>
                <w:b/>
                <w:i/>
                <w:sz w:val="20"/>
              </w:rPr>
              <w:t>Performance Share</w:t>
            </w:r>
            <w:r>
              <w:rPr>
                <w:rFonts w:ascii="Times New Roman" w:hAnsi="Times New Roman"/>
                <w:sz w:val="20"/>
              </w:rPr>
              <w:t xml:space="preserve">”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pPr>
            <w:r>
              <w:rPr/>
              <w:t>“</w:t>
            </w:r>
            <w:r>
              <w:rPr>
                <w:rFonts w:ascii="Times New Roman" w:hAnsi="Times New Roman"/>
                <w:b/>
                <w:i/>
                <w:sz w:val="20"/>
              </w:rPr>
              <w:t>Performance Unit</w:t>
            </w:r>
            <w:r>
              <w:rPr>
                <w:rFonts w:ascii="Times New Roman" w:hAnsi="Times New Roman"/>
                <w:sz w:val="20"/>
              </w:rPr>
              <w:t xml:space="preserve">”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(jj)</w:t>
            </w:r>
          </w:p>
        </w:tc>
        <w:tc>
          <w:tcPr>
            <w:tcW w:w="8880" w:type="dxa"/>
            <w:tcBorders/>
          </w:tcPr>
          <w:p>
            <w:pPr>
              <w:pStyle w:val="TableContents"/>
              <w:bidi w:val="0"/>
              <w:spacing w:before="0" w:after="0"/>
              <w:jc w:val="left"/>
              <w:rPr/>
            </w:pPr>
            <w:r>
              <w:rPr/>
              <w:t>“</w:t>
            </w:r>
            <w:r>
              <w:rPr>
                <w:rFonts w:ascii="Times New Roman" w:hAnsi="Times New Roman"/>
                <w:b/>
                <w:i/>
                <w:sz w:val="20"/>
              </w:rPr>
              <w:t>Person</w:t>
            </w:r>
            <w:r>
              <w:rPr>
                <w:rFonts w:ascii="Times New Roman" w:hAnsi="Times New Roman"/>
                <w:sz w:val="20"/>
              </w:rPr>
              <w:t xml:space="preserve">” shall have the meaning ascribed to such term in Section 3(a)(9) of the Exchange Act and used in Sections 13(d) and 14(d) thereof, and shall include a “group” as defined in Section 13(d)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(kk)</w:t>
            </w:r>
          </w:p>
        </w:tc>
        <w:tc>
          <w:tcPr>
            <w:tcW w:w="8881" w:type="dxa"/>
            <w:tcBorders/>
          </w:tcPr>
          <w:p>
            <w:pPr>
              <w:pStyle w:val="TableContents"/>
              <w:bidi w:val="0"/>
              <w:spacing w:before="0" w:after="0"/>
              <w:jc w:val="left"/>
              <w:rPr/>
            </w:pPr>
            <w:r>
              <w:rPr/>
              <w:t>“</w:t>
            </w:r>
            <w:r>
              <w:rPr>
                <w:rFonts w:ascii="Times New Roman" w:hAnsi="Times New Roman"/>
                <w:b/>
                <w:i/>
                <w:sz w:val="20"/>
              </w:rPr>
              <w:t>PriorPlan</w:t>
            </w:r>
            <w:r>
              <w:rPr>
                <w:rFonts w:ascii="Times New Roman" w:hAnsi="Times New Roman"/>
                <w:sz w:val="20"/>
              </w:rPr>
              <w:t xml:space="preserve">” means the Company’s 2006 Incentive Compensation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(ll)</w:t>
            </w:r>
          </w:p>
        </w:tc>
        <w:tc>
          <w:tcPr>
            <w:tcW w:w="8881" w:type="dxa"/>
            <w:tcBorders/>
          </w:tcPr>
          <w:p>
            <w:pPr>
              <w:pStyle w:val="TableContents"/>
              <w:bidi w:val="0"/>
              <w:spacing w:before="0" w:after="0"/>
              <w:jc w:val="left"/>
              <w:rPr/>
            </w:pPr>
            <w:r>
              <w:rPr/>
              <w:t>“</w:t>
            </w:r>
            <w:r>
              <w:rPr>
                <w:rFonts w:ascii="Times New Roman" w:hAnsi="Times New Roman"/>
                <w:b/>
                <w:i/>
                <w:sz w:val="20"/>
              </w:rPr>
              <w:t>Related Entity</w:t>
            </w:r>
            <w:r>
              <w:rPr>
                <w:rFonts w:ascii="Times New Roman" w:hAnsi="Times New Roman"/>
                <w:sz w:val="20"/>
              </w:rPr>
              <w:t xml:space="preserve">”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2"/>
        <w:gridCol w:w="478"/>
        <w:gridCol w:w="8825"/>
      </w:tblGrid>
      <w:tr>
        <w:trPr/>
        <w:tc>
          <w:tcPr>
            <w:tcW w:w="902" w:type="dxa"/>
            <w:tcBorders/>
            <w:vAlign w:val="center"/>
          </w:tcPr>
          <w:p>
            <w:pPr>
              <w:pStyle w:val="TableContents"/>
              <w:bidi w:val="0"/>
              <w:spacing w:before="0" w:after="283"/>
              <w:jc w:val="left"/>
              <w:rPr/>
            </w:pPr>
            <w:r>
              <w:rPr/>
              <w:t> </w:t>
            </w:r>
          </w:p>
        </w:tc>
        <w:tc>
          <w:tcPr>
            <w:tcW w:w="478" w:type="dxa"/>
            <w:tcBorders/>
          </w:tcPr>
          <w:p>
            <w:pPr>
              <w:pStyle w:val="TableContents"/>
              <w:bidi w:val="0"/>
              <w:spacing w:before="0" w:after="283"/>
              <w:jc w:val="left"/>
              <w:rPr/>
            </w:pPr>
            <w:r>
              <w:rPr/>
              <w:t>(mm)</w:t>
            </w:r>
          </w:p>
        </w:tc>
        <w:tc>
          <w:tcPr>
            <w:tcW w:w="8825" w:type="dxa"/>
            <w:tcBorders/>
          </w:tcPr>
          <w:p>
            <w:pPr>
              <w:pStyle w:val="TableContents"/>
              <w:bidi w:val="0"/>
              <w:spacing w:before="0" w:after="0"/>
              <w:jc w:val="left"/>
              <w:rPr/>
            </w:pPr>
            <w:r>
              <w:rPr/>
              <w:t>“</w:t>
            </w:r>
            <w:r>
              <w:rPr>
                <w:rFonts w:ascii="Times New Roman" w:hAnsi="Times New Roman"/>
                <w:b/>
                <w:i/>
                <w:sz w:val="20"/>
              </w:rPr>
              <w:t>Restricted Stock</w:t>
            </w:r>
            <w:r>
              <w:rPr>
                <w:rFonts w:ascii="Times New Roman" w:hAnsi="Times New Roman"/>
                <w:sz w:val="20"/>
              </w:rPr>
              <w:t xml:space="preserve">”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(nn)</w:t>
            </w:r>
          </w:p>
        </w:tc>
        <w:tc>
          <w:tcPr>
            <w:tcW w:w="8880" w:type="dxa"/>
            <w:tcBorders/>
          </w:tcPr>
          <w:p>
            <w:pPr>
              <w:pStyle w:val="TableContents"/>
              <w:bidi w:val="0"/>
              <w:spacing w:before="0" w:after="0"/>
              <w:jc w:val="left"/>
              <w:rPr/>
            </w:pPr>
            <w:r>
              <w:rPr/>
              <w:t>“</w:t>
            </w:r>
            <w:r>
              <w:rPr>
                <w:rFonts w:ascii="Times New Roman" w:hAnsi="Times New Roman"/>
                <w:b/>
                <w:i/>
                <w:sz w:val="20"/>
              </w:rPr>
              <w:t>Restricted Stock Award</w:t>
            </w:r>
            <w:r>
              <w:rPr>
                <w:rFonts w:ascii="Times New Roman" w:hAnsi="Times New Roman"/>
                <w:sz w:val="20"/>
              </w:rPr>
              <w:t xml:space="preserve">” means an Award of Restricted Stock granted to a Participant under Section 7(d)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(oo)</w:t>
            </w:r>
          </w:p>
        </w:tc>
        <w:tc>
          <w:tcPr>
            <w:tcW w:w="8880" w:type="dxa"/>
            <w:tcBorders/>
          </w:tcPr>
          <w:p>
            <w:pPr>
              <w:pStyle w:val="TableContents"/>
              <w:bidi w:val="0"/>
              <w:spacing w:before="0" w:after="0"/>
              <w:jc w:val="left"/>
              <w:rPr/>
            </w:pPr>
            <w:r>
              <w:rPr/>
              <w:t>“</w:t>
            </w:r>
            <w:r>
              <w:rPr>
                <w:rFonts w:ascii="Times New Roman" w:hAnsi="Times New Roman"/>
                <w:b/>
                <w:i/>
                <w:sz w:val="20"/>
              </w:rPr>
              <w:t>Restricted Stock Unit</w:t>
            </w:r>
            <w:r>
              <w:rPr>
                <w:rFonts w:ascii="Times New Roman" w:hAnsi="Times New Roman"/>
                <w:sz w:val="20"/>
              </w:rPr>
              <w:t xml:space="preserve">” means a right to receive Shares, including Restricted Stock, cash measured based upon the value of Shares or a combination thereof, at the end of a specified deferral period, which right is subject to a risk of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(pp)</w:t>
            </w:r>
          </w:p>
        </w:tc>
        <w:tc>
          <w:tcPr>
            <w:tcW w:w="8880" w:type="dxa"/>
            <w:tcBorders/>
          </w:tcPr>
          <w:p>
            <w:pPr>
              <w:pStyle w:val="TableContents"/>
              <w:bidi w:val="0"/>
              <w:spacing w:before="0" w:after="0"/>
              <w:jc w:val="left"/>
              <w:rPr/>
            </w:pPr>
            <w:r>
              <w:rPr/>
              <w:t>“</w:t>
            </w:r>
            <w:r>
              <w:rPr>
                <w:rFonts w:ascii="Times New Roman" w:hAnsi="Times New Roman"/>
                <w:b/>
                <w:i/>
                <w:sz w:val="20"/>
              </w:rPr>
              <w:t>Restricted Stock Unit Award</w:t>
            </w:r>
            <w:r>
              <w:rPr>
                <w:rFonts w:ascii="Times New Roman" w:hAnsi="Times New Roman"/>
                <w:sz w:val="20"/>
              </w:rPr>
              <w:t xml:space="preserve">” means an Award of Restricted Stock Unit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(qq)</w:t>
            </w:r>
          </w:p>
        </w:tc>
        <w:tc>
          <w:tcPr>
            <w:tcW w:w="8880" w:type="dxa"/>
            <w:tcBorders/>
          </w:tcPr>
          <w:p>
            <w:pPr>
              <w:pStyle w:val="TableContents"/>
              <w:bidi w:val="0"/>
              <w:spacing w:before="0" w:after="0"/>
              <w:jc w:val="left"/>
              <w:rPr/>
            </w:pPr>
            <w:r>
              <w:rPr/>
              <w:t>“</w:t>
            </w:r>
            <w:r>
              <w:rPr>
                <w:rFonts w:ascii="Times New Roman" w:hAnsi="Times New Roman"/>
                <w:b/>
                <w:i/>
                <w:sz w:val="20"/>
              </w:rPr>
              <w:t>Rule 16b-3</w:t>
            </w:r>
            <w:r>
              <w:rPr>
                <w:rFonts w:ascii="Times New Roman" w:hAnsi="Times New Roman"/>
                <w:sz w:val="20"/>
              </w:rPr>
              <w:t xml:space="preserve">” means Rule 16b-3, as from time to time in effect and applicable to the Plan and Participants, promulgated by the Securities and Exchange Commission under Section 16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(rr)</w:t>
            </w:r>
          </w:p>
        </w:tc>
        <w:tc>
          <w:tcPr>
            <w:tcW w:w="8880" w:type="dxa"/>
            <w:tcBorders/>
          </w:tcPr>
          <w:p>
            <w:pPr>
              <w:pStyle w:val="TableContents"/>
              <w:bidi w:val="0"/>
              <w:spacing w:before="0" w:after="0"/>
              <w:jc w:val="left"/>
              <w:rPr/>
            </w:pPr>
            <w:r>
              <w:rPr/>
              <w:t>“</w:t>
            </w:r>
            <w:r>
              <w:rPr>
                <w:rFonts w:ascii="Times New Roman" w:hAnsi="Times New Roman"/>
                <w:b/>
                <w:i/>
                <w:sz w:val="20"/>
              </w:rPr>
              <w:t>Shareholder Approval Date</w:t>
            </w:r>
            <w:r>
              <w:rPr>
                <w:rFonts w:ascii="Times New Roman" w:hAnsi="Times New Roman"/>
                <w:sz w:val="20"/>
              </w:rPr>
              <w:t xml:space="preserve">” means the date on which this Plan is approved by shareholders of the Company eligible to vote in the election of directors, by a vote sufficient to meet the requirements of 422 of the Code, Rule 16b-3 under the Exchange Act and applicable requirements under the rules of the Listing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(ss)</w:t>
            </w:r>
          </w:p>
        </w:tc>
        <w:tc>
          <w:tcPr>
            <w:tcW w:w="8880" w:type="dxa"/>
            <w:tcBorders/>
          </w:tcPr>
          <w:p>
            <w:pPr>
              <w:pStyle w:val="TableContents"/>
              <w:bidi w:val="0"/>
              <w:spacing w:before="0" w:after="0"/>
              <w:jc w:val="left"/>
              <w:rPr/>
            </w:pPr>
            <w:r>
              <w:rPr/>
              <w:t>“</w:t>
            </w:r>
            <w:r>
              <w:rPr>
                <w:rFonts w:ascii="Times New Roman" w:hAnsi="Times New Roman"/>
                <w:b/>
                <w:i/>
                <w:sz w:val="20"/>
              </w:rPr>
              <w:t>Shares</w:t>
            </w:r>
            <w:r>
              <w:rPr>
                <w:rFonts w:ascii="Times New Roman" w:hAnsi="Times New Roman"/>
                <w:sz w:val="20"/>
              </w:rPr>
              <w:t xml:space="preserve">” means the shares of common stock of the Company, par value $.01 per share, and such other securities as may be substituted (or resubstituted) for Shares pursuant to Section 10(c)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(tt)</w:t>
            </w:r>
          </w:p>
        </w:tc>
        <w:tc>
          <w:tcPr>
            <w:tcW w:w="8880" w:type="dxa"/>
            <w:tcBorders/>
          </w:tcPr>
          <w:p>
            <w:pPr>
              <w:pStyle w:val="TableContents"/>
              <w:bidi w:val="0"/>
              <w:spacing w:before="0" w:after="0"/>
              <w:jc w:val="left"/>
              <w:rPr/>
            </w:pPr>
            <w:r>
              <w:rPr/>
              <w:t>“</w:t>
            </w:r>
            <w:r>
              <w:rPr>
                <w:rFonts w:ascii="Times New Roman" w:hAnsi="Times New Roman"/>
                <w:b/>
                <w:i/>
                <w:sz w:val="20"/>
              </w:rPr>
              <w:t>Stock Appreciation Right</w:t>
            </w:r>
            <w:r>
              <w:rPr>
                <w:rFonts w:ascii="Times New Roman" w:hAnsi="Times New Roman"/>
                <w:sz w:val="20"/>
              </w:rPr>
              <w:t xml:space="preserve">” means a right granted to a Participant under Section 7(c)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(uu)</w:t>
            </w:r>
          </w:p>
        </w:tc>
        <w:tc>
          <w:tcPr>
            <w:tcW w:w="8880" w:type="dxa"/>
            <w:tcBorders/>
          </w:tcPr>
          <w:p>
            <w:pPr>
              <w:pStyle w:val="TableContents"/>
              <w:bidi w:val="0"/>
              <w:spacing w:before="0" w:after="0"/>
              <w:jc w:val="left"/>
              <w:rPr/>
            </w:pPr>
            <w:r>
              <w:rPr/>
              <w:t>“</w:t>
            </w:r>
            <w:r>
              <w:rPr>
                <w:rFonts w:ascii="Times New Roman" w:hAnsi="Times New Roman"/>
                <w:b/>
                <w:i/>
                <w:sz w:val="20"/>
              </w:rPr>
              <w:t>Subsidiary</w:t>
            </w:r>
            <w:r>
              <w:rPr>
                <w:rFonts w:ascii="Times New Roman" w:hAnsi="Times New Roman"/>
                <w:sz w:val="20"/>
              </w:rPr>
              <w:t xml:space="preserve">”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(vv)</w:t>
            </w:r>
          </w:p>
        </w:tc>
        <w:tc>
          <w:tcPr>
            <w:tcW w:w="8880" w:type="dxa"/>
            <w:tcBorders/>
          </w:tcPr>
          <w:p>
            <w:pPr>
              <w:pStyle w:val="TableContents"/>
              <w:bidi w:val="0"/>
              <w:spacing w:before="0" w:after="0"/>
              <w:jc w:val="left"/>
              <w:rPr/>
            </w:pPr>
            <w:r>
              <w:rPr/>
              <w:t>“</w:t>
            </w:r>
            <w:r>
              <w:rPr>
                <w:rFonts w:ascii="Times New Roman" w:hAnsi="Times New Roman"/>
                <w:b/>
                <w:i/>
                <w:sz w:val="20"/>
              </w:rPr>
              <w:t>Substitute Awards</w:t>
            </w:r>
            <w:r>
              <w:rPr>
                <w:rFonts w:ascii="Times New Roman" w:hAnsi="Times New Roman"/>
                <w:sz w:val="20"/>
              </w:rPr>
              <w:t xml:space="preserve">”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25" w:name="tx76201_101"/>
            <w:bookmarkEnd w:id="225"/>
            <w:r>
              <w:rPr>
                <w:b/>
                <w:i/>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Administration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Authority of the Committee</w:t>
            </w:r>
            <w:r>
              <w:rPr>
                <w:rFonts w:ascii="Times New Roman" w:hAnsi="Times New Roman"/>
                <w:sz w:val="20"/>
              </w:rPr>
              <w:t xml:space="preserve">. The Plan shall be administered by the Committee, except to the extent the Board elects to 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Manner of Exercise of Committee Authority</w:t>
            </w:r>
            <w:r>
              <w:rPr>
                <w:rFonts w:ascii="Times New Roman" w:hAnsi="Times New Roman"/>
                <w:sz w:val="20"/>
              </w:rPr>
              <w:t xml:space="preserve">. The Committee, and not the Board, shall exercise sole and exclusive discretion (i) on any matter relating to a Participant then subject to Section 16 of the Exchange Act with respect to the Company to the extent necessary in order that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by such Participant shall be exempt under Rule 16b-3 under the Exchange Act; and (ii)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The Committee may appoint agents to assist it in administering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of Liability</w:t>
            </w:r>
            <w:r>
              <w:rPr>
                <w:rFonts w:ascii="Times New Roman" w:hAnsi="Times New Roman"/>
                <w:sz w:val="20"/>
              </w:rPr>
              <w:t xml:space="preserve">. The Committee and the Board,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26" w:name="tx76201_102"/>
            <w:bookmarkEnd w:id="226"/>
            <w:r>
              <w:rPr>
                <w:b/>
                <w:i/>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Shares Subject to Plan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Overall Number of Shares Available for Delivery Under Plan</w:t>
            </w:r>
            <w:r>
              <w:rPr>
                <w:rFonts w:ascii="Times New Roman" w:hAnsi="Times New Roman"/>
                <w:sz w:val="20"/>
              </w:rPr>
              <w:t xml:space="preserve">. Subject to adjustment as provided in Section 10(c) hereof, the aggregate number of Shares reserved and available for delivery under the Plan shall be equal to the sum of (i)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of stock for every one Share actually issued in connection with such Full Value Award. Each Share issued in respect of Options and SARs shall be counted against the share limit as one Share. Any Shares delivered under the Plan may consist, in whole or in part, of authorized and unissued shares or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Application of Limitation to Grants of Award</w:t>
            </w:r>
            <w:r>
              <w:rPr>
                <w:rFonts w:ascii="Times New Roman" w:hAnsi="Times New Roman"/>
                <w:sz w:val="20"/>
              </w:rPr>
              <w:t xml:space="preserve">. No Award may be granted if the number of Shares that would be counted 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Availability of Shares Not Delivered under Awards and Adjustments to Limits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for each Share subject to such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Value Award, and such number of credited Shares may again be made available for Awards under the Plan, subject to Section 4(c)(iv)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4(c) to the contrary but subject to adjustment as provided in Section 10(c) hereof, the maximum aggregate number of Shares that may be delivered under the Plan as a result of the exercise of the Incentive Stock Options shall be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In no event shall any Incentive Stock Options be granted under the Plan after the tenth anniversary of the date on which the Board adopts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 to the contrary, but subject to adjustment as provided in Section 10(c)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 Further Awards Under Prior Plan</w:t>
            </w:r>
            <w:r>
              <w:rPr>
                <w:rFonts w:ascii="Times New Roman" w:hAnsi="Times New Roman"/>
                <w:sz w:val="20"/>
              </w:rPr>
              <w:t xml:space="preserve">. No further awards shall be made under the Prior Plan after July 31,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7" w:name="tx76201_103"/>
            <w:bookmarkEnd w:id="227"/>
            <w:r>
              <w:rPr>
                <w:b/>
                <w:i/>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Eligibility</w:t>
            </w:r>
            <w:r>
              <w:rPr>
                <w:rFonts w:ascii="Times New Roman" w:hAnsi="Times New Roman"/>
                <w:b/>
                <w:strike/>
                <w:color w:val="FF0000"/>
                <w:sz w:val="20"/>
              </w:rPr>
              <w:t>; Per-Participant Limitations</w:t>
            </w:r>
            <w:r>
              <w:rPr>
                <w:rFonts w:ascii="Times New Roman" w:hAnsi="Times New Roman"/>
                <w:sz w:val="20"/>
              </w:rPr>
              <w:t xml:space="preserve">. Awards may be granted under the Plan only to Eligible Persons. </w:t>
            </w:r>
            <w:r>
              <w:rPr>
                <w:rFonts w:ascii="Times New Roman" w:hAnsi="Times New Roman"/>
                <w:b/>
                <w:strike/>
                <w:color w:val="FF0000"/>
                <w:sz w:val="20"/>
              </w:rPr>
              <w:t>Subject to adjustment as provided in Section 10(c) of this Plan, in any fiscal year of the Company during any part of which the Plan is in effect, no Participant may be granted (i) Options and/or Stock Appreciation Rights with respect to more than 1,000,000 Shares or (ii) Performance Shares, with respect to more than 1,000,000 Shares. In addition, the maximum dollar value payable to any one Participant with respect to Performance Units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r>
              <w:rPr>
                <w:rFonts w:ascii="Times New Roman" w:hAnsi="Times New Roman"/>
                <w:color w:val="FF0000"/>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8" w:name="tx76201_104"/>
            <w:bookmarkEnd w:id="228"/>
            <w:r>
              <w:rPr>
                <w:b/>
                <w:i/>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Vesting Limitations</w:t>
            </w:r>
            <w:r>
              <w:rPr>
                <w:rFonts w:ascii="Times New Roman" w:hAnsi="Times New Roman"/>
                <w:sz w:val="20"/>
              </w:rPr>
              <w:t xml:space="preserve">. Notwithstanding any other provision of the Plan to the contrary, but subject to Section 9 of the Plan, Awards granted under the Plan shall vest no earlier than the first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9" w:name="tx76201_105"/>
            <w:bookmarkEnd w:id="229"/>
            <w:r>
              <w:rPr>
                <w:b/>
                <w:i/>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Specific Terms of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Awards may be granted on the terms and conditions set forth in this Section 7. In addition, the Committee may impose on any 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Options</w:t>
            </w:r>
            <w:r>
              <w:rPr>
                <w:rFonts w:ascii="Times New Roman" w:hAnsi="Times New Roman"/>
                <w:sz w:val="20"/>
              </w:rPr>
              <w:t xml:space="preserve">. The Committee is authorized to grant Options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Exercise Price</w:t>
            </w:r>
            <w:r>
              <w:rPr>
                <w:rFonts w:ascii="Times New Roman" w:hAnsi="Times New Roman"/>
                <w:sz w:val="20"/>
              </w:rPr>
              <w:t xml:space="preserve">. Other than in connection with Substitute Awards, the exercise price per Share 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Time and Method of Exercise</w:t>
            </w:r>
            <w:r>
              <w:rPr>
                <w:rFonts w:ascii="Times New Roman" w:hAnsi="Times New Roman"/>
                <w:sz w:val="20"/>
              </w:rPr>
              <w:t xml:space="preserve">. Subject to the maximum term of any Option set forth in Section 8(b), the 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Form of Settlement</w:t>
            </w:r>
            <w:r>
              <w:rPr>
                <w:rFonts w:ascii="Times New Roman" w:hAnsi="Times New Roman"/>
                <w:sz w:val="20"/>
              </w:rPr>
              <w:t xml:space="preserve">. The Committee may, in its sole discretion, provide that the Shares to be issued upon exercise of an Option shall be in the form of Restricted Stock or other similar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Incentive Stock Options</w:t>
            </w:r>
            <w:r>
              <w:rPr>
                <w:rFonts w:ascii="Times New Roman" w:hAnsi="Times New Roman"/>
                <w:sz w:val="20"/>
              </w:rPr>
              <w:t xml:space="preserve">. The terms of any Incentive Stock Option granted under the Plan shall 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Stock Appreciation Rights</w:t>
            </w:r>
            <w:r>
              <w:rPr>
                <w:rFonts w:ascii="Times New Roman" w:hAnsi="Times New Roman"/>
                <w:sz w:val="20"/>
              </w:rPr>
              <w:t xml:space="preserve">. The Committee may grant Stock Appreciation Rights to any Eligible Person (a “Freestanding Stock Appreciation Right”), upon such terms and conditions as the Committee may establish in its sole discretion, not inconsistent with the provisions of the Plan,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Right to Payment</w:t>
            </w:r>
            <w:r>
              <w:rPr>
                <w:rFonts w:ascii="Times New Roman" w:hAnsi="Times New Roman"/>
                <w:sz w:val="20"/>
              </w:rPr>
              <w:t xml:space="preserve">. A Stock Appreciation Right shall confer on the Participant to whom it is granted a right to receive, upon exercise thereof, the excess of (A) the Fair Market Value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pPr>
            <w:r>
              <w:rPr/>
              <w:t> </w:t>
            </w:r>
          </w:p>
        </w:tc>
        <w:tc>
          <w:tcPr>
            <w:tcW w:w="8372" w:type="dxa"/>
            <w:tcBorders/>
          </w:tcPr>
          <w:p>
            <w:pPr>
              <w:pStyle w:val="TableContents"/>
              <w:bidi w:val="0"/>
              <w:spacing w:before="0" w:after="283"/>
              <w:jc w:val="left"/>
              <w:rPr/>
            </w:pPr>
            <w:r>
              <w:rPr/>
              <w:t xml:space="preserve">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10(c),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Terms</w:t>
            </w:r>
            <w:r>
              <w:rPr>
                <w:rFonts w:ascii="Times New Roman" w:hAnsi="Times New Roman"/>
                <w:sz w:val="20"/>
              </w:rPr>
              <w:t xml:space="preserve">. Subject to the maximum term of any Stock Appreciation Right set forth in Section 8(b),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The Committee is authorized to grant Restricted Stock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Grant and Restrictions</w:t>
            </w:r>
            <w:r>
              <w:rPr>
                <w:rFonts w:ascii="Times New Roman" w:hAnsi="Times New Roman"/>
                <w:sz w:val="20"/>
              </w:rPr>
              <w:t xml:space="preserve">. Restricted Stock Awards shall be subject to such restrictions on transferability, risk of 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10(b) below and except as otherwise provided in the Award Agreement, the Restricted Stock may not be sold, transferred, pledged, hypothecated, margined or otherwise encumbered by the Participant or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Certificates for Stock</w:t>
            </w:r>
            <w:r>
              <w:rPr>
                <w:rFonts w:ascii="Times New Roman" w:hAnsi="Times New Roman"/>
                <w:sz w:val="20"/>
              </w:rPr>
              <w:t xml:space="preserve">.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Dividends and Splits</w:t>
            </w:r>
            <w:r>
              <w:rPr>
                <w:rFonts w:ascii="Times New Roman" w:hAnsi="Times New Roman"/>
                <w:sz w:val="20"/>
              </w:rPr>
              <w:t xml:space="preserve">. As a condition to the grant of a Restricted Stock Award, the Committee may require or permit a Participant to elect that any cash dividends paid on a Share of Restricted Stock be automatically reinvested in additional Shares of Restricted Stock or applied to the purchase of additional Awards under the Plan, or except as otherwise provided in Section 7(h)(v)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Notwithstanding any provision herein to the contrary,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e.</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Deferred Award</w:t>
            </w:r>
            <w:r>
              <w:rPr>
                <w:rFonts w:ascii="Times New Roman" w:hAnsi="Times New Roman"/>
                <w:sz w:val="20"/>
              </w:rPr>
              <w:t xml:space="preserve">. The Committee is authorized to grant “Deferred Awards,” which include Deferred Stock and Restricted Stock Unit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and Restrictions</w:t>
            </w:r>
            <w:r>
              <w:rPr>
                <w:rFonts w:ascii="Times New Roman" w:hAnsi="Times New Roman"/>
                <w:sz w:val="20"/>
              </w:rPr>
              <w:t xml:space="preserve">. Satisfaction of a Deferred Award shall occur upon expiration of the deferral period 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Unless otherwise determined by the Committee at the date of grant, and except as otherwise provided in Section 7(h)(v) hereof, any Dividend Equivalents that are granted with respect to any Deferred Award shall be either (A) paid with respect to such Deferred Award at the dividend payment date in cash or in Shares of unrestricted stock having a Fair Market Value equal to the amount of such dividends, but only to the extent such Deferred Award is then vested,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(subject to the limitation described above),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Bonus Stock and Awards in Lieu of Obligations</w:t>
            </w:r>
            <w:r>
              <w:rPr>
                <w:rFonts w:ascii="Times New Roman" w:hAnsi="Times New Roman"/>
                <w:sz w:val="20"/>
              </w:rPr>
              <w:t xml:space="preserve">. The Committee is authorized to grant Shares to any 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The Committee is authorized to grant 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Section 7(h)(v)hereof,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provided that Dividend Equivalents granted in connection with another Award shall not be paid or distributed prior to the vesting date of the related Award (or portion thereof giving rise to the Dividend Equivalent).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h.</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Performance Awards</w:t>
            </w:r>
            <w:r>
              <w:rPr>
                <w:rFonts w:ascii="Times New Roman" w:hAnsi="Times New Roman"/>
                <w:sz w:val="20"/>
              </w:rPr>
              <w:t>. The Committee is authorized to grant Performance Awards to any Eligible Person payable in cash, Shares, or other Awards, on terms and conditions established by the Committee.</w:t>
            </w:r>
            <w:r>
              <w:rPr>
                <w:rFonts w:ascii="Times New Roman" w:hAnsi="Times New Roman"/>
                <w:color w:val="0000FF"/>
                <w:sz w:val="20"/>
                <w:u w:val="single"/>
                <w:bdr w:val="double" w:sz="2" w:space="1" w:color="000000"/>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criteria to be achieved during any Performance Period and the length of the Performance Period shall be determined by the Committee upon the grant of 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Performance Award. The Committee shall determine the circumstances in which Awards shall be paid, if at all, or forfeited in the event of termination of Continuous Service by the Participant prior to the end of a Performance Period or settlement of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Except as</w:t>
            </w:r>
            <w:r>
              <w:rPr>
                <w:rFonts w:ascii="Times New Roman" w:hAnsi="Times New Roman"/>
                <w:strike/>
                <w:color w:val="FF0000"/>
                <w:sz w:val="20"/>
              </w:rPr>
              <w:t>-</w:t>
            </w:r>
            <w:r>
              <w:rPr>
                <w:rFonts w:ascii="Times New Roman" w:hAnsi="Times New Roman"/>
                <w:sz w:val="20"/>
              </w:rPr>
              <w:t xml:space="preserve">may be provided in an Award Agreement, Performance Awards will be distributed or settled only after the end of the relevant Performance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goals to be achieved for each Performance Period shall be conclusively determined by the Committee and may be based upon any criteria that the Committee, in its sole discretion, shall determine should be used for that purpose. Achievement of performance goals in respect of Performance Awards shall generally be measured over a Performance Period of at least 12 months and not longer than 5 years, as specified by the Committee. Generally, performance goals shall be established within 90 days after the beginning of any Performance Period applicable to Performance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Committee will determine, by resolution or other appropriate action, whether the performance criteria and any other material terms previously established by the Committee or set forth in the Plan have been satisfied. The amount of the Award to be distributed shall be conclusively determined by the Committee. Except as otherwise specified by the Committee,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deemed advisable by the Committee. The Committee may, in its discretion, reduce the amount of a settlement otherwise to be made in connection with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Awards may be paid in a lump sum or in installments following the close of the Performance Period or, in accordance with procedures established by the Committee, on a deferred basis in a manner that does not violate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Stock-Based Awards</w:t>
            </w:r>
            <w:r>
              <w:rPr>
                <w:rFonts w:ascii="Times New Roman" w:hAnsi="Times New Roman"/>
                <w:sz w:val="20"/>
              </w:rPr>
              <w:t xml:space="preserve">. The Committee is authorized, subject to limitations under applicable law, to 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Section 7(h)(v)hereof,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30" w:name="tx76201_106"/>
            <w:bookmarkEnd w:id="230"/>
            <w:r>
              <w:rPr>
                <w:b/>
                <w:i/>
              </w:rPr>
              <w:t>8.</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i/>
                <w:sz w:val="20"/>
              </w:rPr>
              <w:t>Certain Provisions Applicable to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Stand-Alone, Additional, Tandem, and Substitute Awards</w:t>
            </w:r>
            <w:r>
              <w:rPr>
                <w:rFonts w:ascii="Times New Roman" w:hAnsi="Times New Roman"/>
                <w:sz w:val="20"/>
              </w:rPr>
              <w:t xml:space="preserve">. Awards granted under the Plan may, in the 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Term of Awards</w:t>
            </w:r>
            <w:r>
              <w:rPr>
                <w:rFonts w:ascii="Times New Roman" w:hAnsi="Times New Roman"/>
                <w:sz w:val="20"/>
              </w:rPr>
              <w:t xml:space="preserve">. The term of each Award shall be for such period as may be determined by the Committee; provided that in no event shall the term of any Option or Stock Appreciation Right exceed a period of ten years (or in the case of an Incentive Stock Option such shorter term as may be required under Section 422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b/>
                <w:i/>
              </w:rPr>
            </w:pPr>
            <w:r>
              <w:rPr>
                <w:b/>
                <w:i/>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Form and Timing of Payment Under Awards; Deferrals</w:t>
            </w:r>
            <w:r>
              <w:rPr>
                <w:rFonts w:ascii="Times New Roman" w:hAnsi="Times New Roman"/>
                <w:sz w:val="20"/>
              </w:rPr>
              <w:t xml:space="preserve">. Subject to the terms of the Plan and any applicable 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10(e)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Exemptions from Section</w:t>
            </w:r>
            <w:r>
              <w:rPr>
                <w:rFonts w:ascii="Times New Roman" w:hAnsi="Times New Roman"/>
                <w:sz w:val="20"/>
              </w:rPr>
              <w:t> </w:t>
            </w:r>
            <w:r>
              <w:rPr>
                <w:rFonts w:ascii="Times New Roman" w:hAnsi="Times New Roman"/>
                <w:b/>
                <w:i/>
                <w:sz w:val="20"/>
              </w:rPr>
              <w:t>16(b) Liability</w:t>
            </w:r>
            <w:r>
              <w:rPr>
                <w:rFonts w:ascii="Times New Roman" w:hAnsi="Times New Roman"/>
                <w:sz w:val="20"/>
              </w:rPr>
              <w:t xml:space="preserve">.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The following provisions shall apply to any Award that is or may potentially be subject to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Award Agreement for any Award that the Committee reasonably determines to constitute a “non-qualified deferred compensation plan” under Section 409A of the Code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w:t>
            </w:r>
            <w:r>
              <w:rPr/>
              <w:t xml:space="preserve">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Award constitutes a Section 409A Plan, then the Award shall be subject to the following additional requirements, if and to the extent required to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or schedule for any payment of the deferred compensation may not be accelerated, except to the extent provided in applicable Treasury Regulations or other applicable guidance issued by the Internal Revenue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elections with respect to the deferral of such compensation or the time and form of distribution of such deferred compensation shall comply with the requirements of Section 409A(a)(4)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D.</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Participant who is “specified employee”, a distribution on account of a “separation from service” may not be made before the date which is six months after the date of the Participant’s “separation from service” (or, if earlier, the date of the Participant’s death).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Clawback of Certain Compensation and Benefits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7"/>
        <w:gridCol w:w="8368"/>
      </w:tblGrid>
      <w:tr>
        <w:trPr/>
        <w:tc>
          <w:tcPr>
            <w:tcW w:w="1837" w:type="dxa"/>
            <w:tcBorders/>
            <w:vAlign w:val="center"/>
          </w:tcPr>
          <w:p>
            <w:pPr>
              <w:pStyle w:val="TableContents"/>
              <w:bidi w:val="0"/>
              <w:spacing w:before="0" w:after="283"/>
              <w:jc w:val="left"/>
              <w:rPr/>
            </w:pPr>
            <w:r>
              <w:rPr/>
              <w:t> </w:t>
            </w:r>
          </w:p>
        </w:tc>
        <w:tc>
          <w:tcPr>
            <w:tcW w:w="8368" w:type="dxa"/>
            <w:tcBorders/>
          </w:tcPr>
          <w:p>
            <w:pPr>
              <w:pStyle w:val="TableContents"/>
              <w:bidi w:val="0"/>
              <w:spacing w:before="0" w:after="283"/>
              <w:jc w:val="left"/>
              <w:rPr/>
            </w:pPr>
            <w:r>
              <w:rPr/>
              <w:t>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w:t>
            </w:r>
            <w:r>
              <w:rPr>
                <w:strike/>
                <w:color w:val="FF0000"/>
              </w:rPr>
              <w:t>s</w:t>
            </w:r>
            <w:r>
              <w:rPr/>
              <w:t xml:space="preserve">) may be unilaterally amended by the Company, without the Participant’s consent, to the extent that the Company in its discretion determines to be necessary or appropriate to comply with any Clawback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1" w:name="tx76201_107"/>
            <w:bookmarkEnd w:id="231"/>
            <w:r>
              <w:rPr>
                <w:b/>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 in Control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Effect of “Change in Control”</w:t>
            </w:r>
            <w:r>
              <w:rPr>
                <w:rFonts w:ascii="Times New Roman" w:hAnsi="Times New Roman"/>
                <w:sz w:val="20"/>
              </w:rPr>
              <w:t xml:space="preserve">. Unless otherwise provided in any employment or other agreement between the 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9(a)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in Control. Each Option that vests pursuant to this Section 9(a) shall be immediately cancelled in exchange for cash payable by the Company for each Share subject to the cancelled Option equal to the amount, if any, by which the Redemption Price Per Share exceeds the exercise price per Share of the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 of “Change in Control”</w:t>
            </w:r>
            <w:r>
              <w:rPr>
                <w:rFonts w:ascii="Times New Roman" w:hAnsi="Times New Roman"/>
                <w:sz w:val="20"/>
              </w:rPr>
              <w:t xml:space="preserve">. Unless otherwise specified in any employment or other agreement for services between the Participant and the Company or any Subsidiary, or in an Award Agreement, a “Change in Control” shall mean the occurrence of any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3"/>
        <w:gridCol w:w="8269"/>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the shareholders of the Company of a complete liquidation or dissolution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2" w:name="tx76201_108"/>
            <w:bookmarkEnd w:id="232"/>
            <w:r>
              <w:rPr>
                <w:b/>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 Provisions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Compliance With Legal and Other Requirements</w:t>
            </w:r>
            <w:r>
              <w:rPr>
                <w:rFonts w:ascii="Times New Roman" w:hAnsi="Times New Roman"/>
                <w:sz w:val="20"/>
              </w:rPr>
              <w:t xml:space="preserve">.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Limits on Transferability; Beneficiaries</w:t>
            </w:r>
            <w:r>
              <w:rPr>
                <w:rFonts w:ascii="Times New Roman" w:hAnsi="Times New Roman"/>
                <w:sz w:val="20"/>
              </w:rPr>
              <w:t xml:space="preserve">. No Award or other right or interest granted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 xml:space="preserve">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1"/>
        <w:gridCol w:w="8370"/>
      </w:tblGrid>
      <w:tr>
        <w:trPr/>
        <w:tc>
          <w:tcPr>
            <w:tcW w:w="1324"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to Awards</w:t>
            </w:r>
            <w:r>
              <w:rPr>
                <w:rFonts w:ascii="Times New Roman" w:hAnsi="Times New Roman"/>
                <w:sz w:val="20"/>
              </w:rPr>
              <w:t xml:space="preserve">.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in Case of Certain Transactions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merger, consolidation or other reorganization in which the Company does not survive, or in the event of any Change in Control (and subject to the provisions of Section 9of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42"/>
        <w:gridCol w:w="7963"/>
      </w:tblGrid>
      <w:tr>
        <w:trPr/>
        <w:tc>
          <w:tcPr>
            <w:tcW w:w="2242" w:type="dxa"/>
            <w:tcBorders/>
            <w:vAlign w:val="center"/>
          </w:tcPr>
          <w:p>
            <w:pPr>
              <w:pStyle w:val="TableContents"/>
              <w:bidi w:val="0"/>
              <w:spacing w:before="0" w:after="283"/>
              <w:jc w:val="left"/>
              <w:rPr/>
            </w:pPr>
            <w:r>
              <w:rPr/>
              <w:t> </w:t>
            </w:r>
          </w:p>
        </w:tc>
        <w:tc>
          <w:tcPr>
            <w:tcW w:w="7963" w:type="dxa"/>
            <w:tcBorders/>
          </w:tcPr>
          <w:p>
            <w:pPr>
              <w:pStyle w:val="TableContents"/>
              <w:bidi w:val="0"/>
              <w:spacing w:before="0" w:after="283"/>
              <w:jc w:val="left"/>
              <w:rPr/>
            </w:pPr>
            <w:r>
              <w:rPr/>
              <w:t xml:space="preserve">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his/her exercise of any Awards upon the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10(c)(ii),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Adjustments</w:t>
            </w:r>
            <w:r>
              <w:rPr>
                <w:rFonts w:ascii="Times New Roman" w:hAnsi="Times New Roman"/>
                <w:sz w:val="20"/>
              </w:rPr>
              <w:t xml:space="preserve">. The Committee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Agreements</w:t>
            </w:r>
            <w:r>
              <w:rPr>
                <w:rFonts w:ascii="Times New Roman" w:hAnsi="Times New Roman"/>
                <w:sz w:val="20"/>
              </w:rPr>
              <w:t xml:space="preserve">. Each Award Agreement shall either be (i) in writing in a form approved by the Committee and 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Taxes</w:t>
            </w:r>
            <w:r>
              <w:rPr>
                <w:rFonts w:ascii="Times New Roman" w:hAnsi="Times New Roman"/>
                <w:sz w:val="20"/>
              </w:rPr>
              <w:t xml:space="preserve">. The Company and any Related Entity are authorized to withhold from any Award granted, any payment relating to an Award under the Plan, including from a distribution of Shares,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Changes to the Plan and Awards</w:t>
            </w:r>
            <w:r>
              <w:rPr>
                <w:rFonts w:ascii="Times New Roman" w:hAnsi="Times New Roman"/>
                <w:sz w:val="20"/>
              </w:rPr>
              <w:t xml:space="preserve">. The Board may amend, alter, suspend, discontinue or terminate the Plan, or 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Rights Conferred Under Plan</w:t>
            </w:r>
            <w:r>
              <w:rPr>
                <w:rFonts w:ascii="Times New Roman" w:hAnsi="Times New Roman"/>
                <w:sz w:val="20"/>
              </w:rPr>
              <w:t xml:space="preserve">. Neither the Plan nor any action taken hereunder or under 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Unfunded Status of Awards; Creation of Trusts</w:t>
            </w:r>
            <w:r>
              <w:rPr>
                <w:rFonts w:ascii="Times New Roman" w:hAnsi="Times New Roman"/>
                <w:sz w:val="20"/>
              </w:rPr>
              <w:t xml:space="preserve">. The Plan is intended to constitute an “unfunded” plan for 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Nonexclusivity of the Plan</w:t>
            </w:r>
            <w:r>
              <w:rPr>
                <w:rFonts w:ascii="Times New Roman" w:hAnsi="Times New Roman"/>
                <w:sz w:val="20"/>
              </w:rPr>
              <w:t xml:space="preserve">. Neither the adoption of the Plan by the Board nor its submission to the shareholders of the Company for approval shall be construed as creating any limitations on the power of the Board or a committee thereof to adopt such other incentive arrangements as it may deem desirable.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j.</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Payments in the Event of Forfeitures; Fractional Shares</w:t>
            </w:r>
            <w:r>
              <w:rPr>
                <w:rFonts w:ascii="Times New Roman" w:hAnsi="Times New Roman"/>
                <w:sz w:val="20"/>
              </w:rPr>
              <w:t xml:space="preserve">. Unless otherwise determined by the 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k.</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Governing Law</w:t>
            </w:r>
            <w:r>
              <w:rPr>
                <w:rFonts w:ascii="Times New Roman" w:hAnsi="Times New Roman"/>
                <w:sz w:val="20"/>
              </w:rPr>
              <w:t xml:space="preserve">. Except as otherwise provided in any Award Agreement, the validity, construction and effect of the Plan, any rules and regulations under the Plan, and any Award Agreement shall be determined in accordance with the laws of the State of Delaware without giving effect to principles of conflict of laws, and applicable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l.</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Non-U.S. Laws</w:t>
            </w:r>
            <w:r>
              <w:rPr>
                <w:rFonts w:ascii="Times New Roman" w:hAnsi="Times New Roman"/>
                <w:sz w:val="20"/>
              </w:rPr>
              <w:t xml:space="preserve">. The Committee shall have the authority to adopt such modifications, procedures, and 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m.</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Plan Effective Date and Shareholder Approval; Termination of Plan</w:t>
            </w:r>
            <w:r>
              <w:rPr>
                <w:rFonts w:ascii="Times New Roman" w:hAnsi="Times New Roman"/>
                <w:sz w:val="20"/>
              </w:rPr>
              <w:t xml:space="preserve">. The Plan shall </w:t>
            </w:r>
            <w:r>
              <w:rPr>
                <w:rFonts w:ascii="Times New Roman" w:hAnsi="Times New Roman"/>
                <w:sz w:val="20"/>
                <w:u w:val="single"/>
              </w:rPr>
              <w:t>become effective on the Effective Date</w:t>
            </w:r>
            <w:r>
              <w:rPr>
                <w:rFonts w:ascii="Times New Roman" w:hAnsi="Times New Roman"/>
                <w:sz w:val="20"/>
              </w:rPr>
              <w:t xml:space="preserve"> which is the date the Plan was approved by shareholders of the Company eligible to vote in the election of directors, by a vote sufficient to meet the requirements of Code Section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n.</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Construction and Interpretation</w:t>
            </w:r>
            <w:r>
              <w:rPr>
                <w:rFonts w:ascii="Times New Roman" w:hAnsi="Times New Roman"/>
                <w:sz w:val="20"/>
              </w:rPr>
              <w:t xml:space="preserve">. Whenever used herein, nouns in the singular shall include the plural, and the masculine pronoun shall include the feminine gender. Headings of Articles and Sections hereof are inserted for convenience and reference and constitute no part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o.</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Severability</w:t>
            </w:r>
            <w:r>
              <w:rPr>
                <w:rFonts w:ascii="Times New Roman" w:hAnsi="Times New Roman"/>
                <w:sz w:val="20"/>
              </w:rPr>
              <w:t xml:space="preserve">.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986"/>
        <w:gridCol w:w="121"/>
        <w:gridCol w:w="5098"/>
      </w:tblGrid>
      <w:tr>
        <w:trPr/>
        <w:tc>
          <w:tcPr>
            <w:tcW w:w="49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98" w:type="dxa"/>
            <w:tcBorders/>
            <w:vAlign w:val="center"/>
          </w:tcPr>
          <w:p>
            <w:pPr>
              <w:pStyle w:val="TableContents"/>
              <w:bidi w:val="0"/>
              <w:spacing w:before="0" w:after="283"/>
              <w:jc w:val="left"/>
              <w:rPr>
                <w:sz w:val="4"/>
                <w:szCs w:val="4"/>
              </w:rPr>
            </w:pPr>
            <w:r>
              <w:rPr>
                <w:sz w:val="4"/>
                <w:szCs w:val="4"/>
              </w:rPr>
            </w:r>
          </w:p>
        </w:tc>
      </w:tr>
      <w:tr>
        <w:trPr/>
        <w:tc>
          <w:tcPr>
            <w:tcW w:w="49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Notice of Special Meeting of</w:t>
            </w:r>
          </w:p>
          <w:p>
            <w:pPr>
              <w:pStyle w:val="TableContents"/>
              <w:bidi w:val="0"/>
              <w:spacing w:before="0" w:after="0"/>
              <w:jc w:val="left"/>
              <w:rPr>
                <w:rFonts w:ascii="Times New Roman" w:hAnsi="Times New Roman"/>
                <w:b/>
                <w:sz w:val="20"/>
              </w:rPr>
            </w:pPr>
            <w:r>
              <w:rPr>
                <w:rFonts w:ascii="Times New Roman" w:hAnsi="Times New Roman"/>
                <w:b/>
                <w:sz w:val="20"/>
              </w:rPr>
              <w:t>Stockholders and Proxy Statement</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2026</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A.M. Eastern Time</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555 Turnpike Street</w:t>
            </w:r>
          </w:p>
          <w:p>
            <w:pPr>
              <w:pStyle w:val="TableContents"/>
              <w:bidi w:val="0"/>
              <w:spacing w:before="0" w:after="0"/>
              <w:jc w:val="left"/>
              <w:rPr>
                <w:rFonts w:ascii="Times New Roman" w:hAnsi="Times New Roman"/>
                <w:b/>
                <w:sz w:val="20"/>
              </w:rPr>
            </w:pPr>
            <w:r>
              <w:rPr>
                <w:rFonts w:ascii="Times New Roman" w:hAnsi="Times New Roman"/>
                <w:b/>
                <w:sz w:val="20"/>
              </w:rPr>
              <w:t>Canton, Massachusetts 02021</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Please sign your proxy and</w:t>
            </w:r>
          </w:p>
          <w:p>
            <w:pPr>
              <w:pStyle w:val="TableContents"/>
              <w:bidi w:val="0"/>
              <w:spacing w:before="0" w:after="0"/>
              <w:jc w:val="left"/>
              <w:rPr>
                <w:rFonts w:ascii="Times New Roman" w:hAnsi="Times New Roman"/>
                <w:b/>
                <w:sz w:val="20"/>
              </w:rPr>
            </w:pPr>
            <w:r>
              <w:rPr>
                <w:rFonts w:ascii="Times New Roman" w:hAnsi="Times New Roman"/>
                <w:b/>
                <w:sz w:val="20"/>
              </w:rPr>
              <w:t>return it in the enclosed</w:t>
            </w:r>
          </w:p>
          <w:p>
            <w:pPr>
              <w:pStyle w:val="TableContents"/>
              <w:bidi w:val="0"/>
              <w:spacing w:before="0" w:after="0"/>
              <w:jc w:val="left"/>
              <w:rPr>
                <w:rFonts w:ascii="Times New Roman" w:hAnsi="Times New Roman"/>
                <w:b/>
                <w:sz w:val="20"/>
              </w:rPr>
            </w:pPr>
            <w:r>
              <w:rPr>
                <w:rFonts w:ascii="Times New Roman" w:hAnsi="Times New Roman"/>
                <w:b/>
                <w:sz w:val="20"/>
              </w:rPr>
              <w:t>postage-paid envelope so</w:t>
            </w:r>
          </w:p>
          <w:p>
            <w:pPr>
              <w:pStyle w:val="TableContents"/>
              <w:bidi w:val="0"/>
              <w:spacing w:before="0" w:after="0"/>
              <w:jc w:val="left"/>
              <w:rPr>
                <w:rFonts w:ascii="Times New Roman" w:hAnsi="Times New Roman"/>
                <w:b/>
                <w:sz w:val="20"/>
              </w:rPr>
            </w:pPr>
            <w:r>
              <w:rPr>
                <w:rFonts w:ascii="Times New Roman" w:hAnsi="Times New Roman"/>
                <w:b/>
                <w:sz w:val="20"/>
              </w:rPr>
              <w:t>that you may be represented</w:t>
            </w:r>
          </w:p>
          <w:p>
            <w:pPr>
              <w:pStyle w:val="TableContents"/>
              <w:bidi w:val="0"/>
              <w:spacing w:before="0" w:after="20"/>
              <w:jc w:val="left"/>
              <w:rPr>
                <w:rFonts w:ascii="Times New Roman" w:hAnsi="Times New Roman"/>
                <w:b/>
                <w:sz w:val="20"/>
              </w:rPr>
            </w:pPr>
            <w:r>
              <w:rPr>
                <w:rFonts w:ascii="Times New Roman" w:hAnsi="Times New Roman"/>
                <w:b/>
                <w:sz w:val="20"/>
              </w:rPr>
              <w:t>at the Special Meeting.</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 OF STOCKHOLDERS OF </w:t>
      </w:r>
    </w:p>
    <w:p>
      <w:pPr>
        <w:pStyle w:val="TextBody"/>
        <w:bidi w:val="0"/>
        <w:spacing w:before="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center"/>
        <w:rPr>
          <w:rFonts w:ascii="Times New Roman" w:hAnsi="Times New Roman"/>
          <w:b/>
          <w:sz w:val="20"/>
        </w:rPr>
      </w:pPr>
      <w:r>
        <w:rPr>
          <w:rFonts w:ascii="Times New Roman" w:hAnsi="Times New Roman"/>
          <w:b/>
          <w:sz w:val="20"/>
        </w:rPr>
        <w:t xml:space="preserve">GO GREEN </w:t>
      </w:r>
    </w:p>
    <w:p>
      <w:pPr>
        <w:pStyle w:val="TextBody"/>
        <w:bidi w:val="0"/>
        <w:spacing w:before="120" w:after="0"/>
        <w:jc w:val="center"/>
        <w:rPr>
          <w:rFonts w:ascii="Times New Roman" w:hAnsi="Times New Roman"/>
          <w:sz w:val="20"/>
        </w:rPr>
      </w:pPr>
      <w:r>
        <w:rPr>
          <w:rFonts w:ascii="Times New Roman" w:hAnsi="Times New Roman"/>
          <w:sz w:val="20"/>
        </w:rPr>
        <w:t xml:space="preserve">e-consent makes it easy to go paperless. With e-consent, you can quickly access your proxy material, statements and other eligible documents online, while reducing costs, clutter and paper waste. Enroll today via </w:t>
      </w:r>
      <w:r>
        <w:rPr>
          <w:rFonts w:ascii="Times New Roman" w:hAnsi="Times New Roman"/>
          <w:sz w:val="20"/>
          <w:u w:val="single"/>
        </w:rPr>
        <w:t>www.astfinancial.com</w:t>
      </w:r>
      <w:r>
        <w:rPr>
          <w:rFonts w:ascii="Times New Roman" w:hAnsi="Times New Roman"/>
          <w:sz w:val="20"/>
        </w:rPr>
        <w:t xml:space="preserve"> to enjoy online access. </w:t>
      </w:r>
    </w:p>
    <w:p>
      <w:pPr>
        <w:pStyle w:val="TextBody"/>
        <w:bidi w:val="0"/>
        <w:spacing w:before="240" w:after="0"/>
        <w:jc w:val="center"/>
        <w:rPr>
          <w:rFonts w:ascii="Times New Roman" w:hAnsi="Times New Roman"/>
          <w:sz w:val="20"/>
        </w:rPr>
      </w:pPr>
      <w:r>
        <w:rPr>
          <w:rFonts w:ascii="Times New Roman" w:hAnsi="Times New Roman"/>
          <w:sz w:val="20"/>
          <w:u w:val="single"/>
        </w:rPr>
        <w:t>Important Notice Regarding Internet Availability of Proxy Materials for the Special Meeting of Stockholders to be Held on [], 2026</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The Proxy Statement is available at </w:t>
      </w:r>
      <w:r>
        <w:rPr>
          <w:rFonts w:ascii="Times New Roman" w:hAnsi="Times New Roman"/>
          <w:sz w:val="20"/>
          <w:u w:val="single"/>
        </w:rPr>
        <w:t>https://investor.dxl.com/financial-information/annual-reports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PLEASE SIGN, DATE AND MAIL </w:t>
      </w:r>
    </w:p>
    <w:p>
      <w:pPr>
        <w:pStyle w:val="TextBody"/>
        <w:bidi w:val="0"/>
        <w:spacing w:before="0" w:after="0"/>
        <w:jc w:val="center"/>
        <w:rPr>
          <w:rFonts w:ascii="Times New Roman" w:hAnsi="Times New Roman"/>
          <w:sz w:val="20"/>
        </w:rPr>
      </w:pPr>
      <w:r>
        <w:rPr>
          <w:rFonts w:ascii="Times New Roman" w:hAnsi="Times New Roman"/>
          <w:sz w:val="20"/>
        </w:rPr>
        <w:t xml:space="preserve">YOUR PROXY CARD IN THE ENVELOPE </w:t>
      </w:r>
    </w:p>
    <w:p>
      <w:pPr>
        <w:pStyle w:val="TextBody"/>
        <w:bidi w:val="0"/>
        <w:spacing w:before="0" w:after="0"/>
        <w:jc w:val="center"/>
        <w:rPr>
          <w:rFonts w:ascii="Times New Roman" w:hAnsi="Times New Roman"/>
          <w:sz w:val="20"/>
        </w:rPr>
      </w:pPr>
      <w:r>
        <w:rPr>
          <w:rFonts w:ascii="Times New Roman" w:hAnsi="Times New Roman"/>
          <w:sz w:val="20"/>
        </w:rPr>
        <w:t xml:space="preserve">PROVIDED AS SOON AS POSSIBLE. </w:t>
      </w:r>
    </w:p>
    <w:p>
      <w:pPr>
        <w:pStyle w:val="TextBody"/>
        <w:bidi w:val="0"/>
        <w:spacing w:before="240" w:after="0"/>
        <w:jc w:val="center"/>
        <w:rPr>
          <w:rFonts w:ascii="Times New Roman" w:hAnsi="Times New Roman"/>
          <w:sz w:val="20"/>
        </w:rPr>
      </w:pPr>
      <w:r>
        <w:rPr>
          <w:rFonts w:ascii="Times New Roman" w:hAnsi="Times New Roman"/>
          <w:sz w:val="20"/>
        </w:rPr>
        <w:t xml:space="preserve">Please detach along perforated line and mail in the envelope provided.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THE BOARD OF DIRECTORS RECOMMENDS A VOTE “AGAINST” PROPOSAL 1 AND “FOR” PROPOSALS 2, 3, AND 4.</w:t>
            </w:r>
          </w:p>
          <w:p>
            <w:pPr>
              <w:pStyle w:val="TableContents"/>
              <w:bidi w:val="0"/>
              <w:spacing w:before="0" w:after="20"/>
              <w:jc w:val="center"/>
              <w:rPr>
                <w:rFonts w:ascii="Times New Roman" w:hAnsi="Times New Roman"/>
                <w:b/>
                <w:sz w:val="20"/>
              </w:rPr>
            </w:pPr>
            <w:r>
              <w:rPr>
                <w:rFonts w:ascii="Times New Roman" w:hAnsi="Times New Roman"/>
                <w:b/>
                <w:sz w:val="20"/>
              </w:rPr>
              <w:t>PLEASE SIGN, DATE AND RETURN PROMPTLY IN THE ENCLOSED ENVELOPE. PLEASE MARK YOUR VOTE IN BLUE OR BLACK INK AS SHOWN HERE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
        <w:gridCol w:w="120"/>
        <w:gridCol w:w="5437"/>
        <w:gridCol w:w="106"/>
        <w:gridCol w:w="915"/>
        <w:gridCol w:w="106"/>
        <w:gridCol w:w="1456"/>
        <w:gridCol w:w="106"/>
        <w:gridCol w:w="1462"/>
      </w:tblGrid>
      <w:tr>
        <w:trPr/>
        <w:tc>
          <w:tcPr>
            <w:tcW w:w="4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3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the issuance of shares of DXL common stock as the merger consideration pursuant to the terms of the merger agreement and the resulting “change of control” under the Nasdaq rules (“proposal 1 or issuance proposal”)</w:t>
            </w:r>
            <w:r>
              <w:rPr/>
              <w:t>. THE BOARD OF DIRECTORS RECOMMENDS A VOTE “AGAINST” PROPOSAL 1.</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2.</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restated certificate of incorporation of DXL to effect a reverse stock split at a ratio of not less than 1-for-2 and not more than 1-for-30 pursuant to the amendment set forth in Section</w:t>
            </w:r>
            <w:r>
              <w:rPr/>
              <w:t> </w:t>
            </w:r>
            <w:r>
              <w:rPr>
                <w:b/>
              </w:rPr>
              <w:t>1 on Annex C to the proxy statement (“proposal 2” or “reverse stock split proposal”).</w:t>
            </w:r>
            <w:r>
              <w:rPr/>
              <w:t xml:space="preserve"> THE BOARD OF DIRECTORS RECOMMENDS A VOTE “FOR” PROPOSAL 2.</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3.</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Second Amended and Restated 2016 Incentive Compensation Plan to (a)</w:t>
            </w:r>
            <w:r>
              <w:rPr/>
              <w:t> </w:t>
            </w:r>
            <w:r>
              <w:rPr>
                <w:b/>
              </w:rPr>
              <w:t>increase the total number of shares of DXL common stock available for issuance under the 2016 plan by 13,500,000 shares; (b)</w:t>
            </w:r>
            <w:r>
              <w:rPr/>
              <w:t> </w:t>
            </w:r>
            <w:r>
              <w:rPr>
                <w:b/>
              </w:rPr>
              <w:t>increase the total number of shares of DXL common stock available for issuance upon the exercise of incentive stock options granted under the 2016 plan by 13,500,000 shares; (c)</w:t>
            </w:r>
            <w:r>
              <w:rPr/>
              <w:t> </w:t>
            </w:r>
            <w:r>
              <w:rPr>
                <w:b/>
              </w:rPr>
              <w:t>change the share fungible rate from 1.9 shares to 1.5 shares; and (d)</w:t>
            </w:r>
            <w:r>
              <w:rPr/>
              <w:t> </w:t>
            </w:r>
            <w:r>
              <w:rPr>
                <w:b/>
              </w:rPr>
              <w:t>remove the annual per participant limitations with respect to the share amount and/or dollar value of awards that can be granted under the 2016 plan (“proposal 3” or “2016 plan proposal”).</w:t>
            </w:r>
            <w:r>
              <w:rPr/>
              <w:t xml:space="preserve"> THE BOARD OF DIRECTORS RECOMMENDS A VOTE “FOR” PROPOSAL 3.</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4.</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 adjournment or postponement of the special meeting for the purpose of soliciting proxies with respect to the issuance proposal, the reverse stock split proposal and/or the 2016 plan proposal (“proposal 4” or “adjournment proposal”).</w:t>
            </w:r>
            <w:r>
              <w:rPr/>
              <w:t xml:space="preserve"> THE BOARD OF DIRECTORS RECOMMENDS A VOTE “FOR” PROPOSAL 4.</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IF THIS PROXY IS PROPERLY EXECUTED AND RETURNED, IT WILL BE VOTED AS SPECIFIED HEREIN. IF NO SPECIFIC DIRECTION IS GIVEN FOR PROPOSAL 1, IT WILL NOT BE VOTED. IF NO SPECIFIC DIRECTION IS GIVEN FOR PROPOSALS 2, 3 OR 4, IT WILL BE VOTED “FOR” EACH SUCH PROPOSAL. RECEIPT IS HEREBY ACKNOWLEDGED OF THE NOTICE OF SPECIAL MEETING AND PROXY STATEMENT OF DESTINATION XL GROUP, INC. DATED [●], 2026.</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To change the address on your account, please check the box at right and indicate your new address in the address space above. Please note that changes to the registered name(s) on the account may not be submitted via this method.</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MARK “X” HERE IF YOU PLAN TO ATTEND THE SPECIAL MEETING.</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0"/>
              <w:jc w:val="left"/>
              <w:rPr>
                <w:rFonts w:ascii="Times New Roman" w:hAnsi="Times New Roman"/>
                <w:sz w:val="20"/>
              </w:rPr>
            </w:pPr>
            <w:r>
              <w:rPr>
                <w:rFonts w:ascii="Times New Roman" w:hAnsi="Times New Roman"/>
                <w:sz w:val="20"/>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spacing w:before="0" w:after="0"/>
        <w:jc w:val="left"/>
        <w:rPr>
          <w:bdr w:val="single" w:sz="2" w:space="2" w:color="000000"/>
        </w:rPr>
      </w:pPr>
      <w:r>
        <w:rPr>
          <w:bdr w:val="single" w:sz="2" w:space="2" w:color="000000"/>
        </w:rPr>
        <w:t> </w:t>
      </w:r>
    </w:p>
    <w:tbl>
      <w:tblPr>
        <w:tblW w:w="5000" w:type="pct"/>
        <w:jc w:val="center"/>
        <w:tblInd w:w="0" w:type="dxa"/>
        <w:tblLayout w:type="fixed"/>
        <w:tblCellMar>
          <w:top w:w="0" w:type="dxa"/>
          <w:left w:w="0" w:type="dxa"/>
          <w:bottom w:w="0" w:type="dxa"/>
          <w:right w:w="0" w:type="dxa"/>
        </w:tblCellMar>
      </w:tblPr>
      <w:tblGrid>
        <w:gridCol w:w="261"/>
        <w:gridCol w:w="127"/>
        <w:gridCol w:w="2907"/>
        <w:gridCol w:w="60"/>
        <w:gridCol w:w="782"/>
        <w:gridCol w:w="60"/>
        <w:gridCol w:w="1552"/>
        <w:gridCol w:w="60"/>
        <w:gridCol w:w="3179"/>
        <w:gridCol w:w="60"/>
        <w:gridCol w:w="782"/>
        <w:gridCol w:w="108"/>
        <w:gridCol w:w="267"/>
      </w:tblGrid>
      <w:tr>
        <w:trPr/>
        <w:tc>
          <w:tcPr>
            <w:tcW w:w="2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0"/>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79"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 </w:t>
            </w:r>
          </w:p>
        </w:tc>
      </w:tr>
      <w:tr>
        <w:trPr/>
        <w:tc>
          <w:tcPr>
            <w:tcW w:w="2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907"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79"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lineRule="atLeast" w:line="142" w:before="0" w:after="40"/>
        <w:jc w:val="left"/>
        <w:rPr>
          <w:bdr w:val="dashed" w:sz="2" w:space="1" w:color="000000"/>
        </w:rPr>
      </w:pPr>
      <w:r>
        <w:rPr>
          <w:bdr w:val="dashed"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tcMar>
              <w:top w:w="28" w:type="dxa"/>
              <w:left w:w="160" w:type="dxa"/>
              <w:right w:w="40" w:type="dxa"/>
            </w:tcMar>
          </w:tcPr>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DESTINATION XL GROUP, INC.</w:t>
            </w:r>
          </w:p>
          <w:p>
            <w:pPr>
              <w:pStyle w:val="TableContents"/>
              <w:bidi w:val="0"/>
              <w:spacing w:before="0" w:after="0"/>
              <w:jc w:val="center"/>
              <w:rPr>
                <w:rFonts w:ascii="Times New Roman" w:hAnsi="Times New Roman"/>
                <w:sz w:val="20"/>
              </w:rPr>
            </w:pPr>
            <w:r>
              <w:rPr>
                <w:rFonts w:ascii="Times New Roman" w:hAnsi="Times New Roman"/>
                <w:sz w:val="20"/>
              </w:rPr>
              <w:t>555 Turnpike Street</w:t>
            </w:r>
          </w:p>
          <w:p>
            <w:pPr>
              <w:pStyle w:val="TableContents"/>
              <w:bidi w:val="0"/>
              <w:spacing w:before="0" w:after="0"/>
              <w:jc w:val="center"/>
              <w:rPr>
                <w:rFonts w:ascii="Times New Roman" w:hAnsi="Times New Roman"/>
                <w:sz w:val="20"/>
              </w:rPr>
            </w:pPr>
            <w:r>
              <w:rPr>
                <w:rFonts w:ascii="Times New Roman" w:hAnsi="Times New Roman"/>
                <w:sz w:val="20"/>
              </w:rPr>
              <w:t>Canton, Massachusetts 02021</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This Proxy Is Solicited On Behalf Of The Board Of Directors</w:t>
            </w:r>
          </w:p>
          <w:p>
            <w:pPr>
              <w:pStyle w:val="TableContents"/>
              <w:bidi w:val="0"/>
              <w:spacing w:before="0" w:after="0"/>
              <w:jc w:val="center"/>
              <w:rPr>
                <w:rFonts w:ascii="Times New Roman" w:hAnsi="Times New Roman"/>
                <w:sz w:val="20"/>
              </w:rPr>
            </w:pPr>
            <w:r>
              <w:rPr>
                <w:rFonts w:ascii="Times New Roman" w:hAnsi="Times New Roman"/>
                <w:b/>
                <w:sz w:val="20"/>
              </w:rPr>
              <w:t>For The Special Meeting Of Stockholders To Be Held On [</w:t>
            </w:r>
            <w:r>
              <w:rPr>
                <w:rFonts w:ascii="Times New Roman" w:hAnsi="Times New Roman"/>
                <w:sz w:val="20"/>
              </w:rPr>
              <w:t>●</w:t>
            </w:r>
            <w:r>
              <w:rPr>
                <w:rFonts w:ascii="Times New Roman" w:hAnsi="Times New Roman"/>
                <w:b/>
                <w:sz w:val="20"/>
              </w:rPr>
              <w:t>],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undersigned stockholder(s) of Destination XL Group, Inc. (the “Company”) hereby appoint(s) Lionel F. Conacher and Peter H. Stratton, Jr., and each of them, as proxies, with full power of substitution to each and to each substitute appointed pursuant to such power, to vote all shares of Common Stock of the Company that the undersigned would be entitled to vote if personally present at the Special Meeting of Stockholders (the “Special Meeting”) to be held on [●], [●], 2026 at [●] A.M. Eastern Time at the corporate offices of the Company, 555 Turnpike Street, Canton, Massachusetts 02021, and any adjournment or postponement thereof, with all powers that the undersigned would possess if personally present, as set forth on the reverse hereof, upon the matters set forth thereon and more fully described in the Notice and Proxy Statement for the Special Meeting, and, in their discretion, upon all such other matters as may properly come before the Special Meeting. The undersigned hereby revoke(s) all proxies, if any, hitherto given by the undersigned for the Special Meeting.</w:t>
            </w:r>
          </w:p>
          <w:p>
            <w:pPr>
              <w:pStyle w:val="TableContents"/>
              <w:bidi w:val="0"/>
              <w:spacing w:before="0" w:after="20"/>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20"/>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813298/000119312526115660/dxlg-20260131.htm" TargetMode="External"/><Relationship Id="rId5" Type="http://schemas.openxmlformats.org/officeDocument/2006/relationships/hyperlink" Target="http://www.sec.gov/Archives/edgar/data/../../../ix?doc=/Archives/edgar/data/813298/000119312526239304/dxlg-20260131.htm" TargetMode="External"/><Relationship Id="rId6" Type="http://schemas.openxmlformats.org/officeDocument/2006/relationships/hyperlink" Target="http://www.sec.gov/Archives/edgar/data/../../../ix?doc=/Archives/edgar/data/813298/000119312526255525/dxlg-20260502.htm" TargetMode="External"/><Relationship Id="rId7" Type="http://schemas.openxmlformats.org/officeDocument/2006/relationships/hyperlink" Target="http://www.sec.gov/Archives/edgar/data/../../../ix?doc=/Archives/edgar/data/0000813298/000119312526386417/dxlg-20260801.htm" TargetMode="External"/><Relationship Id="rId8" Type="http://schemas.openxmlformats.org/officeDocument/2006/relationships/hyperlink" Target="http://www.sec.gov/Archives/edgar/data/../../../ix?doc=/Archives/edgar/data/813298/000119312526041326/dxlg-20260204.htm" TargetMode="External"/><Relationship Id="rId9" Type="http://schemas.openxmlformats.org/officeDocument/2006/relationships/hyperlink" Target="http://www.sec.gov/Archives/edgar/data/../../../ix?doc=/Archives/edgar/data/813298/000119312526226858/dxlg-20260511.htm" TargetMode="External"/><Relationship Id="rId10" Type="http://schemas.openxmlformats.org/officeDocument/2006/relationships/hyperlink" Target="http://www.sec.gov/Archives/edgar/data/../../../ix?doc=/Archives/edgar/data/813298/000119312526335458/dxlg-20260804.htm" TargetMode="External"/><Relationship Id="rId11" Type="http://schemas.openxmlformats.org/officeDocument/2006/relationships/hyperlink" Target="http://www.sec.gov/Archives/edgar/data/../../../ix?doc=/Archives/edgar/data/813298/000119312526338457/dxlg-20260729.htm" TargetMode="External"/><Relationship Id="rId12" Type="http://schemas.openxmlformats.org/officeDocument/2006/relationships/hyperlink" Target="http://www.sec.gov/Archives/edgar/data/../../../ix?doc=/Archives/edgar/data/813298/000119312526357135/dxlg-20260819.htm" TargetMode="External"/><Relationship Id="rId13" Type="http://schemas.openxmlformats.org/officeDocument/2006/relationships/hyperlink" Target="http://www.sec.gov/Archives/edgar/data/../../../ix?doc=/Archives/edgar/data/813298/000119312526380226/dxlg-20260902.htm" TargetMode="External"/><Relationship Id="rId14" Type="http://schemas.openxmlformats.org/officeDocument/2006/relationships/hyperlink" Target="http://www.sec.gov/Archives/edgar/data/813298/000119312521266010/d202788d8a12b.htm" TargetMode="External"/><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444</Pages>
  <Words>259525</Words>
  <Characters>1397186</Characters>
  <CharactersWithSpaces>1666326</CharactersWithSpaces>
  <Paragraphs>24744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PRER14A</dc:title>
</cp:coreProperties>
</file>