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dxlg-20230803.htm"/>
      <w:bookmarkStart w:id="1" w:name="ksdxlg20230803"/>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August 03,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DESTINATION XL GROUP, INC.</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01-34219</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04-2623104</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6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7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02021</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781</w:t>
            </w:r>
            <w:r>
              <w:rPr>
                <w:rFonts w:ascii="Times New Roman" w:hAnsi="Times New Roman"/>
                <w:sz w:val="20"/>
              </w:rPr>
              <w:t xml:space="preserve"> </w:t>
            </w:r>
            <w:r>
              <w:rPr>
                <w:rFonts w:ascii="Times New Roman;serif" w:hAnsi="Times New Roman;serif"/>
                <w:b/>
                <w:sz w:val="20"/>
              </w:rPr>
              <w:t>828-9300</w:t>
            </w:r>
          </w:p>
        </w:tc>
      </w:tr>
    </w:tbl>
    <w:p>
      <w:pPr>
        <w:pStyle w:val="TextBody"/>
        <w:bidi w:val="0"/>
        <w:spacing w:before="0" w:after="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DXLG</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sz w:val="20"/>
        </w:rPr>
      </w:pPr>
      <w:r>
        <w:rPr>
          <w:rFonts w:ascii="Times New Roman;serif" w:hAnsi="Times New Roman;serif"/>
          <w:b/>
          <w:sz w:val="20"/>
        </w:rPr>
        <w:t>Item 5.07 Submission of Matters to a Vote of Security Holders.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August 3, 2023, the Company held its Annual Meeting. Set forth below are the matters submitted at the Annual Meeting by the Board of Directors of the Company to a vote of stockholders and the final results of the voting for each proposal.</w:t>
      </w:r>
      <w:r>
        <w:rPr>
          <w:rFonts w:ascii="Times New Roman" w:hAnsi="Times New Roman"/>
          <w:sz w:val="20"/>
        </w:rPr>
        <w:t xml:space="preserve"> </w:t>
      </w:r>
    </w:p>
    <w:p>
      <w:pPr>
        <w:pStyle w:val="TextBody"/>
        <w:bidi w:val="0"/>
        <w:spacing w:before="0" w:after="0"/>
        <w:jc w:val="both"/>
        <w:rPr>
          <w:rFonts w:ascii="Times New Roman;serif" w:hAnsi="Times New Roman;serif"/>
          <w:b/>
          <w:sz w:val="20"/>
          <w:u w:val="single"/>
        </w:rPr>
      </w:pPr>
      <w:r>
        <w:rPr>
          <w:rFonts w:ascii="Times New Roman;serif" w:hAnsi="Times New Roman;serif"/>
          <w:b/>
          <w:sz w:val="20"/>
          <w:u w:val="single"/>
        </w:rPr>
        <w:t>Proposal 1: Election of Directors.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Company’s stockholders elected seven directors to hold office until the 2023 Annual Meeting of Stockholders and until their respective successors are duly elected and qualified. The results of the voting were as follows:</w:t>
      </w:r>
    </w:p>
    <w:p>
      <w:pPr>
        <w:pStyle w:val="TextBody"/>
        <w:bidi w:val="0"/>
        <w:spacing w:before="0" w:after="0"/>
        <w:jc w:val="left"/>
        <w:rPr/>
      </w:pPr>
      <w:r>
        <w:rPr/>
        <w:t> </w:t>
      </w:r>
    </w:p>
    <w:tbl>
      <w:tblPr>
        <w:tblW w:w="6929" w:type="dxa"/>
        <w:jc w:val="left"/>
        <w:tblInd w:w="0" w:type="dxa"/>
        <w:tblLayout w:type="fixed"/>
        <w:tblCellMar>
          <w:top w:w="28" w:type="dxa"/>
          <w:left w:w="28" w:type="dxa"/>
          <w:bottom w:w="28" w:type="dxa"/>
          <w:right w:w="28" w:type="dxa"/>
        </w:tblCellMar>
      </w:tblPr>
      <w:tblGrid>
        <w:gridCol w:w="1681"/>
        <w:gridCol w:w="146"/>
        <w:gridCol w:w="1036"/>
        <w:gridCol w:w="146"/>
        <w:gridCol w:w="146"/>
        <w:gridCol w:w="785"/>
        <w:gridCol w:w="146"/>
        <w:gridCol w:w="146"/>
        <w:gridCol w:w="785"/>
        <w:gridCol w:w="146"/>
        <w:gridCol w:w="213"/>
        <w:gridCol w:w="1362"/>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Broker Non-Votes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Harvey S. Kanter</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49,885,417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236,620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18,509</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5,066,063</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Carmen R. Bauza</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49,635,666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321,887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182,993</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5,066,063</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Jack Boyle</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49,639,033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182,804</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5,066,063</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Lionel F. Conacher</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49,415,223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182,883</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5,066,063</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Willem Mesdag</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49,808,985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3,534</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5,066,063</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Ivy Ross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49,675,939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281,519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183,088</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5,066,063</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Elaine K. Rubin</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49,619,959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337,595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182,992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5,066,063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serif" w:hAnsi="Times New Roman;serif"/>
          <w:b/>
          <w:sz w:val="20"/>
          <w:u w:val="single"/>
        </w:rPr>
      </w:pPr>
      <w:r>
        <w:rPr>
          <w:rFonts w:ascii="Times New Roman;serif" w:hAnsi="Times New Roman;serif"/>
          <w:b/>
          <w:sz w:val="20"/>
          <w:u w:val="single"/>
        </w:rPr>
        <w:t>Proposal 2: Advisory Vote on Frequency of Advisory Votes on Compensation of Executive Officers.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Stockholders recommended, by a non-binding advisory vote, for the “one-year” option with respect to holding advisory votes on the compensation of the Company’s named executive officers:</w:t>
      </w:r>
    </w:p>
    <w:p>
      <w:pPr>
        <w:pStyle w:val="TextBody"/>
        <w:bidi w:val="0"/>
        <w:spacing w:before="120" w:after="0"/>
        <w:jc w:val="both"/>
        <w:rPr/>
      </w:pPr>
      <w:r>
        <w:rPr/>
        <w:t> </w:t>
      </w:r>
    </w:p>
    <w:tbl>
      <w:tblPr>
        <w:tblW w:w="6586" w:type="dxa"/>
        <w:jc w:val="left"/>
        <w:tblInd w:w="0" w:type="dxa"/>
        <w:tblLayout w:type="fixed"/>
        <w:tblCellMar>
          <w:top w:w="28" w:type="dxa"/>
          <w:left w:w="28" w:type="dxa"/>
          <w:bottom w:w="28" w:type="dxa"/>
          <w:right w:w="28" w:type="dxa"/>
        </w:tblCellMar>
      </w:tblPr>
      <w:tblGrid>
        <w:gridCol w:w="161"/>
        <w:gridCol w:w="1036"/>
        <w:gridCol w:w="146"/>
        <w:gridCol w:w="179"/>
        <w:gridCol w:w="706"/>
        <w:gridCol w:w="146"/>
        <w:gridCol w:w="146"/>
        <w:gridCol w:w="931"/>
        <w:gridCol w:w="146"/>
        <w:gridCol w:w="146"/>
        <w:gridCol w:w="931"/>
        <w:gridCol w:w="146"/>
        <w:gridCol w:w="213"/>
        <w:gridCol w:w="1362"/>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Broker Non-Votes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47,457,027</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1,382,995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1,295,518</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5,065,384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sz w:val="20"/>
          <w:u w:val="single"/>
        </w:rPr>
      </w:pPr>
      <w:r>
        <w:rPr>
          <w:rFonts w:ascii="Times New Roman;serif" w:hAnsi="Times New Roman;serif"/>
          <w:b/>
          <w:sz w:val="20"/>
          <w:u w:val="single"/>
        </w:rPr>
        <w:t>Proposal 3: Advisory Vote on Compensation of Named Executive Officers.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compensation of the Company's named executive officers was approved by a non-binding advisory vote based upon the following votes:</w:t>
      </w:r>
    </w:p>
    <w:p>
      <w:pPr>
        <w:pStyle w:val="TextBody"/>
        <w:bidi w:val="0"/>
        <w:spacing w:before="0" w:after="0"/>
        <w:jc w:val="left"/>
        <w:rPr/>
      </w:pPr>
      <w:r>
        <w:rPr/>
        <w:t> </w:t>
      </w:r>
    </w:p>
    <w:tbl>
      <w:tblPr>
        <w:tblW w:w="5409" w:type="dxa"/>
        <w:jc w:val="left"/>
        <w:tblInd w:w="0" w:type="dxa"/>
        <w:tblLayout w:type="fixed"/>
        <w:tblCellMar>
          <w:top w:w="28" w:type="dxa"/>
          <w:left w:w="28" w:type="dxa"/>
          <w:bottom w:w="28" w:type="dxa"/>
          <w:right w:w="28" w:type="dxa"/>
        </w:tblCellMar>
      </w:tblPr>
      <w:tblGrid>
        <w:gridCol w:w="161"/>
        <w:gridCol w:w="1036"/>
        <w:gridCol w:w="146"/>
        <w:gridCol w:w="146"/>
        <w:gridCol w:w="785"/>
        <w:gridCol w:w="146"/>
        <w:gridCol w:w="146"/>
        <w:gridCol w:w="931"/>
        <w:gridCol w:w="146"/>
        <w:gridCol w:w="213"/>
        <w:gridCol w:w="1362"/>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Broker Non-Votes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48,322,218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1,298,606</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5,066,063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serif" w:hAnsi="Times New Roman;serif"/>
          <w:b/>
          <w:sz w:val="20"/>
          <w:u w:val="single"/>
        </w:rPr>
      </w:pPr>
      <w:r>
        <w:rPr>
          <w:rFonts w:ascii="Times New Roman;serif" w:hAnsi="Times New Roman;serif"/>
          <w:b/>
          <w:sz w:val="20"/>
          <w:u w:val="single"/>
        </w:rPr>
        <w:t>Proposal 4: Ratification of Appointment of Independent Registered Public Accountants.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appointment of KPMG LLP as the Company’s independent registered public accounting firm for fiscal year ending February 3, 2024 was ratified based upon the following votes:</w:t>
      </w:r>
    </w:p>
    <w:p>
      <w:pPr>
        <w:pStyle w:val="TextBody"/>
        <w:bidi w:val="0"/>
        <w:spacing w:before="0" w:after="0"/>
        <w:jc w:val="both"/>
        <w:rPr/>
      </w:pPr>
      <w:r>
        <w:rPr/>
        <w:t> </w:t>
      </w:r>
    </w:p>
    <w:tbl>
      <w:tblPr>
        <w:tblW w:w="5263" w:type="dxa"/>
        <w:jc w:val="left"/>
        <w:tblInd w:w="0" w:type="dxa"/>
        <w:tblLayout w:type="fixed"/>
        <w:tblCellMar>
          <w:top w:w="28" w:type="dxa"/>
          <w:left w:w="28" w:type="dxa"/>
          <w:bottom w:w="28" w:type="dxa"/>
          <w:right w:w="28" w:type="dxa"/>
        </w:tblCellMar>
      </w:tblPr>
      <w:tblGrid>
        <w:gridCol w:w="161"/>
        <w:gridCol w:w="1036"/>
        <w:gridCol w:w="146"/>
        <w:gridCol w:w="165"/>
        <w:gridCol w:w="766"/>
        <w:gridCol w:w="146"/>
        <w:gridCol w:w="146"/>
        <w:gridCol w:w="785"/>
        <w:gridCol w:w="146"/>
        <w:gridCol w:w="405"/>
        <w:gridCol w:w="1170"/>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Broker Non-Votes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54,929,732</w:t>
            </w:r>
          </w:p>
        </w:tc>
        <w:tc>
          <w:tcPr>
            <w:tcW w:w="146"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185,665</w:t>
            </w:r>
          </w:p>
        </w:tc>
        <w:tc>
          <w:tcPr>
            <w:tcW w:w="146" w:type="dxa"/>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c>
          <w:tcPr>
            <w:tcW w:w="11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187"/>
        <w:jc w:val="left"/>
        <w:rPr/>
      </w:pPr>
      <w:r>
        <w:rPr/>
        <w:t> </w:t>
      </w:r>
    </w:p>
    <w:tbl>
      <w:tblPr>
        <w:tblW w:w="5224" w:type="dxa"/>
        <w:jc w:val="left"/>
        <w:tblInd w:w="0" w:type="dxa"/>
        <w:tblLayout w:type="fixed"/>
        <w:tblCellMar>
          <w:top w:w="28" w:type="dxa"/>
          <w:left w:w="28" w:type="dxa"/>
          <w:bottom w:w="28" w:type="dxa"/>
          <w:right w:w="28" w:type="dxa"/>
        </w:tblCellMar>
      </w:tblPr>
      <w:tblGrid>
        <w:gridCol w:w="556"/>
        <w:gridCol w:w="1351"/>
        <w:gridCol w:w="451"/>
        <w:gridCol w:w="286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866" w:type="dxa"/>
            <w:tcBorders/>
            <w:tcMar>
              <w:top w:w="0" w:type="dxa"/>
              <w:left w:w="0" w:type="dxa"/>
              <w:bottom w:w="0" w:type="dxa"/>
              <w:right w:w="0" w:type="dxa"/>
            </w:tcMar>
            <w:vAlign w:val="center"/>
          </w:tcPr>
          <w:p>
            <w:pPr>
              <w:pStyle w:val="TableContents"/>
              <w:bidi w:val="0"/>
              <w:spacing w:before="86" w:after="86"/>
              <w:ind w:left="0" w:right="0" w:hanging="0"/>
              <w:jc w:val="left"/>
              <w:rPr>
                <w:rFonts w:ascii="Times New Roman;serif" w:hAnsi="Times New Roman;serif"/>
                <w:b w:val="false"/>
                <w:sz w:val="20"/>
              </w:rPr>
            </w:pPr>
            <w:r>
              <w:rPr>
                <w:rFonts w:ascii="Times New Roman;serif" w:hAnsi="Times New Roman;serif"/>
                <w:b w:val="false"/>
                <w:sz w:val="20"/>
              </w:rPr>
              <w:t>DESTINATION XL GROUP, INC.</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8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35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August 4, 2023</w:t>
            </w:r>
          </w:p>
        </w:tc>
        <w:tc>
          <w:tcPr>
            <w:tcW w:w="45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2866"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/s/ Robert S. Molloy</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866" w:type="dxa"/>
            <w:tcBorders/>
            <w:tcMar>
              <w:top w:w="0" w:type="dxa"/>
              <w:left w:w="0" w:type="dxa"/>
              <w:bottom w:w="0" w:type="dxa"/>
              <w:right w:w="0" w:type="dxa"/>
            </w:tcMar>
            <w:vAlign w:val="center"/>
          </w:tcPr>
          <w:p>
            <w:pPr>
              <w:pStyle w:val="TableContents"/>
              <w:bidi w:val="0"/>
              <w:spacing w:before="14" w:after="187"/>
              <w:ind w:left="0" w:right="0" w:hanging="0"/>
              <w:jc w:val="left"/>
              <w:rPr>
                <w:rFonts w:ascii="Times New Roman;serif" w:hAnsi="Times New Roman;serif"/>
                <w:b w:val="false"/>
                <w:sz w:val="20"/>
              </w:rPr>
            </w:pPr>
            <w:r>
              <w:rPr>
                <w:rFonts w:ascii="Times New Roman;serif" w:hAnsi="Times New Roman;serif"/>
                <w:b w:val="false"/>
                <w:sz w:val="20"/>
              </w:rPr>
              <w:t>Robert S. Molloy</w:t>
              <w:br/>
              <w:t>General Counsel and Secretary</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3595</Characters>
  <CharactersWithSpaces>4263</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