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10100 SANTA MONICA BOULEVARD, SUITE 925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0.683</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53,074</w:t>
            </w:r>
            <w:r>
              <w:rPr>
                <w:rFonts w:ascii="Times;serif" w:hAnsi="Times;serif"/>
                <w:color w:val="008000"/>
                <w:position w:val="7"/>
                <w:sz w:val="16"/>
                <w:sz w:val="20"/>
                <w:shd w:fill="FFFFFF" w:val="clear"/>
              </w:rPr>
              <w:t>(4)</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642,431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quarterly annual retainer and committee chairperson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in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4566" TargetMode="External"/><Relationship Id="rId5" Type="http://schemas.openxmlformats.org/officeDocument/2006/relationships/hyperlink" Target="http://www.sec.gov/cgi-bin/browse-edgar?action=getcompany&amp;CIK=0000813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814</Words>
  <Characters>4402</Characters>
  <CharactersWithSpaces>5151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