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82"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8"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780" w:hanging="259"/>
        <w:spacing w:after="0" w:line="277" w:lineRule="auto"/>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1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260" w:right="500" w:hanging="252"/>
        <w:spacing w:after="0" w:line="306" w:lineRule="auto"/>
        <w:tabs>
          <w:tab w:leader="none" w:pos="2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19"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780" w:hanging="259"/>
        <w:spacing w:after="0"/>
        <w:tabs>
          <w:tab w:leader="none" w:pos="7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494030</wp:posOffset>
            </wp:positionH>
            <wp:positionV relativeFrom="paragraph">
              <wp:posOffset>-3175000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-2831465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-2360295</wp:posOffset>
            </wp:positionV>
            <wp:extent cx="6757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-2025650</wp:posOffset>
            </wp:positionV>
            <wp:extent cx="67576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-1682750</wp:posOffset>
            </wp:positionV>
            <wp:extent cx="67576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-859155</wp:posOffset>
            </wp:positionV>
            <wp:extent cx="6757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-524510</wp:posOffset>
            </wp:positionV>
            <wp:extent cx="6757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494030</wp:posOffset>
            </wp:positionH>
            <wp:positionV relativeFrom="paragraph">
              <wp:posOffset>-181610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490855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206" w:right="37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DESTINATION XL GROUP,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to be held on August 8, 2019</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Notice is hereby given that the 2019 Annual Meeting of Stockholders of Destination XL Group, Inc. (the “Company”) will be held at the corporate offices of the Company, 555 Turnpike Street, Canton, Massachusetts 02021 at 9:30 A.M., local time, on Thursday, August 8, 2019 for the following purposes:</w:t>
      </w:r>
    </w:p>
    <w:p>
      <w:pPr>
        <w:spacing w:after="0" w:line="16" w:lineRule="exact"/>
        <w:rPr>
          <w:sz w:val="20"/>
          <w:szCs w:val="20"/>
          <w:color w:val="auto"/>
        </w:rPr>
      </w:pPr>
    </w:p>
    <w:p>
      <w:pPr>
        <w:ind w:left="760" w:right="32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 to serve until the next Annual Meeting of Stockholders and until their respective successors have been duly elected and qualified.</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compensation.</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amendments to our 2016 Incentive Compensation Plan to increase the total number of shares of common stock authorized for issuance under the plan by 2,800,000 shares.</w:t>
      </w:r>
    </w:p>
    <w:p>
      <w:pPr>
        <w:spacing w:after="0" w:line="62" w:lineRule="exact"/>
        <w:rPr>
          <w:rFonts w:ascii="Arial" w:cs="Arial" w:eastAsia="Arial" w:hAnsi="Arial"/>
          <w:sz w:val="18"/>
          <w:szCs w:val="18"/>
          <w:color w:val="auto"/>
        </w:rPr>
      </w:pPr>
    </w:p>
    <w:p>
      <w:pPr>
        <w:ind w:left="760" w:hanging="374"/>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ratify the appointment of KPMG LLP as our independent registered public accounting firm for the fiscal year ending February 1, 2020.</w:t>
      </w:r>
    </w:p>
    <w:p>
      <w:pPr>
        <w:spacing w:after="0" w:line="128" w:lineRule="exact"/>
        <w:rPr>
          <w:rFonts w:ascii="Arial" w:cs="Arial" w:eastAsia="Arial" w:hAnsi="Arial"/>
          <w:sz w:val="17"/>
          <w:szCs w:val="17"/>
          <w:color w:val="auto"/>
        </w:rPr>
      </w:pPr>
    </w:p>
    <w:p>
      <w:pPr>
        <w:ind w:left="760" w:hanging="374"/>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Board of Directors recommends that you vote (i) FOR the election of all nine nominees to serve as directors of the Company, (ii) FOR the approval, on an advisory basis, of named executive officer compensation, (iii) FOR the approval of amendments to our 2016 Incentive Compensation Plan to increase the total number of shares of common stock authorized for issuance under the plan, and (iv) FOR the ratification of the appointment of KPMG LLP as our independent registered public accounting firm for the fiscal year ending February 1, 2020.</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Along with the attached Proxy Statement, we are sending you a copy of our Annual Report on Form 10-K for the fiscal year ended February 2, 2019.</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Board of Directors has fixed the close of business on June 17, 2019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June 17, 2019 will be available for inspection by any of our stockholders for any purpose germane to the Annual Meeting during normal business hours at our principal executive offices, 555 Turnpike Street, Canton, Massachusetts 02021, beginning on July 29, 2019 and at the Annual Meeting.</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Stockholders are cordially invited to attend the Annual Meeting in person. Regardless of whether you plan to attend the Annual Meeting, please mark, date, sign and return the enclosed proxy to ensure that your shares are represented at the Annual Meeting.</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ROBERT S. MOLLOY</w:t>
      </w:r>
    </w:p>
    <w:p>
      <w:pPr>
        <w:spacing w:after="0" w:line="117"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ROBERT S. MOLLOY</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2019 Annual Report to Stockholders are available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https://investor.dxl.com/financial-information/annual-reports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80" w:type="dxa"/>
            <w:vAlign w:val="bottom"/>
            <w:gridSpan w:val="5"/>
          </w:tcPr>
          <w:p>
            <w:pPr>
              <w:ind w:left="440"/>
              <w:spacing w:after="0"/>
              <w:rPr>
                <w:sz w:val="20"/>
                <w:szCs w:val="20"/>
                <w:color w:val="auto"/>
              </w:rPr>
            </w:pPr>
            <w:r>
              <w:rPr>
                <w:rFonts w:ascii="Arial" w:cs="Arial" w:eastAsia="Arial" w:hAnsi="Arial"/>
                <w:sz w:val="18"/>
                <w:szCs w:val="18"/>
                <w:color w:val="auto"/>
              </w:rPr>
              <w:t>TABLE OF CONTENTS</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 w:type="dxa"/>
            <w:vAlign w:val="bottom"/>
          </w:tcPr>
          <w:p>
            <w:pPr>
              <w:spacing w:after="0"/>
              <w:rPr>
                <w:sz w:val="24"/>
                <w:szCs w:val="24"/>
                <w:color w:val="auto"/>
              </w:rPr>
            </w:pPr>
          </w:p>
        </w:tc>
        <w:tc>
          <w:tcPr>
            <w:tcW w:w="10880" w:type="dxa"/>
            <w:vAlign w:val="bottom"/>
            <w:gridSpan w:val="1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About the Annual Meeting and Voting</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0880" w:type="dxa"/>
            <w:vAlign w:val="bottom"/>
            <w:gridSpan w:val="18"/>
            <w:vMerge w:val="continue"/>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722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Corporate Governance</w:t>
              </w:r>
            </w:hyperlink>
          </w:p>
        </w:tc>
        <w:tc>
          <w:tcPr>
            <w:tcW w:w="720" w:type="dxa"/>
            <w:vAlign w:val="bottom"/>
            <w:tcBorders>
              <w:top w:val="single" w:sz="8" w:color="0000EE"/>
            </w:tcBorders>
            <w:gridSpan w:val="5"/>
          </w:tcPr>
          <w:p>
            <w:pPr>
              <w:spacing w:after="0"/>
              <w:rPr>
                <w:sz w:val="17"/>
                <w:szCs w:val="17"/>
                <w:color w:val="auto"/>
              </w:rPr>
            </w:pPr>
          </w:p>
        </w:tc>
        <w:tc>
          <w:tcPr>
            <w:tcW w:w="8520" w:type="dxa"/>
            <w:vAlign w:val="bottom"/>
            <w:gridSpan w:val="9"/>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Committees of the Board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Director Compensation</w:t>
              </w:r>
            </w:hyperlink>
          </w:p>
        </w:tc>
        <w:tc>
          <w:tcPr>
            <w:tcW w:w="120" w:type="dxa"/>
            <w:vAlign w:val="bottom"/>
            <w:tcBorders>
              <w:top w:val="single" w:sz="8" w:color="0000EE"/>
            </w:tcBorders>
          </w:tcPr>
          <w:p>
            <w:pPr>
              <w:spacing w:after="0"/>
              <w:rPr>
                <w:sz w:val="17"/>
                <w:szCs w:val="17"/>
                <w:color w:val="auto"/>
              </w:rPr>
            </w:pPr>
          </w:p>
        </w:tc>
        <w:tc>
          <w:tcPr>
            <w:tcW w:w="9080" w:type="dxa"/>
            <w:vAlign w:val="bottom"/>
            <w:gridSpan w:val="1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28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Summary Compensation Table</w:t>
              </w:r>
            </w:hyperlink>
          </w:p>
        </w:tc>
        <w:tc>
          <w:tcPr>
            <w:tcW w:w="804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7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Proposal 2: Advisory Vote to Approve Named Executive Officer Compensation</w:t>
              </w:r>
            </w:hyperlink>
          </w:p>
        </w:tc>
        <w:tc>
          <w:tcPr>
            <w:tcW w:w="514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7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Proposal 3: Approval of Amendments to the 2016 Incentive Compensation Plan</w:t>
              </w:r>
            </w:hyperlink>
          </w:p>
        </w:tc>
        <w:tc>
          <w:tcPr>
            <w:tcW w:w="512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8"/>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Proposal 4: Ratification of Appointment of Independent Registered Public Accounting Firm</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Report of the Audit Committee</w:t>
              </w:r>
            </w:hyperlink>
          </w:p>
        </w:tc>
        <w:tc>
          <w:tcPr>
            <w:tcW w:w="426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Security Ownership</w:t>
              </w:r>
            </w:hyperlink>
          </w:p>
        </w:tc>
        <w:tc>
          <w:tcPr>
            <w:tcW w:w="800" w:type="dxa"/>
            <w:vAlign w:val="bottom"/>
            <w:tcBorders>
              <w:top w:val="single" w:sz="8" w:color="0000EE"/>
            </w:tcBorders>
            <w:gridSpan w:val="6"/>
          </w:tcPr>
          <w:p>
            <w:pPr>
              <w:spacing w:after="0"/>
              <w:rPr>
                <w:sz w:val="17"/>
                <w:szCs w:val="17"/>
                <w:color w:val="auto"/>
              </w:rPr>
            </w:pPr>
          </w:p>
        </w:tc>
        <w:tc>
          <w:tcPr>
            <w:tcW w:w="8640" w:type="dxa"/>
            <w:vAlign w:val="bottom"/>
            <w:gridSpan w:val="10"/>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Delivery of Documents to Stockholders Sharing an Address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Stockholder Proposals</w:t>
              </w:r>
            </w:hyperlink>
          </w:p>
        </w:tc>
        <w:tc>
          <w:tcPr>
            <w:tcW w:w="2680" w:type="dxa"/>
            <w:vAlign w:val="bottom"/>
            <w:tcBorders>
              <w:top w:val="single" w:sz="8" w:color="0000EE"/>
            </w:tcBorders>
            <w:gridSpan w:val="10"/>
          </w:tcPr>
          <w:p>
            <w:pPr>
              <w:spacing w:after="0"/>
              <w:rPr>
                <w:sz w:val="17"/>
                <w:szCs w:val="17"/>
                <w:color w:val="auto"/>
              </w:rPr>
            </w:pPr>
          </w:p>
        </w:tc>
        <w:tc>
          <w:tcPr>
            <w:tcW w:w="658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Other Matters</w:t>
              </w:r>
            </w:hyperlink>
          </w:p>
        </w:tc>
        <w:tc>
          <w:tcPr>
            <w:tcW w:w="9880" w:type="dxa"/>
            <w:vAlign w:val="bottom"/>
            <w:gridSpan w:val="17"/>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2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Appendix A – Proposed 2016 Incentive Compensation Plan, as amended</w:t>
              </w:r>
            </w:hyperlink>
          </w:p>
        </w:tc>
        <w:tc>
          <w:tcPr>
            <w:tcW w:w="56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880" w:type="dxa"/>
            <w:vAlign w:val="bottom"/>
            <w:gridSpan w:val="1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Appendix B – Non-GAAP Financial Measures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2"/>
        </w:trPr>
        <w:tc>
          <w:tcPr>
            <w:tcW w:w="60" w:type="dxa"/>
            <w:vAlign w:val="bottom"/>
            <w:tcBorders>
              <w:bottom w:val="single" w:sz="8" w:color="9A9A9A"/>
            </w:tcBorders>
          </w:tcPr>
          <w:p>
            <w:pPr>
              <w:spacing w:after="0"/>
              <w:rPr>
                <w:sz w:val="24"/>
                <w:szCs w:val="24"/>
                <w:color w:val="auto"/>
              </w:rPr>
            </w:pPr>
          </w:p>
        </w:tc>
        <w:tc>
          <w:tcPr>
            <w:tcW w:w="100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48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(781) 828-9300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8, 2019</w:t>
      </w:r>
    </w:p>
    <w:p>
      <w:pPr>
        <w:spacing w:after="0" w:line="20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ABOUT THE ANNUAL MEETING AND VOTING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 and Distribution of Proxy Materials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Proxy Statement and the enclosed form of proxy are being mailed to our stockholders on or about July 2, 2019, in connection with the solicitation by the Board of Directors (the “Board”) of Destination XL Group, Inc. (the “Company”) of proxies to be used at the Annual Meeting of Stockholders, to be held at the Company’s corporate headquarters located at 555 Turnpike Street, Canton, Massachusetts 02021 at 9:30 A.M., local time, on Thursday, August 8, 2019 and at any and all adjournments thereof (the “Annual Meeting”). This Proxy Statement describes the matters to be voted on at the Annual Meeting and contains other required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Entitled to Vote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Only holders of record of our common stock, par value $0.01 per share, at the close of business on June 17, 2019, the record date for the Annual Meeting, will be entitled to notice of, and to vote at, the Annual Meeting. On that date, there were 49,875,955 shares of common stock issued and outstanding. Each share is entitled to one vote at the Annual Meeting.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to Vote</w:t>
      </w:r>
    </w:p>
    <w:p>
      <w:pPr>
        <w:spacing w:after="0" w:line="11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Stockholders of record may vote by mail or in person at the meeting. If you choose to vote by mail, please complete and mail the enclosed proxy card in the enclosed postage prepaid envelope. If your shares are held in a stock brokerage account or by a bank, you must follow the voting procedures of your broker or bank.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Instructions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When a proxy is returned properly executed, the shares represented will be voted in accordance with the stockholder’s instructions.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Stockholders are encouraged to vote on the matters to be considered. However, if no instructions have been specified by a stockholder, the shares covered by an executed proxy will be voted (i) FOR the election of all nine nominees to serve as directors of the Company, (ii) FOR the approval, on an advisory basis, of named executive officer compensation, (iii) FOR the approval of amendments to our 2016 Incentive Compensation Plan to increase the total number of shares of common stock authorized for issuance under the plan by 2,800,000 shares, (iv) FOR the ratification of the appointment of KPMG LLP as our independent registered public accounting firm, for the fiscal year ending February 1, 2020 and (v) in the discretion of the proxies named in the proxy card with respect to any other matters properly brought before the Annual Meeting. We are not aware of any other matter that may be properly presented at the Annual Meeting.</w:t>
      </w:r>
    </w:p>
    <w:p>
      <w:pPr>
        <w:spacing w:after="0" w:line="18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If your shares are held in a stock brokerage account or by a bank, you must follow the voting procedures of your broker or bank. If you do not give voting instructions to your broker or bank, your broker or bank does not have discretion to vote your shares on the proposals in this Proxy Statement, except for Proposal 4 to ratify the appointment of our independent registered public accounting firm, which is considered a “routine” proposal. A broker “non-vote” occurs when the a broker or bank who is the record holder of the shares does not vote on a particular proposal, either because it does not have discretionary voting power to vote the shares or has not received voting instructions from the beneficial owner.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As a result, if you are not the record holder of your shares, it is critical that you provide instructions to your broker or bank if you want your vote to count.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Revoking Your Proxy or Changing Your Vote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 may revoke your proxy at any time before it has been exercised as follows:</w:t>
      </w:r>
    </w:p>
    <w:p>
      <w:pPr>
        <w:spacing w:after="0" w:line="117" w:lineRule="exact"/>
        <w:rPr>
          <w:sz w:val="20"/>
          <w:szCs w:val="20"/>
          <w:color w:val="auto"/>
        </w:rPr>
      </w:pPr>
    </w:p>
    <w:p>
      <w:pPr>
        <w:ind w:left="760" w:hanging="374"/>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and voting in person; or</w:t>
      </w:r>
    </w:p>
    <w:p>
      <w:pPr>
        <w:spacing w:after="0" w:line="117"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filing with the Secretary of the Company, c/o the Company at 555 Turnpike Street, Canton, Massachusetts 02021, either an instrument in writing revoking the proxy or another duly executed proxy bearing a later date.</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you are not a record holder and your shares are held by your broker or bank, you must contact your broker or bank to change your vote or obtain a legal proxy to vote your shares if you wish to cast your vote in person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order to carry on the business of the Annual Meeting, we must have a quorum. This means at least a majority of the outstanding shares of common stock eligible to vote must be represented at the Annual Meeting, either by proxy or in person. Abstentions and broker non-votes will be counted as present or represented at the Annual Meeting for purposes of determining the presence or absence of a quorum.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 Proposal</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majority of the votes properly cast is required for approval of all matters. However, as described in more detail in Proposal 2 below, Proposal 2 is an advisory vote and non-binding. Votes cast means the votes actually cast “for” or “against” a particular proposal, whether in person or by proxy. With respect to all matters presented at the Annual Meeting, abstentions and non-votes will not be deemed to be votes “cast” with respect to such matters and will not count as votes “for” or “against” such matter. Votes will be tabulated by our transfer agent subject to the supervision of persons designated by the Board of Directors as inspectors.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Board of Directors, in accordance with our Fourth Amended and Restated By-Laws (the “By-Laws”), has set the number of members of our Board of Directors at nine directors.</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At the Annual Meeting, nine nominees will be elected to serve on the Board until the 2020 Annual Meeting of Stockholders and until their respective successors have been duly elected and qualified. Accordingly, the Nominating and Corporate Governance Committee has recommended, and our Board has nominated, John E. Kyees, Harvey S. Kanter, Jack Boyle, Lionel F. Conacher, Seymour Holtzman, Willem Mesdag, Ward K. Mooney, Mitchell S. Presser and Ivy Ross as nominees, all of whom currently serve as members of our Board. Each of the nominees has agreed to stand for re-election and to serve if elected.</w:t>
      </w:r>
    </w:p>
    <w:p>
      <w:pPr>
        <w:spacing w:after="0" w:line="15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Unless a proxy shall specify that it is not to be voted for a nominee, it is intended that the shares represented by each duly executed and returned proxy will be voted in favor of the election as directors of John E. Kyees, Harvey S. Kanter, Jack Boyle, Lionel F. Conacher, Seymour Holtzman, Willem Mesdag, Ward K. Mooney, Mitchell S. Presser and Ivy Ross. Although management expects all nominees to serve if elected, proxies will be voted for a substitute if a nominee is unable or unwilling to accept nomination or election. Cumulative voting is not permitted.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election of each of the nominees.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recommends that you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nine individuals named above as directors of our Company.</w:t>
      </w:r>
    </w:p>
    <w:p>
      <w:pPr>
        <w:spacing w:after="0" w:line="103" w:lineRule="exact"/>
        <w:rPr>
          <w:sz w:val="20"/>
          <w:szCs w:val="20"/>
          <w:color w:val="auto"/>
        </w:rPr>
      </w:pPr>
    </w:p>
    <w:p>
      <w:pPr>
        <w:jc w:val="both"/>
        <w:ind w:right="360"/>
        <w:spacing w:after="0" w:line="288" w:lineRule="auto"/>
        <w:rPr>
          <w:sz w:val="20"/>
          <w:szCs w:val="20"/>
          <w:color w:val="auto"/>
        </w:rPr>
      </w:pPr>
      <w:r>
        <w:rPr>
          <w:rFonts w:ascii="Arial" w:cs="Arial" w:eastAsia="Arial" w:hAnsi="Arial"/>
          <w:sz w:val="16"/>
          <w:szCs w:val="16"/>
          <w:color w:val="auto"/>
        </w:rPr>
        <w:t>Set forth below is certain information regarding our current directors, each of whom has been nominated for election at the Annual Meeting, and includes information furnished by them as to their principal occupations and business experience for the past five years, certain directorships held by each director within the past five years, their respective ages as of June 17, 2019 and the year in which each became a director of our Company:</w:t>
      </w:r>
    </w:p>
    <w:tbl>
      <w:tblPr>
        <w:tblLayout w:type="fixed"/>
        <w:tblInd w:w="0" w:type="dxa"/>
        <w:tblCellMar>
          <w:top w:w="0" w:type="dxa"/>
          <w:left w:w="0" w:type="dxa"/>
          <w:bottom w:w="0" w:type="dxa"/>
          <w:right w:w="0" w:type="dxa"/>
        </w:tblCellMar>
      </w:tblPr>
      <w:tr>
        <w:trPr>
          <w:trHeight w:val="150"/>
        </w:trPr>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Nominating and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Cybersecurity</w:t>
            </w:r>
          </w:p>
        </w:tc>
      </w:tr>
      <w:tr>
        <w:trPr>
          <w:trHeight w:val="149"/>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Director</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Corporate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61"/>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Name </w:t>
            </w:r>
            <w:r>
              <w:rPr>
                <w:rFonts w:ascii="Arial" w:cs="Arial" w:eastAsia="Arial" w:hAnsi="Arial"/>
                <w:sz w:val="11"/>
                <w:szCs w:val="11"/>
                <w:b w:val="1"/>
                <w:bCs w:val="1"/>
                <w:color w:val="auto"/>
              </w:rPr>
              <w:t>(1)</w:t>
            </w: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Age</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Since</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Audit </w:t>
            </w:r>
            <w:r>
              <w:rPr>
                <w:rFonts w:ascii="Arial" w:cs="Arial" w:eastAsia="Arial" w:hAnsi="Arial"/>
                <w:sz w:val="11"/>
                <w:szCs w:val="11"/>
                <w:b w:val="1"/>
                <w:bCs w:val="1"/>
                <w:color w:val="auto"/>
                <w:w w:val="94"/>
              </w:rPr>
              <w:t>(2)</w:t>
            </w: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 xml:space="preserve">Compensation </w:t>
            </w:r>
            <w:r>
              <w:rPr>
                <w:rFonts w:ascii="Arial" w:cs="Arial" w:eastAsia="Arial" w:hAnsi="Arial"/>
                <w:sz w:val="11"/>
                <w:szCs w:val="11"/>
                <w:b w:val="1"/>
                <w:bCs w:val="1"/>
                <w:color w:val="auto"/>
                <w:w w:val="87"/>
              </w:rPr>
              <w:t>(3)</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Governance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 xml:space="preserve">Data Privacy </w:t>
            </w:r>
            <w:r>
              <w:rPr>
                <w:rFonts w:ascii="Arial" w:cs="Arial" w:eastAsia="Arial" w:hAnsi="Arial"/>
                <w:sz w:val="11"/>
                <w:szCs w:val="11"/>
                <w:b w:val="1"/>
                <w:bCs w:val="1"/>
                <w:color w:val="auto"/>
                <w:w w:val="90"/>
              </w:rPr>
              <w:t>(4)</w:t>
            </w:r>
          </w:p>
        </w:tc>
      </w:tr>
      <w:tr>
        <w:trPr>
          <w:trHeight w:val="223"/>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Kyees, Chairman of the Board and Director</w:t>
            </w: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ind w:left="220"/>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2010</w:t>
            </w: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X</w:t>
            </w:r>
          </w:p>
        </w:tc>
        <w:tc>
          <w:tcPr>
            <w:tcW w:w="10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C</w:t>
            </w:r>
          </w:p>
        </w:tc>
      </w:tr>
      <w:tr>
        <w:trPr>
          <w:trHeight w:val="215"/>
        </w:trPr>
        <w:tc>
          <w:tcPr>
            <w:tcW w:w="4960" w:type="dxa"/>
            <w:vAlign w:val="bottom"/>
            <w:gridSpan w:val="2"/>
          </w:tcPr>
          <w:p>
            <w:pPr>
              <w:spacing w:after="0"/>
              <w:rPr>
                <w:sz w:val="20"/>
                <w:szCs w:val="20"/>
                <w:color w:val="auto"/>
              </w:rPr>
            </w:pPr>
            <w:r>
              <w:rPr>
                <w:rFonts w:ascii="Arial" w:cs="Arial" w:eastAsia="Arial" w:hAnsi="Arial"/>
                <w:sz w:val="18"/>
                <w:szCs w:val="18"/>
                <w:color w:val="auto"/>
              </w:rPr>
              <w:t>Harvey S. Kanter, President and Chief Executive Officer and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19"/>
                <w:szCs w:val="19"/>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center"/>
              <w:ind w:right="100"/>
              <w:spacing w:after="0"/>
              <w:rPr>
                <w:sz w:val="20"/>
                <w:szCs w:val="20"/>
                <w:color w:val="auto"/>
              </w:rPr>
            </w:pPr>
            <w:r>
              <w:rPr>
                <w:rFonts w:ascii="Arial" w:cs="Arial" w:eastAsia="Arial" w:hAnsi="Arial"/>
                <w:sz w:val="18"/>
                <w:szCs w:val="18"/>
                <w:color w:val="auto"/>
                <w:w w:val="91"/>
              </w:rPr>
              <w:t>C</w:t>
            </w: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rPr>
              <w:t>X</w:t>
            </w: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620" w:type="dxa"/>
            <w:vAlign w:val="bottom"/>
          </w:tcPr>
          <w:p>
            <w:pPr>
              <w:ind w:left="2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w:t>
            </w:r>
          </w:p>
        </w:tc>
        <w:tc>
          <w:tcPr>
            <w:tcW w:w="1080" w:type="dxa"/>
            <w:vAlign w:val="bottom"/>
          </w:tcPr>
          <w:p>
            <w:pPr>
              <w:spacing w:after="0"/>
              <w:rPr>
                <w:sz w:val="19"/>
                <w:szCs w:val="19"/>
                <w:color w:val="auto"/>
              </w:rPr>
            </w:pPr>
          </w:p>
        </w:tc>
      </w:tr>
      <w:tr>
        <w:trPr>
          <w:trHeight w:val="230"/>
        </w:trPr>
        <w:tc>
          <w:tcPr>
            <w:tcW w:w="4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9"/>
              </w:rPr>
              <w:t>X</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color w:val="auto"/>
        </w:rPr>
        <w:t>C= current member and committee chairperson</w:t>
      </w:r>
    </w:p>
    <w:p>
      <w:pPr>
        <w:spacing w:after="0"/>
        <w:rPr>
          <w:sz w:val="20"/>
          <w:szCs w:val="20"/>
          <w:color w:val="auto"/>
        </w:rPr>
      </w:pPr>
      <w:r>
        <w:rPr>
          <w:rFonts w:ascii="Arial" w:cs="Arial" w:eastAsia="Arial" w:hAnsi="Arial"/>
          <w:sz w:val="14"/>
          <w:szCs w:val="14"/>
          <w:color w:val="auto"/>
        </w:rPr>
        <w:t>X= current member of the committee</w:t>
      </w:r>
    </w:p>
    <w:p>
      <w:pPr>
        <w:spacing w:after="0" w:line="129" w:lineRule="exact"/>
        <w:rPr>
          <w:sz w:val="20"/>
          <w:szCs w:val="20"/>
          <w:color w:val="auto"/>
        </w:rPr>
      </w:pPr>
    </w:p>
    <w:p>
      <w:pPr>
        <w:ind w:left="760" w:hanging="374"/>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Marketing Strategy Committee, formed by the Board of Directors (the “Board”) on August 3, 2017, was dissolved on February 7, 2019.</w:t>
      </w:r>
    </w:p>
    <w:p>
      <w:pPr>
        <w:spacing w:after="0" w:line="34" w:lineRule="exact"/>
        <w:rPr>
          <w:rFonts w:ascii="Arial" w:cs="Arial" w:eastAsia="Arial" w:hAnsi="Arial"/>
          <w:sz w:val="17"/>
          <w:szCs w:val="17"/>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9, 2018, Mr. Conacher was appointed to the Audit Committee, expanding the committee to four members.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August 9, 2018, Mr. Conacher was appointed to the Compensation Committee, expanding the committee to four members.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May 9, 2019, Mr. Boyle was appointed to the Cybersecurity and Data Privacy committee.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i w:val="1"/>
          <w:iCs w:val="1"/>
          <w:color w:val="auto"/>
        </w:rPr>
        <w:t xml:space="preserve">John E. Kyees </w:t>
      </w:r>
      <w:r>
        <w:rPr>
          <w:rFonts w:ascii="Arial" w:cs="Arial" w:eastAsia="Arial" w:hAnsi="Arial"/>
          <w:sz w:val="16"/>
          <w:szCs w:val="16"/>
          <w:color w:val="auto"/>
        </w:rPr>
        <w:t>has been a director since May 2010 and was appointed Chairman of the Board in January 2019. From February 2017 through January 2019,</w:t>
      </w:r>
      <w:r>
        <w:rPr>
          <w:rFonts w:ascii="Arial" w:cs="Arial" w:eastAsia="Arial" w:hAnsi="Arial"/>
          <w:sz w:val="16"/>
          <w:szCs w:val="16"/>
          <w:i w:val="1"/>
          <w:iCs w:val="1"/>
          <w:color w:val="auto"/>
        </w:rPr>
        <w:t xml:space="preserve"> </w:t>
      </w:r>
      <w:r>
        <w:rPr>
          <w:rFonts w:ascii="Arial" w:cs="Arial" w:eastAsia="Arial" w:hAnsi="Arial"/>
          <w:sz w:val="16"/>
          <w:szCs w:val="16"/>
          <w:color w:val="auto"/>
        </w:rPr>
        <w:t>Mr. Kyees served as the Company's Lead Independent Director. From February 2014 until May 2014, Mr. Kyees served as Interim Chief Financial Officer of the Company. In 2010, Mr. Kyees retired as the chief investor relations officer from Urban Outfitters, Inc., a retail chain, after serving as chief financial officer from 2003 to 2010. Mr. Kyees serves as lead independent director and chairman of the audit committee of Vera Bradley, Inc., a publicly-traded company. Mr. Kyees is also a director and chairman of the audit committee of Arhaus Furniture, a privately-held retailer. Mr. Kyees served as Interim Chief Financial Officer for Arhaus Furniture from November 2015 to March 2016. Mr. Kyees previously served as a director and member of the audit committee of Rackwise, Inc., a publicly-traded company. Mr. Kyees brings to the Board extensive executive-level retail experience having served as chief financial officer for several prominent retailers. His insight with respect to merchandising, operational activities and finance is an asset to our Board.</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Harvey S. Kanter </w:t>
      </w:r>
      <w:r>
        <w:rPr>
          <w:rFonts w:ascii="Arial" w:cs="Arial" w:eastAsia="Arial" w:hAnsi="Arial"/>
          <w:sz w:val="16"/>
          <w:szCs w:val="16"/>
          <w:color w:val="auto"/>
        </w:rPr>
        <w:t>is the President, Chief Executive Officer and a director of the Company. Mr. Kanter joined the Company in February 2019 in a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role as Advisor to the Acting CEO and assumed the role of President and Chief Executive Officer and a director of the Company in April 2019. Mr. Kanter has over 30 years of business experience, with an extensive background in the retail industry having served from March 2012 until June 2017 as the president and chief executive officer of Blue Nile, Inc., a leading online retailer of high-quality diamonds and fine jewelry. Since March 2012, Mr. Kanter has also served as a member of the board of directors of Blue Nile, Inc. and, since January 2014, he has served as its chairman. From January 2009 to March 2012, Mr. Kanter was the chief executive officer and president of Moosejaw Mountaineering and Backcountry Travel, Inc., a leading multi-channel retailer of premium outdoor apparel and gear. From April 2003 to June 2008, Mr. Kanter served in various executive positions at Michaels Stores, Inc. Mr. Kanter served as a director and a member of the compensation committee of Potbelly Corporation, a publicly-traded company, from August 2015 until May 2019. He is also a brand ambassador for the Fred Hutch Cancer Research Institute, and is an advisory board member to the Seattle University Executive MBA Program. Mr. Kanter brings an extensive knowledge of omni-channel retailing, with strong strategic and operational expertise.</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 xml:space="preserve">Jack Boyle </w:t>
      </w:r>
      <w:r>
        <w:rPr>
          <w:rFonts w:ascii="Arial" w:cs="Arial" w:eastAsia="Arial" w:hAnsi="Arial"/>
          <w:sz w:val="16"/>
          <w:szCs w:val="16"/>
          <w:color w:val="auto"/>
        </w:rPr>
        <w:t>has been a director since August 2017. Since February 2019, Mr. Boyle has been the co-president of direct to consumer/omni channel for</w:t>
      </w:r>
      <w:r>
        <w:rPr>
          <w:rFonts w:ascii="Arial" w:cs="Arial" w:eastAsia="Arial" w:hAnsi="Arial"/>
          <w:sz w:val="16"/>
          <w:szCs w:val="16"/>
          <w:i w:val="1"/>
          <w:iCs w:val="1"/>
          <w:color w:val="auto"/>
        </w:rPr>
        <w:t xml:space="preserve"> </w:t>
      </w:r>
      <w:r>
        <w:rPr>
          <w:rFonts w:ascii="Arial" w:cs="Arial" w:eastAsia="Arial" w:hAnsi="Arial"/>
          <w:sz w:val="16"/>
          <w:szCs w:val="16"/>
          <w:color w:val="auto"/>
        </w:rPr>
        <w:t>Fanatics, Inc., a market leader for officially licensed sports merchandise. Prior to that, from December 2017 to February 2019, Mr. Boyle was the co-president of North America direct to consumer/omni channel. He originally joined the company as president of merchandising in June 2012. From February 2005 to June 2012, Mr. Boyle was the executive vice president, general merchandising manager of women’s apparel, intimate, cosmetics and accessories for Kohl’s Corporation. From October 2003 to February 2005, he served as senior vice president, divisional merchandise manager of women’s apparel for Kohl’s Corporation, vice president of junior sportswear from July 2000 to October 2003 and vice president of planning/allocation for women's apparel from December 1999 to July 2000. From June 1990 to December 1999, Mr. Boyle held various merchandise positions, including divisional merchandise manager of women’s at May Company. Mr. Boyle brings to the board extensive experience in merchandising, brand management and omni-channel leadership.</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Lionel F. Conacher </w:t>
      </w:r>
      <w:r>
        <w:rPr>
          <w:rFonts w:ascii="Arial" w:cs="Arial" w:eastAsia="Arial" w:hAnsi="Arial"/>
          <w:sz w:val="16"/>
          <w:szCs w:val="16"/>
          <w:color w:val="auto"/>
        </w:rPr>
        <w:t>has been a director since June 2018. From January 2011 to June 2018, Mr. Conacher was a senior advisor for Altamont Capital Partners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LLC (“ACP”), a private equity firm. Mr. Conacher left ACP on June 30, 2018 to pursue the development of a new venture capital fund, Next Ventures,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GP. Mr. Conacher became managing partner of Next Ventures, GP in August 2018. Prior to joining ACP, from April 2008 until July 2010, Mr. Conacher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president and chief operating officer of Thomas Weisel Partners, an investment bank. Additionally, Mr. Conacher served as the chairman of Wunderlich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 investee company of ACP, from December 2013 until July 2017. He currently is a member of the board of directors of Dakine, a designer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manufacturer of sportswear and sports equipment for the snowboard, ski, surf, skate, bike, kite, and wind communities, and Mervin Manufacturing, a leading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designer and manufacturer of snow boards and other board sports equipment. Mr. Conacher brings extensive financial and operational experience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w:t>
      </w:r>
    </w:p>
    <w:p>
      <w:pPr>
        <w:spacing w:after="0" w:line="21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 xml:space="preserve">Seymour Holtzman </w:t>
      </w:r>
      <w:r>
        <w:rPr>
          <w:rFonts w:ascii="Arial" w:cs="Arial" w:eastAsia="Arial" w:hAnsi="Arial"/>
          <w:sz w:val="17"/>
          <w:szCs w:val="17"/>
          <w:color w:val="auto"/>
        </w:rPr>
        <w:t>has been a director since April 2000. From August 2014 to January 2019, Mr. Holtzman served as our Executive Chairman of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and from April 2000 to August 2014 as Chairman of the Board. Mr. Holtzman has been involved in the retail business for over 40 years. For many years, he has been the president and chief executive officer of Jewelcor, Incorporated, a former New York Stock Exchange listed company that operated a chain of retail stores. From 1986 to 1988, Mr. Holtzman was chairman of the board and also chief executive officer of Gruen Marketing Corporation, an American Stock Exchange listed company involved in the nationwide distribution of watches. For at least the last five years Mr. Holtzman has served as chairman and chief executive officer of Jewelcor Management, Inc., a company primarily involved in investment and management services. Mr. Holtzman is the chief executive officer and an indirect owner of C.D. Peacock, Inc., a Chicago, Illinois retail jewelry establishment, and is the managing member of Luxury Swiss, LLC, a retail Rolex watch establishment. Mr. Holtzman was formerly an officer of Homeclick LLC, which is currently the subject of an assignment for the benefit of creditors insolvency proceeding. Mr. Holtzman is a successful entrepreneur with extensive experience working with public companies and provides valuable insight to the Board with respect to strategic planning.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ind w:right="60"/>
        <w:spacing w:after="0" w:line="272" w:lineRule="auto"/>
        <w:rPr>
          <w:sz w:val="20"/>
          <w:szCs w:val="20"/>
          <w:color w:val="auto"/>
        </w:rPr>
      </w:pPr>
      <w:r>
        <w:rPr>
          <w:rFonts w:ascii="Arial" w:cs="Arial" w:eastAsia="Arial" w:hAnsi="Arial"/>
          <w:sz w:val="17"/>
          <w:szCs w:val="17"/>
          <w:i w:val="1"/>
          <w:iCs w:val="1"/>
          <w:color w:val="auto"/>
        </w:rPr>
        <w:t xml:space="preserve">Willem Mesdag </w:t>
      </w:r>
      <w:r>
        <w:rPr>
          <w:rFonts w:ascii="Arial" w:cs="Arial" w:eastAsia="Arial" w:hAnsi="Arial"/>
          <w:sz w:val="17"/>
          <w:szCs w:val="17"/>
          <w:color w:val="auto"/>
        </w:rPr>
        <w:t>has been a director since January 2014. Since January 2005, Mr. Mesdag has been the managing partner of Red Mountain Capital Partners</w:t>
      </w:r>
      <w:r>
        <w:rPr>
          <w:rFonts w:ascii="Arial" w:cs="Arial" w:eastAsia="Arial" w:hAnsi="Arial"/>
          <w:sz w:val="17"/>
          <w:szCs w:val="17"/>
          <w:i w:val="1"/>
          <w:iCs w:val="1"/>
          <w:color w:val="auto"/>
        </w:rPr>
        <w:t xml:space="preserve"> </w:t>
      </w:r>
      <w:r>
        <w:rPr>
          <w:rFonts w:ascii="Arial" w:cs="Arial" w:eastAsia="Arial" w:hAnsi="Arial"/>
          <w:sz w:val="17"/>
          <w:szCs w:val="17"/>
          <w:color w:val="auto"/>
        </w:rPr>
        <w:t>LLC, an investment management firm. Prior to founding Red Mountain in 2005, Mr. Mesdag was a partner and managing director of Goldman Sachs &amp; Co., which he joined in 1981. Prior to Goldman Sachs, he was a securities lawyer at Ballard, Spahr, Andrews &amp; Ingersoll, which he joined in 1978. He also serves on the board of Heidrick &amp; Struggles International, Inc., a publicly-traded company. He previously served on the boards of 3i Group plc, Encore Capital Group, Inc., Nature’s Sunshine Products, Inc. and Yuma Energy, Inc., all of which are publicly-traded companies. Having had an extensive career in international investment banking and finance and having served on domestic and international public-company boards, Mr. Mesdag brings to the Board significant knowledge and experience related to business and financial issues and corporate governance.</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2006. Mr. Mooney was a co-founder of Crystal Financial LLC, formerly Crystal Capital, and served as its</w:t>
      </w:r>
      <w:r>
        <w:rPr>
          <w:rFonts w:ascii="Arial" w:cs="Arial" w:eastAsia="Arial" w:hAnsi="Arial"/>
          <w:sz w:val="18"/>
          <w:szCs w:val="18"/>
          <w:i w:val="1"/>
          <w:iCs w:val="1"/>
          <w:color w:val="auto"/>
        </w:rPr>
        <w:t xml:space="preserve"> </w:t>
      </w:r>
      <w:r>
        <w:rPr>
          <w:rFonts w:ascii="Arial" w:cs="Arial" w:eastAsia="Arial" w:hAnsi="Arial"/>
          <w:sz w:val="18"/>
          <w:szCs w:val="18"/>
          <w:color w:val="auto"/>
        </w:rPr>
        <w:t>CEO from April 2010 until his retirement in December 2017. From April 2006 to April 2010, Mr. Mooney was the Senior Managing Partner of Crystal Capital. Prior to April 2006, Mr. Mooney was the president of Bank of America Retail Finance Group and managing partner of Back Bay Capital, which Mr. Mooney co-founded and both of which were formerly Bank of Boston businesses. Mr. Mooney provides the Board with valuable insight with respect to his extensive experience as a lender in the retail industry.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Mitchell S. Presser </w:t>
      </w:r>
      <w:r>
        <w:rPr>
          <w:rFonts w:ascii="Arial" w:cs="Arial" w:eastAsia="Arial" w:hAnsi="Arial"/>
          <w:sz w:val="18"/>
          <w:szCs w:val="18"/>
          <w:color w:val="auto"/>
        </w:rPr>
        <w:t>has been a director since May 2007. Since July 2014, Mr. Presser has been a partner and the head of U.S. Global Transactions at</w:t>
      </w:r>
      <w:r>
        <w:rPr>
          <w:rFonts w:ascii="Arial" w:cs="Arial" w:eastAsia="Arial" w:hAnsi="Arial"/>
          <w:sz w:val="18"/>
          <w:szCs w:val="18"/>
          <w:i w:val="1"/>
          <w:iCs w:val="1"/>
          <w:color w:val="auto"/>
        </w:rPr>
        <w:t xml:space="preserve"> </w:t>
      </w:r>
      <w:r>
        <w:rPr>
          <w:rFonts w:ascii="Arial" w:cs="Arial" w:eastAsia="Arial" w:hAnsi="Arial"/>
          <w:sz w:val="18"/>
          <w:szCs w:val="18"/>
          <w:color w:val="auto"/>
        </w:rPr>
        <w:t>Freshfields Bruckhaus Deringer LLP. From January 2014 until July 2014, Mr. Presser was a senior advisor to Paine Schwartz Partners (formerly Paine &amp; Partners, LLC), a private equity firm. From November 2006 to December 2013, Mr. Presser was a founding partner of Paine &amp; Partners, LLC. Prior to that, Mr. Presser was a partner with the law firm of Wachtell, Lipton, Rosen &amp; Katz, specializing in mergers &amp; acquisitions. Mr. Presser has served as a director on the boards of several privately-held companies. Mr. Presser’s extensive experience in private equity and strategic planning provides valuable insight to the Board.</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Ivy Ross </w:t>
      </w:r>
      <w:r>
        <w:rPr>
          <w:rFonts w:ascii="Arial" w:cs="Arial" w:eastAsia="Arial" w:hAnsi="Arial"/>
          <w:sz w:val="18"/>
          <w:szCs w:val="18"/>
          <w:color w:val="auto"/>
        </w:rPr>
        <w:t>has been a director since January 2013. In May 2014, Ms. Ross joined Google as head of Glass and is currently a vice president, design for hardware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Google. From July 2011 until April 2014, Ms. Ross was the chief marketing officer of Art.com from where she oversaw the company's marketing, branding, merchandising and user-experience functions. Prior to Art.com, from June 2008 to June 2011, Ms. Ross was EVP of marketing for the Gap brand, and also acted as the creative catalyst for all brands within Gap, Inc. Ms. Ross also has held senior creative and product design positions at Disney Stores North America, Mattel, Calvin Klein, Coach, Liz Claiborne, Swatch Watch and Avon. She also has served on Proctor and Gamble’s design board since its inception. With her industry insight and marketing expertise, Ms. Ross provides a valuable perspective to the Board as we continue to build our DXL brand.</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Non-Director Executive Officers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Peter H. Stratton, Jr.</w:t>
      </w:r>
      <w:r>
        <w:rPr>
          <w:rFonts w:ascii="Arial" w:cs="Arial" w:eastAsia="Arial" w:hAnsi="Arial"/>
          <w:sz w:val="18"/>
          <w:szCs w:val="18"/>
          <w:color w:val="auto"/>
        </w:rPr>
        <w:t>, 47, has been our Executive Vice President, Chief Financial Officer and Treasurer since November 2017. Prior to that, Mr. Stratton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Senior Vice President, Chief Financial Officer and Treasurer from June 2014 to November 2017. From August 2009 to June 2014, Mr. Stratton was our Senior Vice President of Finance, Corporate Controller and Chief Accounting Officer. Mr. Stratton joined the Company in June 2009 as Vice President of Finance. Prior to joining the Company, Mr. Stratton served as the senior director of corporate accounting at BearingPoint, Inc. from May 2007 to June 2009. Prior to May 2007, Mr. Stratton held various finance and accounting leadership positions at Legal Sea Foods, Inc., Shaw’s Supermarkets, Inc. and Cintas Corporation.</w:t>
      </w:r>
    </w:p>
    <w:p>
      <w:pPr>
        <w:spacing w:after="0" w:line="1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Brian S. Reaves, </w:t>
      </w:r>
      <w:r>
        <w:rPr>
          <w:rFonts w:ascii="Arial" w:cs="Arial" w:eastAsia="Arial" w:hAnsi="Arial"/>
          <w:sz w:val="18"/>
          <w:szCs w:val="18"/>
          <w:color w:val="auto"/>
        </w:rPr>
        <w:t>58, has been our Executive Vice President and Chief Operating Officer since October 2018. From November 2017 to October 2018, Mr.</w:t>
      </w:r>
      <w:r>
        <w:rPr>
          <w:rFonts w:ascii="Arial" w:cs="Arial" w:eastAsia="Arial" w:hAnsi="Arial"/>
          <w:sz w:val="18"/>
          <w:szCs w:val="18"/>
          <w:i w:val="1"/>
          <w:iCs w:val="1"/>
          <w:color w:val="auto"/>
        </w:rPr>
        <w:t xml:space="preserve"> </w:t>
      </w:r>
      <w:r>
        <w:rPr>
          <w:rFonts w:ascii="Arial" w:cs="Arial" w:eastAsia="Arial" w:hAnsi="Arial"/>
          <w:sz w:val="18"/>
          <w:szCs w:val="18"/>
          <w:color w:val="auto"/>
        </w:rPr>
        <w:t>Reaves served as our Executive Vice President and Chief Customer Officer. Prior to that, Mr. Reaves served as our Senior Vice President and Chief Sales Officer since November 2014. From May 2010 until November 2014, Mr. Reaves was our Senior Vice President of Store Sales and Operations. Prior to joining our Company, Mr. Reaves was the vice president – outreach and group sales for David’s Bridal from 2007 to 2009. Before that, Mr. Reaves was the senior vice president of sales for The Bridal Group from 2004 to 2007.</w:t>
      </w:r>
    </w:p>
    <w:p>
      <w:pPr>
        <w:spacing w:after="0" w:line="16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James S. Davey, 54</w:t>
      </w:r>
      <w:r>
        <w:rPr>
          <w:rFonts w:ascii="Arial" w:cs="Arial" w:eastAsia="Arial" w:hAnsi="Arial"/>
          <w:sz w:val="17"/>
          <w:szCs w:val="17"/>
          <w:color w:val="auto"/>
        </w:rPr>
        <w:t>, has been our Executive Vice President and Chief Marketing Officer since March 2018. Prior to joining the Company, Mr. Davey was</w:t>
      </w:r>
      <w:r>
        <w:rPr>
          <w:rFonts w:ascii="Arial" w:cs="Arial" w:eastAsia="Arial" w:hAnsi="Arial"/>
          <w:sz w:val="17"/>
          <w:szCs w:val="17"/>
          <w:i w:val="1"/>
          <w:iCs w:val="1"/>
          <w:color w:val="auto"/>
        </w:rPr>
        <w:t xml:space="preserve"> </w:t>
      </w:r>
      <w:r>
        <w:rPr>
          <w:rFonts w:ascii="Arial" w:cs="Arial" w:eastAsia="Arial" w:hAnsi="Arial"/>
          <w:sz w:val="17"/>
          <w:szCs w:val="17"/>
          <w:color w:val="auto"/>
        </w:rPr>
        <w:t>vice-president of global marketing for Timberland, a VF Corporation brand. From August 2009 to March 2012, Mr. Davey oversaw global brand marketing, communications, digital marketing, and creative services for Timberland’s footwear and apparel businesses and from March 2012 to March 2018, was additionally responsible for all Timberland’s North American wholesale, retail, and e-commerce marketing. Prior to joining Timberland, Mr. Davey was senior vice-president of marketing and retail development for Nickelodeon &amp; Viacom Consumer Products and served as their vice-president of hard lines from 2001 to 2009. Prior to 2001, he held senior marketing positions with Polaroid and LEGO Systems, Inc. Mr. Davey has over 25 years of experience building lifestyle brands in categories from toys to entertainment to footwear and apparel</w:t>
      </w:r>
      <w:r>
        <w:rPr>
          <w:rFonts w:ascii="Arial" w:cs="Arial" w:eastAsia="Arial" w:hAnsi="Arial"/>
          <w:sz w:val="15"/>
          <w:szCs w:val="15"/>
          <w:color w:val="auto"/>
        </w:rPr>
        <w: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i w:val="1"/>
          <w:iCs w:val="1"/>
          <w:color w:val="auto"/>
        </w:rPr>
        <w:t xml:space="preserve">Francis C. Chane, </w:t>
      </w:r>
      <w:r>
        <w:rPr>
          <w:rFonts w:ascii="Arial" w:cs="Arial" w:eastAsia="Arial" w:hAnsi="Arial"/>
          <w:sz w:val="18"/>
          <w:szCs w:val="18"/>
          <w:color w:val="auto"/>
        </w:rPr>
        <w:t>56, has been our Senior Vice President of Supply Chain and Customer Fulfillment since June 2011. Mr. Chane joined the Company in</w:t>
      </w:r>
      <w:r>
        <w:rPr>
          <w:rFonts w:ascii="Arial" w:cs="Arial" w:eastAsia="Arial" w:hAnsi="Arial"/>
          <w:sz w:val="18"/>
          <w:szCs w:val="18"/>
          <w:i w:val="1"/>
          <w:iCs w:val="1"/>
          <w:color w:val="auto"/>
        </w:rPr>
        <w:t xml:space="preserve"> </w:t>
      </w:r>
      <w:r>
        <w:rPr>
          <w:rFonts w:ascii="Arial" w:cs="Arial" w:eastAsia="Arial" w:hAnsi="Arial"/>
          <w:sz w:val="18"/>
          <w:szCs w:val="18"/>
          <w:color w:val="auto"/>
        </w:rPr>
        <w:t>June 2008 as our Vice President of Distribution &amp; Logistics. Prior to joining our Company, Mr. Chane was the vice president operations &amp; facilities for Redcats USA, a division of the French multi-national company PPR, from 1999 to June 2008. Prior to that, Mr. Chane held various leadership positions with WearGuard Corporation, a division of Aramark Corporation.</w:t>
      </w:r>
    </w:p>
    <w:p>
      <w:pPr>
        <w:spacing w:after="0" w:line="187"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John F. Cooney</w:t>
      </w:r>
      <w:r>
        <w:rPr>
          <w:rFonts w:ascii="Arial" w:cs="Arial" w:eastAsia="Arial" w:hAnsi="Arial"/>
          <w:sz w:val="17"/>
          <w:szCs w:val="17"/>
          <w:color w:val="auto"/>
        </w:rPr>
        <w:t>, 36, has been our Vice President of Finance and Managing Director, Corporate Controller and Chief Accounting Officer since May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was our Vice President of Finance, Corporate Controller and Chief Accounting Officer since May 2015 and our Vice President of Finance and Corporate Controller since June 2014. From November 2010 until June 2014, Mr. Cooney was our Director of Financial Accounting and Reporting. Prior to joining the Company, Mr. Cooney was an audit manager with PricewaterhouseCoopers LLP, which he joined in August 2004.</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Anthony J. Gaeta, </w:t>
      </w:r>
      <w:r>
        <w:rPr>
          <w:rFonts w:ascii="Arial" w:cs="Arial" w:eastAsia="Arial" w:hAnsi="Arial"/>
          <w:sz w:val="17"/>
          <w:szCs w:val="17"/>
          <w:color w:val="auto"/>
        </w:rPr>
        <w:t>50, has been our Senior Vice President of Store Sales and Operations since November 2017. Mr. Gaeta joined the Company in April 2010</w:t>
      </w:r>
      <w:r>
        <w:rPr>
          <w:rFonts w:ascii="Arial" w:cs="Arial" w:eastAsia="Arial" w:hAnsi="Arial"/>
          <w:sz w:val="17"/>
          <w:szCs w:val="17"/>
          <w:i w:val="1"/>
          <w:iCs w:val="1"/>
          <w:color w:val="auto"/>
        </w:rPr>
        <w:t xml:space="preserve"> </w:t>
      </w:r>
      <w:r>
        <w:rPr>
          <w:rFonts w:ascii="Arial" w:cs="Arial" w:eastAsia="Arial" w:hAnsi="Arial"/>
          <w:sz w:val="17"/>
          <w:szCs w:val="17"/>
          <w:color w:val="auto"/>
        </w:rPr>
        <w:t>as a Zone Vice President and was promoted to Vice President of Store Operations and Training in November 2013 before being named to his current position. Prior to joining the Company, Mr. Gaeta was a regional manager for Men’s Wearhouse from September 2007 until April 2011 and, prior to that, a regional vice president for After Hours Formalwear from March 2006 until September 2007</w:t>
      </w:r>
      <w:r>
        <w:rPr>
          <w:rFonts w:ascii="Arial" w:cs="Arial" w:eastAsia="Arial" w:hAnsi="Arial"/>
          <w:sz w:val="15"/>
          <w:szCs w:val="15"/>
          <w:color w:val="auto"/>
        </w:rPr>
        <w:t>.</w:t>
      </w:r>
    </w:p>
    <w:p>
      <w:pPr>
        <w:spacing w:after="0" w:line="14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Robert S. Molloy, </w:t>
      </w:r>
      <w:r>
        <w:rPr>
          <w:rFonts w:ascii="Arial" w:cs="Arial" w:eastAsia="Arial" w:hAnsi="Arial"/>
          <w:sz w:val="17"/>
          <w:szCs w:val="17"/>
          <w:color w:val="auto"/>
        </w:rPr>
        <w:t>59, has been our Senior Vice President, Chief Administrative Officer, General Counsel and Secretary since May 2018, having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the Company’s Senior Vice President, General Counsel since April 2010 and Secretary of the Company since May 2014. From February 2008 until April 2010, Mr. Molloy was our Vice President and General Counsel. Prior to joining the Company, Mr. Molloy served as the vice president, assistant general counsel at Staples, Inc. from May 1999 to February 2008. Prior to May 1999, Mr. Molloy was a trial attorney.</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Allison Surette</w:t>
      </w:r>
      <w:r>
        <w:rPr>
          <w:rFonts w:ascii="Arial" w:cs="Arial" w:eastAsia="Arial" w:hAnsi="Arial"/>
          <w:sz w:val="18"/>
          <w:szCs w:val="18"/>
          <w:color w:val="auto"/>
        </w:rPr>
        <w:t>, 38, has been our Senior Vice President General Merchandise Manager since May 2018. Prior to that, Ms. Surette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Merchandise Manager of Private Label, Active, Young Men’s and Outerwear since September 2016. Ms. Surette joined the Company in May 2006 as an Associate Planner and in June 2008, she transitioned into Merchandising as an Associate Buyer for Branded Collections. From October 2010 to January 2014, she served as a Buyer of Traditional Branded Collections and Buyer of Private Label Sportshirts and Outerwear. From January 2014 to September 2016, she was the Senior Buyer of Private Label Sportshirts and Outerwear. Prior to joining the Company, Ms. Surette was a planner for TJX from June 2003 until May 2006.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Former CEO</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David A. Levin, </w:t>
      </w:r>
      <w:r>
        <w:rPr>
          <w:rFonts w:ascii="Arial" w:cs="Arial" w:eastAsia="Arial" w:hAnsi="Arial"/>
          <w:sz w:val="17"/>
          <w:szCs w:val="17"/>
          <w:color w:val="auto"/>
        </w:rPr>
        <w:t>68, served as our President, Chief Executive Officer and a director from April 2000 until December 2018. From January 2019 to March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Levin served in a transition role as Acting CEO. Prior to joining the Company, from 1999 to 2000, he served as the executive vice president of eOutlet.com and served as 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In May 2017, Mr. Levin joined the board of directors of Lumber Liquidators, a publicly-traded company. Mr. Levin previously served on the board of directors of Christopher &amp; Banks Corporation, a publicly-traded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Board is currently comprised of nine members and there are no vacancies.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Our Board met 14 times during our fiscal year ended February 2, 2019 (“fiscal 2018”). All directors attended at least 75% of the Board meetings and meetings of the committees of the Board on which each director served. We believe that it is important for the members of the Board to attend our annual stockholder meetings. All members of the Board then in office attended our 2018 Annual Meeting of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comply with the corporate governance requirements imposed by the Sarbanes-Oxley Act of 2002, the SEC and Nasdaq. To assist the Board in fulfilling its responsibilities, we have adopted certain Corporate Governance Guidelines (the "Governance Guidelines"). Many features of our corporate governance principles are discussed in other sections of this proxy statement, but some of the highlights are:</w:t>
      </w:r>
    </w:p>
    <w:p>
      <w:pPr>
        <w:spacing w:after="0" w:line="69" w:lineRule="exact"/>
        <w:rPr>
          <w:sz w:val="20"/>
          <w:szCs w:val="20"/>
          <w:color w:val="auto"/>
        </w:rPr>
      </w:pPr>
    </w:p>
    <w:p>
      <w:pPr>
        <w:ind w:left="780" w:right="60" w:hanging="259"/>
        <w:spacing w:after="0" w:line="28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Annual Election of Directors. </w:t>
      </w:r>
      <w:r>
        <w:rPr>
          <w:rFonts w:ascii="Arial" w:cs="Arial" w:eastAsia="Arial" w:hAnsi="Arial"/>
          <w:sz w:val="18"/>
          <w:szCs w:val="18"/>
          <w:color w:val="auto"/>
        </w:rPr>
        <w:t>Our directors are elected annually for a term of office to expire at the next Annual Meeting (subject to the election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qualification of their successors).</w:t>
      </w:r>
    </w:p>
    <w:p>
      <w:pPr>
        <w:spacing w:after="0" w:line="53" w:lineRule="exact"/>
        <w:rPr>
          <w:rFonts w:ascii="Arial" w:cs="Arial" w:eastAsia="Arial" w:hAnsi="Arial"/>
          <w:sz w:val="18"/>
          <w:szCs w:val="18"/>
          <w:color w:val="auto"/>
        </w:rPr>
      </w:pPr>
    </w:p>
    <w:p>
      <w:pPr>
        <w:ind w:left="780" w:right="20" w:hanging="259"/>
        <w:spacing w:after="0" w:line="277"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Majority Vote for Uncontested Director Elections. </w:t>
      </w:r>
      <w:r>
        <w:rPr>
          <w:rFonts w:ascii="Arial" w:cs="Arial" w:eastAsia="Arial" w:hAnsi="Arial"/>
          <w:sz w:val="17"/>
          <w:szCs w:val="17"/>
          <w:color w:val="auto"/>
        </w:rPr>
        <w:t>Under our By-Laws, in an uncontested election, a majority of the votes properly cast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the election of our directors. In the case of a contested election, a plurality vote will be required for the election of directors. If a nominee for director does not receive the approval of a majority of the votes properly cast in an uncontested election, our By-Laws provide that the director will promptly tender to the Board his or her offer of resignation. The Nominating and Corporate Governance Committee of the Board will then consider the resignation offer and make a recommendation to the Board whether to accept or reject the resignation.</w:t>
      </w:r>
    </w:p>
    <w:p>
      <w:pPr>
        <w:spacing w:after="0" w:line="60" w:lineRule="exact"/>
        <w:rPr>
          <w:rFonts w:ascii="Arial" w:cs="Arial" w:eastAsia="Arial" w:hAnsi="Arial"/>
          <w:sz w:val="17"/>
          <w:szCs w:val="17"/>
          <w:color w:val="auto"/>
        </w:rPr>
      </w:pPr>
    </w:p>
    <w:p>
      <w:pPr>
        <w:ind w:left="780" w:right="220" w:hanging="259"/>
        <w:spacing w:after="0" w:line="26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Independent Board and Committees. </w:t>
      </w:r>
      <w:r>
        <w:rPr>
          <w:rFonts w:ascii="Arial" w:cs="Arial" w:eastAsia="Arial" w:hAnsi="Arial"/>
          <w:sz w:val="18"/>
          <w:szCs w:val="18"/>
          <w:color w:val="auto"/>
        </w:rPr>
        <w:t>The majority of our Board is comprised of independent directors. All members of our Board’s Audit,</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and Nominating and Corporate Governance committees are independent directors, and none receives compensation from us other than for service on our Board or its committees.</w:t>
      </w:r>
    </w:p>
    <w:p>
      <w:pPr>
        <w:spacing w:after="0" w:line="68" w:lineRule="exact"/>
        <w:rPr>
          <w:rFonts w:ascii="Arial" w:cs="Arial" w:eastAsia="Arial" w:hAnsi="Arial"/>
          <w:sz w:val="18"/>
          <w:szCs w:val="18"/>
          <w:color w:val="auto"/>
        </w:rPr>
      </w:pPr>
    </w:p>
    <w:p>
      <w:pPr>
        <w:ind w:left="780" w:right="100" w:hanging="259"/>
        <w:spacing w:after="0" w:line="313"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Independent Chairman/Independent Lead Director. </w:t>
      </w:r>
      <w:r>
        <w:rPr>
          <w:rFonts w:ascii="Arial" w:cs="Arial" w:eastAsia="Arial" w:hAnsi="Arial"/>
          <w:sz w:val="17"/>
          <w:szCs w:val="17"/>
          <w:color w:val="auto"/>
        </w:rPr>
        <w:t>From February 2, 2017 until January 24, 2019, Mr. Kyees served as our Lead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On January 24, 2019, Mr. Kyees was appointed Chairman of the Board, replacing our Executive Chairman.</w:t>
      </w:r>
    </w:p>
    <w:p>
      <w:pPr>
        <w:spacing w:after="0" w:line="30" w:lineRule="exact"/>
        <w:rPr>
          <w:rFonts w:ascii="Arial" w:cs="Arial" w:eastAsia="Arial" w:hAnsi="Arial"/>
          <w:sz w:val="17"/>
          <w:szCs w:val="17"/>
          <w:color w:val="auto"/>
        </w:rPr>
      </w:pPr>
    </w:p>
    <w:p>
      <w:pPr>
        <w:ind w:left="780" w:right="160" w:hanging="259"/>
        <w:spacing w:after="0" w:line="347"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Independent Executive Sessions. </w:t>
      </w:r>
      <w:r>
        <w:rPr>
          <w:rFonts w:ascii="Arial" w:cs="Arial" w:eastAsia="Arial" w:hAnsi="Arial"/>
          <w:sz w:val="16"/>
          <w:szCs w:val="16"/>
          <w:color w:val="auto"/>
        </w:rPr>
        <w:t>Our Board holds executive sessions on at least a semi-annual basis, where independent directors meet. In</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 periodically throughout 2018, the full Board, including the former Executive Chairman, would meet without management participation.</w:t>
      </w:r>
    </w:p>
    <w:p>
      <w:pPr>
        <w:spacing w:after="0" w:line="8" w:lineRule="exact"/>
        <w:rPr>
          <w:rFonts w:ascii="Arial" w:cs="Arial" w:eastAsia="Arial" w:hAnsi="Arial"/>
          <w:sz w:val="16"/>
          <w:szCs w:val="16"/>
          <w:color w:val="auto"/>
        </w:rPr>
      </w:pPr>
    </w:p>
    <w:p>
      <w:pPr>
        <w:ind w:left="780" w:right="100" w:hanging="259"/>
        <w:spacing w:after="0" w:line="25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Each non-employee director is required to receive at least 50% of his or her retainer in equity,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shares or deferred stock or any combination thereof. The directors may also elect to receive any or all of the other 50% of his or her compensation in equity as described in this paragraph. Pursuant to the Company’s Fourth Amended and Restated Non-Employee Director Compensation Plan, effective December 31, 2018, a director may not sell any equity received under the plan while each director is still serving on the Board without the approval of the Board. We encourage our senior management to have meaningful ownership in our Company. However, given that management ownership is typically measured as a multiple of salary and our current low stock price, we do not have any required stock ownership guidelines for members of senior management.</w:t>
      </w:r>
    </w:p>
    <w:p>
      <w:pPr>
        <w:spacing w:after="0" w:line="81" w:lineRule="exact"/>
        <w:rPr>
          <w:rFonts w:ascii="Arial" w:cs="Arial" w:eastAsia="Arial" w:hAnsi="Arial"/>
          <w:sz w:val="18"/>
          <w:szCs w:val="18"/>
          <w:color w:val="auto"/>
        </w:rPr>
      </w:pPr>
    </w:p>
    <w:p>
      <w:pPr>
        <w:ind w:left="780" w:right="20" w:hanging="259"/>
        <w:spacing w:after="0" w:line="266"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Hedging of Company Securities. </w:t>
      </w:r>
      <w:r>
        <w:rPr>
          <w:rFonts w:ascii="Arial" w:cs="Arial" w:eastAsia="Arial" w:hAnsi="Arial"/>
          <w:sz w:val="18"/>
          <w:szCs w:val="18"/>
          <w:color w:val="auto"/>
        </w:rPr>
        <w:t>Our Insider Trading Policy prohibits our directors, officers and employees from engaging in various</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activities with Company securities, including short sales and any transaction involving a publicly traded option, such as a put, call or other derivative security.</w:t>
      </w:r>
    </w:p>
    <w:p>
      <w:pPr>
        <w:spacing w:after="0" w:line="68" w:lineRule="exact"/>
        <w:rPr>
          <w:rFonts w:ascii="Arial" w:cs="Arial" w:eastAsia="Arial" w:hAnsi="Arial"/>
          <w:sz w:val="18"/>
          <w:szCs w:val="18"/>
          <w:color w:val="auto"/>
        </w:rPr>
      </w:pPr>
    </w:p>
    <w:p>
      <w:pPr>
        <w:ind w:left="780" w:hanging="259"/>
        <w:spacing w:after="0"/>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No Stockholder Rights Plan. </w:t>
      </w:r>
      <w:r>
        <w:rPr>
          <w:rFonts w:ascii="Arial" w:cs="Arial" w:eastAsia="Arial" w:hAnsi="Arial"/>
          <w:sz w:val="17"/>
          <w:szCs w:val="17"/>
          <w:color w:val="auto"/>
        </w:rPr>
        <w:t>We do not currently have a stockholder rights plan in effect and are not currently considering adopting one.</w:t>
      </w:r>
    </w:p>
    <w:p>
      <w:pPr>
        <w:spacing w:after="0" w:line="128" w:lineRule="exact"/>
        <w:rPr>
          <w:rFonts w:ascii="Arial" w:cs="Arial" w:eastAsia="Arial" w:hAnsi="Arial"/>
          <w:sz w:val="17"/>
          <w:szCs w:val="17"/>
          <w:color w:val="auto"/>
        </w:rPr>
      </w:pPr>
    </w:p>
    <w:p>
      <w:pPr>
        <w:ind w:left="780" w:right="40" w:hanging="259"/>
        <w:spacing w:after="0" w:line="282"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Vote Required for Merger or Business Combination</w:t>
      </w:r>
      <w:r>
        <w:rPr>
          <w:rFonts w:ascii="Arial" w:cs="Arial" w:eastAsia="Arial" w:hAnsi="Arial"/>
          <w:sz w:val="18"/>
          <w:szCs w:val="18"/>
          <w:color w:val="auto"/>
        </w:rPr>
        <w:t>. A majority vote of the outstanding shares entitled to vote is needed for the stockholders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a merger or business combination.</w:t>
      </w:r>
    </w:p>
    <w:p>
      <w:pPr>
        <w:spacing w:after="0" w:line="53" w:lineRule="exact"/>
        <w:rPr>
          <w:rFonts w:ascii="Arial" w:cs="Arial" w:eastAsia="Arial" w:hAnsi="Arial"/>
          <w:sz w:val="18"/>
          <w:szCs w:val="18"/>
          <w:color w:val="auto"/>
        </w:rPr>
      </w:pPr>
    </w:p>
    <w:p>
      <w:pPr>
        <w:ind w:left="780" w:right="140" w:hanging="259"/>
        <w:spacing w:after="0" w:line="303"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Clawback Policy. </w:t>
      </w:r>
      <w:r>
        <w:rPr>
          <w:rFonts w:ascii="Arial" w:cs="Arial" w:eastAsia="Arial" w:hAnsi="Arial"/>
          <w:sz w:val="16"/>
          <w:szCs w:val="16"/>
          <w:color w:val="auto"/>
        </w:rPr>
        <w:t>Our employment agreements with members of our senior management and our long-term incentive plans contain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that provide for remedies in the event we learn, after the senior executive is terminated by us other than for “justifiable cause,” that the senior executive could have been terminated for “justifiable cause.” In August 2018, we adopted an Executive Incentive Pay Clawback Policy (“Clawback Policy”) that permits the Company to recover incentive-based compensation (cash and/or equity) in certain circumstances.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0" w:name="page11"/>
    <w:bookmarkEnd w:id="10"/>
    <w:p>
      <w:pPr>
        <w:ind w:left="780" w:right="560" w:hanging="259"/>
        <w:spacing w:after="0" w:line="282"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Directors Overboarding Policy. </w:t>
      </w:r>
      <w:r>
        <w:rPr>
          <w:rFonts w:ascii="Arial" w:cs="Arial" w:eastAsia="Arial" w:hAnsi="Arial"/>
          <w:sz w:val="18"/>
          <w:szCs w:val="18"/>
          <w:color w:val="auto"/>
        </w:rPr>
        <w:t>No director can serve on more than five public company boards. In addition, no director who is a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can serve on more than one public company board besides that of our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majority of the members of the Board are “independent” under the rules of the Nasdaq Global Select Market (“Nasdaq”). The Board has determined that the following directors are independent: Messrs. Kyees, Boyle, Conacher, Mesdag, Mooney, Presser and Ross.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Board has four standing committees: the Nominating and Corporate Governance Committee, the Audit Committee, the Compensation Committee, the Cybersecurity and Data Privacy Committee. The Marketing Strategy Committee, which was formed in August 3, 2017, was dissolved on February 7, 2019. Each committee is comprised of directors who are “independent” under the rules of Nasdaq.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Nominating and Corporate Governance Committee (the “Nominating Committee”) has a written charter, which can be found under “Corporate Governance–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The Nominating Committee was established to perform functions related to governance of our Company, including, but not limited to, planning for the succession of our CEO and such other officers as the Nominating Committee shall determine from time to time, recommending to the Board individuals to stand for election as directors, overseeing and recommending the selection and composition of committees of the Board, and developing and recommending to the Board a set of corporate governance principles applicable to our Company. The Nominating Committee has the authority to retain independent advisors, with all fees and expenses to be paid by the Company. The current members of the Nominating Committee are Messrs. Presser and Boyle and Ms. Ross, each of whom is “independent” under the rules of Nasdaq. The Nominating Committee met formally nine times during fiscal 2018.</w:t>
      </w:r>
    </w:p>
    <w:p>
      <w:pPr>
        <w:spacing w:after="0" w:line="1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Board's current policy with regard to the consideration of director candidates recommended by stockholders is that the Nominating Committee will review and consider any director candidates who have been recommended by stockholders in compliance with the procedures established from time to time by the Nominating Committee, and conduct inquiries it deems appropriate. The Nominating Committee will consider for nomination any such proposed director candidate who is deemed qualified by the Nominating Committee in light of the minimum qualifications and other criteria for Board membership approved by the Nominating Committee from time to time.</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While the Nominating Committee does not have a formal diversity policy for Board membership and identifies qualified candidates without regard to race, color, disability, gender, national origin, religion or creed, it does seek to ensure the fair representation of all stockholder interests on the Board. In that regard, in considering candidates for the Board, the Nominating Committee considers, among other factors, diversity with respect to viewpoint, skills and experience. The Board believes that the use of these general criteria, along with the minimum qualifications listed below, will result in nominees who represent a mix of backgrounds and experiences that will enhance the quality of the Board.</w:t>
      </w:r>
    </w:p>
    <w:p>
      <w:pPr>
        <w:spacing w:after="0" w:line="17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At a minimum, the Nominating Committee must be satisfied that each nominee, both those recommended by the Nominating Committee and those recommended by stockholders, meets the following minimum qualifications:</w:t>
      </w:r>
    </w:p>
    <w:p>
      <w:pPr>
        <w:spacing w:after="0" w:line="62" w:lineRule="exact"/>
        <w:rPr>
          <w:sz w:val="20"/>
          <w:szCs w:val="20"/>
          <w:color w:val="auto"/>
        </w:rPr>
      </w:pPr>
    </w:p>
    <w:p>
      <w:pPr>
        <w:ind w:left="780" w:hanging="259"/>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17" w:lineRule="exact"/>
        <w:rPr>
          <w:rFonts w:ascii="Arial" w:cs="Arial" w:eastAsia="Arial" w:hAnsi="Arial"/>
          <w:sz w:val="18"/>
          <w:szCs w:val="18"/>
          <w:color w:val="auto"/>
        </w:rPr>
      </w:pPr>
    </w:p>
    <w:p>
      <w:pPr>
        <w:ind w:left="780" w:right="80" w:hanging="259"/>
        <w:spacing w:after="0" w:line="308" w:lineRule="auto"/>
        <w:tabs>
          <w:tab w:leader="none" w:pos="7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8" w:lineRule="exact"/>
        <w:rPr>
          <w:rFonts w:ascii="Arial" w:cs="Arial" w:eastAsia="Arial" w:hAnsi="Arial"/>
          <w:sz w:val="17"/>
          <w:szCs w:val="17"/>
          <w:color w:val="auto"/>
        </w:rPr>
      </w:pPr>
    </w:p>
    <w:p>
      <w:pPr>
        <w:ind w:left="780" w:right="200" w:hanging="25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62" w:lineRule="exact"/>
        <w:rPr>
          <w:rFonts w:ascii="Arial" w:cs="Arial" w:eastAsia="Arial" w:hAnsi="Arial"/>
          <w:sz w:val="18"/>
          <w:szCs w:val="18"/>
          <w:color w:val="auto"/>
        </w:rPr>
      </w:pPr>
    </w:p>
    <w:p>
      <w:pPr>
        <w:ind w:left="780" w:right="260" w:hanging="259"/>
        <w:spacing w:after="0" w:line="26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spacing w:after="0" w:line="73" w:lineRule="exact"/>
        <w:rPr>
          <w:rFonts w:ascii="Arial" w:cs="Arial" w:eastAsia="Arial" w:hAnsi="Arial"/>
          <w:sz w:val="18"/>
          <w:szCs w:val="18"/>
          <w:color w:val="auto"/>
        </w:rPr>
      </w:pPr>
    </w:p>
    <w:p>
      <w:pPr>
        <w:ind w:left="780" w:right="160" w:hanging="259"/>
        <w:spacing w:after="0" w:line="27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The current procedures to be followed by stockholders in submitting recommendations for director candidates can be found in Section 4.15 of our By-Laws.</w:t>
      </w:r>
    </w:p>
    <w:p>
      <w:pPr>
        <w:spacing w:after="0" w:line="24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Except where we are legally required by contract or otherwise to provide third parties with the ability to nominate directors, the Nominating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Nominating Committee may solicit recommendations from any or all of the following sources: non-management directors, the CEO, other executive officers, third-party search firms or any other source it deems appropriate. The Nominating Committee will review and evaluate the qualifications of any such proposed director candidate, and conduct inquiries it deems appropriate. The Nominating Committee will evaluate all such proposed director candidates in the same manner, with no regard to the source of the initial recommendation of such proposed director candidate. Accordingly, there are no differences in the manner in which the Nominating Committee evaluates director nominees recommended by stockholders. In identifying and evaluating candidates for membership on the Board, the Nominating Committee will take into account all factors it considers appropriate, which may include strength of character, mature judgment, career specialization, relevant technical skills, diversity, and the extent to which the candidate would fill a present need on the Board.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Mooney, Conacher, Kyees and Mesdag. Each of the members of the Audit Committee is independent, as independence for Audit Committee members is defined under the rules of Nasdaq. Messrs. Mooney, Conacher, Kyees and Mesdag each qualifies as an audit committee financial expert under the rules of the SEC.</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purpose of the Audit Committee is to (i) assist the Board in fulfilling its oversight responsibilities to the shareholders, potential shareholders and the investment community; (ii) oversee the audits of our financial statements and our relationship with our independent registered public accounting firm; (iii) 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and the independent registered public accounting firm, unfiltered access to each other on a regular basis. The Audit Committee has the authority to retain independent advisors, with all fees and expenses to be paid by the Company. The Audit Committee meets at least quarterly and as often as it deems necessary in order to perform its responsibilities. During fiscal 2018, the Audit Committee met 10 times.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Audit Committee, see the “</w:t>
      </w:r>
      <w:r>
        <w:rPr>
          <w:rFonts w:ascii="Arial" w:cs="Arial" w:eastAsia="Arial" w:hAnsi="Arial"/>
          <w:sz w:val="18"/>
          <w:szCs w:val="18"/>
          <w:i w:val="1"/>
          <w:iCs w:val="1"/>
          <w:color w:val="auto"/>
        </w:rPr>
        <w:t>Report of the Audit Committee</w:t>
      </w:r>
      <w:r>
        <w:rPr>
          <w:rFonts w:ascii="Arial" w:cs="Arial" w:eastAsia="Arial" w:hAnsi="Arial"/>
          <w:sz w:val="18"/>
          <w:szCs w:val="18"/>
          <w:color w:val="auto"/>
        </w:rPr>
        <w:t>” included elsewhere in this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jc w:val="both"/>
        <w:ind w:right="260"/>
        <w:spacing w:after="0" w:line="276" w:lineRule="auto"/>
        <w:rPr>
          <w:sz w:val="20"/>
          <w:szCs w:val="20"/>
          <w:color w:val="auto"/>
        </w:rPr>
      </w:pPr>
      <w:r>
        <w:rPr>
          <w:rFonts w:ascii="Arial" w:cs="Arial" w:eastAsia="Arial" w:hAnsi="Arial"/>
          <w:sz w:val="17"/>
          <w:szCs w:val="17"/>
          <w:color w:val="auto"/>
        </w:rPr>
        <w:t>The primary purpose of the Compensation Committee is to discharge the Board’s responsibilities relating to executive compensation. The Compensation Committee also reviews and independently approves, or makes recommendations to the full Board, all stock-based compensation awards to our executive officers under our equity incentive plans. The Compensation Committee has the authority to retain independent advisors, with all fees and expenses to be paid by the Company. The Compensation Committee met 11 times during fiscal 2018. The current members of the Compensation Committee are Messrs. Mesdag, Conacher, Mooney and Presser, each of whom is “independent” under the rules of the Nasdaq.</w:t>
      </w:r>
    </w:p>
    <w:p>
      <w:pPr>
        <w:spacing w:after="0" w:line="1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is included in this Proxy Statement. Among other things, the Compensation Discussion and Analysis describes in greater detail the Compensation Committee’s role in the executive compensation process.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Cybersecurity and Data Privacy Committee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28, 2016, upon the recommendation of the Nominating Committee, the Board of Directors approved the formation of the Cybersecurity and Data Privacy Committee (the “Cybersecurity Committee”) to oversee the monitoring and management of cyber risk and data privacy in the Company. The Cybersecurity Committee has the authority to retain independent advisors, with all fees and expenses to be paid by the Company. The current members of the Cybersecurity Committee are Messrs. Kyees and Boyle and Ms. Ross. Mr. Boyle was appointed to the committee on May 8, 2019. The Cybersecurity Committee met three times during fiscal 2018.</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Cybersecurity Committee operates under a written charter, which can be found under “Corporate Governance –Charters &amp; Policies” on the Investor Relations page of our website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Strategy Committee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August 3, 2017, the Board of Directors approved the formation of the Marketing Strategy Committee to assist the Board in its oversight of the strategic goals and objectives of the Company’s marketing and brand development programs, including digital and social media initiatives and the alignment of those initiatives with the Company’s strategic goals. The Marketing Strategy Committee met four times during fiscal 2018 and was dissolved on February 7,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Leadership Structure</w:t>
      </w:r>
    </w:p>
    <w:p>
      <w:pPr>
        <w:spacing w:after="0" w:line="11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Board believes that the Company and its stockholders are best served by maintaining flexibility to have any director serve as Chairman of the Board. Under our Corporate Governance Guidelines, if the Chairman is not independent, the Board appoints an independent Lead Director.</w:t>
      </w:r>
    </w:p>
    <w:p>
      <w:pPr>
        <w:spacing w:after="0" w:line="1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January 2019, the Board voted to implement an independent Chairman and elected Mr. Kyees, who had previously served as independent Lead Director, and replaced Mr. Holtzman, who served as our Executive Chairman from August 2014 and as our Chairman since August 2002.</w:t>
      </w:r>
    </w:p>
    <w:p>
      <w:pPr>
        <w:spacing w:after="0" w:line="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Board delegates substantial responsibility to its committees, including as described below. We believe that the independent committees of our Board and their chairpersons are an important aspect of the leadership structure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Oversight</w:t>
      </w:r>
    </w:p>
    <w:p>
      <w:pPr>
        <w:spacing w:after="0" w:line="1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Board, as a whole and through its committees, has responsibility for the oversight of risk management. With the oversight of our full Board, our executive officers are responsible for the day-to-day management of the material risks we face. The involvement of the full Board in setting our business strategy is a key part of its oversight of risk management and in determining what constitutes an appropriate level of risk for us. The full Board receives updates from our executive officers and outside advisors regarding certain risks our Company faces, including various operating risks and corporate governance best practices. At least annually, our senior management team meets to review our identified risks and compensating controls as well as any potential new risks and, when appropriate, presents to the full Board.</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addition, our Board committees each oversee certain aspects of risk management. Our Audit Committee is responsible for overseeing the management of risks associated with the Company’s financial reporting, accounting and auditing matters; our Compensation Committee oversees risks associated with our compensation policies and programs; our Cybersecurity Committee oversees the management of risks associated with cyber risk and data privacy issues; and our Nominating Committee oversees the management of risks associated with director independence, conflicts of interest, composition and organization of our Board, and director succession planning. Our Board committees report their findings to the full Board.</w:t>
      </w: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Board has adopted Corporate Governance Guidelines, which set forth our governance principles relating to, among other things, director independence, director qualifications and responsibilities, board structure and meetings, and management succession.</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 xml:space="preserve">A copy of the Governance Guidelines can be found under “Corporate Governance –Charters &amp; Policies” on the Investor Relations page of our corporate website,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have adopted a Code of Ethics for Directors, Officers and Financial Professionals (the “Code of Ethics”). The full text of the Code of Ethics can be found under “Corporate Governance –Charters &amp; Policies” on the Investor Relations page of our corporate web site, which is at </w:t>
      </w:r>
      <w:r>
        <w:rPr>
          <w:rFonts w:ascii="Arial" w:cs="Arial" w:eastAsia="Arial" w:hAnsi="Arial"/>
          <w:sz w:val="18"/>
          <w:szCs w:val="18"/>
          <w:i w:val="1"/>
          <w:iCs w:val="1"/>
          <w:color w:val="auto"/>
        </w:rPr>
        <w:t>https://investor.dxl.com.</w:t>
      </w:r>
      <w:r>
        <w:rPr>
          <w:rFonts w:ascii="Arial" w:cs="Arial" w:eastAsia="Arial" w:hAnsi="Arial"/>
          <w:sz w:val="18"/>
          <w:szCs w:val="18"/>
          <w:color w:val="auto"/>
        </w:rPr>
        <w:t xml:space="preserve"> We intend to satisfy the disclosure requirement under Item 5.05 of Form 8-K regarding any amendment to, or waiver from, a provision of our Code of Ethics by posting such information on our website. We also have a Code of Ethics for all of our associates. Annually, our directors and associates, including our officers, certify that they have read and are in compliance with our Code of Ethics.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None of the members of the Compensation Committee who served on the Compensation Committee during fiscal 2018 was at any time during fiscal 2018 or at any other time an officer or employee of our Company. During fiscal 2018, none of our executive officers served as a member of the board of directors or compensation committee of any other entity that had one or more executive officers serving as a member of our Board or Compensation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Compensation Committee is responsible for reviewing and making recommendations to our Board of Directors with respect to the compensation paid to our non-employee directors. During fiscal 2018, the Compensation Committee engaged Sibson Consulting to review the compensation paid to our non-employee directors. As a result of that review, the Compensation Committee recommended, and the Board of Directors approved, the Fourth Amended and Restated Compensation Plan on December 21, 2018 (the “Non-Employee Director Compensation Plan”). Under the amended plan, which became effective on December 31, 2018:</w:t>
      </w:r>
    </w:p>
    <w:p>
      <w:pPr>
        <w:spacing w:after="0" w:line="80" w:lineRule="exact"/>
        <w:rPr>
          <w:sz w:val="20"/>
          <w:szCs w:val="20"/>
          <w:color w:val="auto"/>
        </w:rPr>
      </w:pPr>
    </w:p>
    <w:p>
      <w:pPr>
        <w:ind w:left="820" w:hanging="38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independent director receives a quarterly retainer of $30,000;</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Chairman of the Board or Lead Director, as applicable, will receive a quarterly retainer of $5,000;</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 quarterly retainer of $2,500; and</w:t>
      </w:r>
    </w:p>
    <w:p>
      <w:pPr>
        <w:spacing w:after="0" w:line="117" w:lineRule="exact"/>
        <w:rPr>
          <w:rFonts w:ascii="Arial" w:cs="Arial" w:eastAsia="Arial" w:hAnsi="Arial"/>
          <w:sz w:val="18"/>
          <w:szCs w:val="18"/>
          <w:color w:val="auto"/>
        </w:rPr>
      </w:pPr>
    </w:p>
    <w:p>
      <w:pPr>
        <w:ind w:left="820" w:hanging="380"/>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Chairperson of each other Board committee will receive a quarterly retainer of $1,250.</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amended plan eliminated per meeting fees and the grant of stock options upon a director’s initial appointment to the Board. Directors will be required to hold equity until their termination from board service, unless an extenuating circumstance exists and the Board, in its sole discretion, approves the sale of such equity.</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January 2010, the Company established a Non-Employee Director Stock Purchase Plan to provide a convenient method for its non-employee directors to acquire shares of the Company’s common stock at fair market value by voluntarily electing to receive shares of common stock in lieu of cash for service as a director. The substance of this plan is now encompassed within the Non-Employee Director Compensation Plan. There are 500,000 shares authorized for issuance under this plan for the sole purpose of satisfying voluntary elections to receive shares of common stock in lieu of cash for service as a director, of which 225,010 shares remain available for future issuances at February 2, 2019. The Non-Employee Director Compensation Plan is a stand-alone plan and is not a sub-plan under our 2016 Incentive Compensation Plan (the “2016 Plan”). Accordingly, shares issued under this plan do not reduce the shares available for issuance under the 2016 Plan.</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Each non-employee director is required to receive 50% of his or her annual retainer in equity, in the form of stock options, stock or deferred shares. Because the Non-Employee Director Compensation Plan is not a shareholder-approved plan and the acquisition of equity must be voluntary under Nasdaq rules, we cannot utilize shares under this plan to satisfy this mandated election. Therefore, in fiscal 2018 any grants of equity to satisfy this required election were issued from the 2016 Plan. Shares issued as a result of a director’s voluntary election to receive shares in lieu of cash fees in excess of the 50% retainer requirement are issued from the Non-Employee Director Compensation Plan. All stock options and deferred shares are issued from the 2016 Plan.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4" w:name="page15"/>
    <w:bookmarkEnd w:id="14"/>
    <w:p>
      <w:pPr>
        <w:spacing w:after="0" w:line="342" w:lineRule="auto"/>
        <w:rPr>
          <w:sz w:val="20"/>
          <w:szCs w:val="20"/>
          <w:color w:val="auto"/>
        </w:rPr>
      </w:pPr>
      <w:r>
        <w:rPr>
          <w:rFonts w:ascii="Arial" w:cs="Arial" w:eastAsia="Arial" w:hAnsi="Arial"/>
          <w:sz w:val="16"/>
          <w:szCs w:val="16"/>
          <w:color w:val="auto"/>
        </w:rPr>
        <w:t>We believe that our Non-Employee Director Compensation Plan will support our ongoing efforts to attract and retain exceptional directors to provide strategic guidance to our Company. We believe that the total compensation that our non-employee directors receive is in line with our current peer group.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table sets forth the compensation paid to our directors during fiscal 2018. For fiscal 2018, our Third Amended and Restated Non-Employee Director Compensation Plan was in effect until December 31, 2018, when the Company’s Fourth Amended and Restated Non-Employee Compensation Plan became effective. Harvey S. Kanter did not become a director of the Company until April 1, 2019 and will not receive compensation for his services as a director, therefore, he is not included in the following table. David A. Levin is not included in the following table as he is a Named Executive Officer and, accordingly, received no compensation for his services as a director during fiscal 2018. Compensation earned by Mr. Levin is included below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DIRECTOR COMPENSATION TABLE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6"/>
              </w:rPr>
              <w:t>Fees Earned or</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Stock</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6"/>
              <w:spacing w:after="0"/>
              <w:rPr>
                <w:sz w:val="20"/>
                <w:szCs w:val="20"/>
                <w:color w:val="auto"/>
              </w:rPr>
            </w:pPr>
            <w:r>
              <w:rPr>
                <w:rFonts w:ascii="Arial" w:cs="Arial" w:eastAsia="Arial" w:hAnsi="Arial"/>
                <w:sz w:val="14"/>
                <w:szCs w:val="14"/>
                <w:b w:val="1"/>
                <w:bCs w:val="1"/>
                <w:color w:val="auto"/>
                <w:w w:val="88"/>
              </w:rPr>
              <w:t>Option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All Other</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Paid in Cash</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6"/>
              </w:rPr>
              <w:t>Awards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r>
      <w:tr>
        <w:trPr>
          <w:trHeight w:val="16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332"/>
              <w:spacing w:after="0"/>
              <w:rPr>
                <w:sz w:val="20"/>
                <w:szCs w:val="20"/>
                <w:color w:val="auto"/>
              </w:rPr>
            </w:pPr>
            <w:r>
              <w:rPr>
                <w:rFonts w:ascii="Arial" w:cs="Arial" w:eastAsia="Arial" w:hAnsi="Arial"/>
                <w:sz w:val="14"/>
                <w:szCs w:val="14"/>
                <w:b w:val="1"/>
                <w:bCs w:val="1"/>
                <w:color w:val="auto"/>
                <w:w w:val="82"/>
              </w:rPr>
              <w:t>)(1)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($)(1)(2)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76"/>
              <w:spacing w:after="0"/>
              <w:rPr>
                <w:sz w:val="20"/>
                <w:szCs w:val="20"/>
                <w:color w:val="auto"/>
              </w:rPr>
            </w:pPr>
            <w:r>
              <w:rPr>
                <w:rFonts w:ascii="Arial" w:cs="Arial" w:eastAsia="Arial" w:hAnsi="Arial"/>
                <w:sz w:val="14"/>
                <w:szCs w:val="14"/>
                <w:b w:val="1"/>
                <w:bCs w:val="1"/>
                <w:color w:val="auto"/>
                <w:w w:val="93"/>
              </w:rPr>
              <w:t>($)(3)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($)(4)</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r>
      <w:tr>
        <w:trPr>
          <w:trHeight w:val="223"/>
        </w:trPr>
        <w:tc>
          <w:tcPr>
            <w:tcW w:w="4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 Chairman</w:t>
            </w: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76,500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76,482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152,982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Jack Boyle</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77,375</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51,119</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128,494</w:t>
            </w:r>
          </w:p>
        </w:tc>
        <w:tc>
          <w:tcPr>
            <w:tcW w:w="10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Lionel F. Conacher</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45,063</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25,560</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13,623</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84,246</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Seymour Holtzman, former Executive Chairman</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216,000</w:t>
            </w:r>
          </w:p>
        </w:tc>
        <w:tc>
          <w:tcPr>
            <w:tcW w:w="38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216,000</w:t>
            </w:r>
          </w:p>
        </w:tc>
        <w:tc>
          <w:tcPr>
            <w:tcW w:w="10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141,735</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141,735</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73,375</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73,358</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146,733</w:t>
            </w:r>
          </w:p>
        </w:tc>
        <w:tc>
          <w:tcPr>
            <w:tcW w:w="10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Mitchell S. Presser</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136,485</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136,485</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gridSpan w:val="2"/>
          </w:tcPr>
          <w:p>
            <w:pPr>
              <w:spacing w:after="0"/>
              <w:rPr>
                <w:sz w:val="20"/>
                <w:szCs w:val="20"/>
                <w:color w:val="auto"/>
              </w:rPr>
            </w:pPr>
            <w:r>
              <w:rPr>
                <w:rFonts w:ascii="Arial" w:cs="Arial" w:eastAsia="Arial" w:hAnsi="Arial"/>
                <w:sz w:val="18"/>
                <w:szCs w:val="18"/>
                <w:color w:val="auto"/>
              </w:rPr>
              <w:t>Ivy Ross</w:t>
            </w: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86,875</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51,119</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137,994</w:t>
            </w:r>
          </w:p>
        </w:tc>
        <w:tc>
          <w:tcPr>
            <w:tcW w:w="100" w:type="dxa"/>
            <w:vAlign w:val="bottom"/>
          </w:tcPr>
          <w:p>
            <w:pPr>
              <w:spacing w:after="0"/>
              <w:rPr>
                <w:sz w:val="19"/>
                <w:szCs w:val="19"/>
                <w:color w:val="auto"/>
              </w:rPr>
            </w:pPr>
          </w:p>
        </w:tc>
      </w:tr>
      <w:tr>
        <w:trPr>
          <w:trHeight w:val="230"/>
        </w:trPr>
        <w:tc>
          <w:tcPr>
            <w:tcW w:w="4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Oliver Walsh </w:t>
            </w:r>
            <w:r>
              <w:rPr>
                <w:rFonts w:ascii="Arial" w:cs="Arial" w:eastAsia="Arial" w:hAnsi="Arial"/>
                <w:sz w:val="15"/>
                <w:szCs w:val="15"/>
                <w:color w:val="auto"/>
              </w:rPr>
              <w:t>(5)</w:t>
            </w:r>
          </w:p>
        </w:tc>
        <w:tc>
          <w:tcPr>
            <w:tcW w:w="520" w:type="dxa"/>
            <w:vAlign w:val="bottom"/>
            <w:shd w:val="clear" w:color="auto" w:fill="CFF0FC"/>
          </w:tcPr>
          <w:p>
            <w:pPr>
              <w:jc w:val="right"/>
              <w:ind w:right="3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45,844</w:t>
            </w:r>
          </w:p>
        </w:tc>
        <w:tc>
          <w:tcPr>
            <w:tcW w:w="4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38,339</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84,183</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760" w:right="40" w:hanging="374"/>
        <w:spacing w:after="0" w:line="284"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non-employee directors are required to receive at least 50% of their annual retainer in the form of equity. For fiscal 2018, Mr. Presser elected to receive all compensation, including his retainer and chair fees, in unrestricted shares of our common stock and Mr. Mesdag elected to receive all compensation, including his retainer and chair fees, in deferred stock. Mr. Kyees elected to receive his compensation, including his retainer and chair fees, in a combination of 50% deferred stock and 50% cash. Messrs. Boyle, Conacher, Mooney, Ms. Ross and Mr. Walsh elected to receive 50% of their retainer in unrestricted shares of our common stock and 50% in cash. As for committee meetings, Messrs. Boyle, Conacher, Ms. Ross and Mr. Walsh elected to receive cash for all meetings. Mr. Mooney elected to receive his fees in a combination of 50% cash and 50% in unrestricted shares of common stock. With respect to chairperson fees, Ms. Ross elected cash and Mr. Mooney elected a combination of 50% cash and 50% unrestricted shares. Mr. Holtzman did not receive any payment for director meetings.</w:t>
      </w:r>
    </w:p>
    <w:p>
      <w:pPr>
        <w:spacing w:after="0" w:line="1" w:lineRule="exact"/>
        <w:rPr>
          <w:rFonts w:ascii="Arial" w:cs="Arial" w:eastAsia="Arial" w:hAnsi="Arial"/>
          <w:sz w:val="16"/>
          <w:szCs w:val="16"/>
          <w:color w:val="auto"/>
        </w:rPr>
      </w:pPr>
    </w:p>
    <w:p>
      <w:pPr>
        <w:ind w:left="760" w:right="120" w:hanging="374"/>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portion of each director’s compensation that was paid in the form of equity. The number of shares issued as payment for an earned director fee is determined by taking the director fee earned and dividing by the consolidated closing price of our common stock on the grant date. For quarterly retainer fees, the grant date is the first business day of each respective quarter. For meetings, the grant date is the last business day of the month in which the meeting occurred and for a director’s re-election to the board, the grant date is the last business day of the month in which such re-election occurs.</w:t>
      </w:r>
    </w:p>
    <w:p>
      <w:pPr>
        <w:spacing w:after="0" w:line="2" w:lineRule="exact"/>
        <w:rPr>
          <w:rFonts w:ascii="Arial" w:cs="Arial" w:eastAsia="Arial" w:hAnsi="Arial"/>
          <w:sz w:val="18"/>
          <w:szCs w:val="18"/>
          <w:color w:val="auto"/>
        </w:rPr>
      </w:pPr>
    </w:p>
    <w:p>
      <w:pPr>
        <w:ind w:left="760" w:right="20" w:hanging="374"/>
        <w:spacing w:after="0" w:line="265"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Mr. Conacher was elected a director of the Company on August 9, 2018 and, accordingly, received a stock option grant to purchase 15,000 shares of the Company stock. The amount in the Option Award column reflects the aggregate grant date fair value of the stock option computed in accordance with ASC Topic 718. The fair value is estimated as of the date of grant using a Black-Scholes valuation model. Additional information regarding the assumptions used to estimate fair value of all stock option grants is included in Note A to the Consolidated Financial Statements contained in our Annual Report on Form 10-K for the fiscal year ended February 2, 2019. There were no other grants to any of the directors in fiscal 2018. Each director had the following number of stock options outstanding at February 2, 2019: Mr. Kyees: 43,648; Mr. Boyle: 15,000; Mr. Conacher: 15,000; Mr. Mesdag: 15,000; Ms. Ross: 15,000.</w:t>
      </w:r>
    </w:p>
    <w:p>
      <w:pPr>
        <w:spacing w:after="0" w:line="1" w:lineRule="exact"/>
        <w:rPr>
          <w:rFonts w:ascii="Arial" w:cs="Arial" w:eastAsia="Arial" w:hAnsi="Arial"/>
          <w:sz w:val="17"/>
          <w:szCs w:val="17"/>
          <w:color w:val="auto"/>
        </w:rPr>
      </w:pPr>
    </w:p>
    <w:p>
      <w:pPr>
        <w:ind w:left="760" w:right="460" w:hanging="374"/>
        <w:spacing w:after="0" w:line="250"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Holtzman received compensation from us pursuant to the Employment and Chairman Compensation Agreement. See “</w:t>
      </w:r>
      <w:r>
        <w:rPr>
          <w:rFonts w:ascii="Arial" w:cs="Arial" w:eastAsia="Arial" w:hAnsi="Arial"/>
          <w:sz w:val="18"/>
          <w:szCs w:val="18"/>
          <w:i w:val="1"/>
          <w:iCs w:val="1"/>
          <w:color w:val="auto"/>
        </w:rPr>
        <w:t>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 below for additional information.</w:t>
      </w:r>
    </w:p>
    <w:p>
      <w:pPr>
        <w:ind w:left="760" w:hanging="374"/>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Walsh served as a director of the Company until August 9,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Former Executive Chairman Compensation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August 7, 2014, Mr. Holtzman has been compensated for his services pursuant to an Employment and Chairman Compensation Agreement (“Compensation Agreement”). Pursuant to that agreement, Mr. Holtzman has served as both an employee of the Company, reporting to the Board of Directors, and as Executive Chairman, with the duties of the Chairman of the Board set forth in the Company’s Fourth Amended and Restated By-Laws. The initial term of the agreement was for two years and was automatically extended for additional one-year terms.</w:t>
      </w:r>
    </w:p>
    <w:p>
      <w:pPr>
        <w:spacing w:after="0" w:line="171"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Pursuant to the agreement, initially Mr. Holtzman was entitled to receive an annual base salary of $24,000 for his employment services and an annual compensation of $372,750 for his services as Executive Chairman. The agreement was amended on May 25, 2017 to reduce his Executive Chairman compensation to $200,000. On August 9, 2018, the agreement was further amended to reduce his Executive Chairman compensation to $176,000 and to provide written notification to Mr. Holtzman that the Company would not be extending the term of the agreement and, as a result, the agreement will terminate on August 7, 2020.</w:t>
      </w:r>
    </w:p>
    <w:p>
      <w:pPr>
        <w:spacing w:after="0" w:line="188"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we engage Mr. Holtzman’s services to assist us in a specific and significant corporate transaction or event, the Compensation Committee, at its discretion, has the right to grant Mr. Holtzman a bonus for his additional services. No such bonus was granted during fiscal 2018.</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Compensation Discussion and Analysis provides a summary of our executive compensation philosophy and programs, and discusses the compensation paid to our former Chief Executive Officer (“CEO”), our Chief Financial Officer (“CFO”) and other executive officers for fiscal 2018 (collectively, our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Named Executive Officers for fiscal 2018 were:</w:t>
      </w:r>
    </w:p>
    <w:p>
      <w:pPr>
        <w:spacing w:after="0" w:line="225" w:lineRule="exact"/>
        <w:rPr>
          <w:sz w:val="20"/>
          <w:szCs w:val="20"/>
          <w:color w:val="auto"/>
        </w:rPr>
      </w:pPr>
    </w:p>
    <w:p>
      <w:pPr>
        <w:ind w:left="1140" w:hanging="376"/>
        <w:spacing w:after="0"/>
        <w:tabs>
          <w:tab w:leader="none" w:pos="114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David A. Levin, Former President and Chief Executive Officer and Former Acting Chief Executive Officer (“Acting CEO”)</w:t>
      </w:r>
    </w:p>
    <w:p>
      <w:pPr>
        <w:spacing w:after="0" w:line="25"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Peter H. Stratton, Jr., Executive Vice President, Chief Financial Officer and Treasurer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Brian S. Reaves, Executive Vice President and Chief Operating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James S. Davey, Executive Vice President and Chief Marketing Officer</w:t>
      </w:r>
    </w:p>
    <w:p>
      <w:pPr>
        <w:spacing w:after="0" w:line="9"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Robert S. Molloy, Senior Vice President, Chief Administrative Officer, General Counsel and Secretary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CEO Transition</w:t>
      </w:r>
    </w:p>
    <w:p>
      <w:pPr>
        <w:spacing w:after="0" w:line="3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March 2018, we announced Mr. Levin’s plan to retire as President, Chief Executive Officer and a director of our Company. In connection with the announcement, we entered into a Transition Agreement with Mr. Levin, which modified and supplemented certain terms of Mr. Levin’s existing employment agreement. See “</w:t>
      </w:r>
      <w:r>
        <w:rPr>
          <w:rFonts w:ascii="Arial" w:cs="Arial" w:eastAsia="Arial" w:hAnsi="Arial"/>
          <w:sz w:val="18"/>
          <w:szCs w:val="18"/>
          <w:i w:val="1"/>
          <w:iCs w:val="1"/>
          <w:color w:val="auto"/>
        </w:rPr>
        <w:t>Employment Agreements- David A. Levin, Former Chief Executive Officer and Former Acting CEO</w:t>
      </w:r>
      <w:r>
        <w:rPr>
          <w:rFonts w:ascii="Arial" w:cs="Arial" w:eastAsia="Arial" w:hAnsi="Arial"/>
          <w:sz w:val="18"/>
          <w:szCs w:val="18"/>
          <w:color w:val="auto"/>
        </w:rPr>
        <w:t>” below for a detailed discussion of the transition and Mr. Levin’s compensation. Effective January 1, 2019, Mr. Levin resigned as President, Chief Executive Officer and a director of the Company. Because no successor CEO had been hired as of that date, pursuant to a Letter Agreement dated November 27, 2018, Mr. Levin assumed the role of Acting CEO, effective January 1, 2019.</w:t>
      </w:r>
    </w:p>
    <w:p>
      <w:pPr>
        <w:spacing w:after="0" w:line="8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Subsequent to the end of fiscal 2018, Harvey S. Kanter was appointed President, CEO and a director of the Company, effective April 1, 2019. Accordingly, Mr. Levin resigned as Acting CEO on April 1, 2019. The terms of employment with Mr. Kanter are discussed below under “</w:t>
      </w:r>
      <w:r>
        <w:rPr>
          <w:rFonts w:ascii="Arial" w:cs="Arial" w:eastAsia="Arial" w:hAnsi="Arial"/>
          <w:sz w:val="18"/>
          <w:szCs w:val="18"/>
          <w:i w:val="1"/>
          <w:iCs w:val="1"/>
          <w:color w:val="auto"/>
        </w:rPr>
        <w:t>Employment Agreements – New</w:t>
      </w:r>
      <w:r>
        <w:rPr>
          <w:rFonts w:ascii="Arial" w:cs="Arial" w:eastAsia="Arial" w:hAnsi="Arial"/>
          <w:sz w:val="18"/>
          <w:szCs w:val="18"/>
          <w:color w:val="auto"/>
        </w:rPr>
        <w:t xml:space="preserve"> </w:t>
      </w:r>
      <w:r>
        <w:rPr>
          <w:rFonts w:ascii="Arial" w:cs="Arial" w:eastAsia="Arial" w:hAnsi="Arial"/>
          <w:sz w:val="18"/>
          <w:szCs w:val="18"/>
          <w:i w:val="1"/>
          <w:iCs w:val="1"/>
          <w:color w:val="auto"/>
        </w:rPr>
        <w:t>Chief Executive Officer – Harvey S. Kanter.</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Financial Highlights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Fiscal 2018 was a pivotal year for our Company as we addressed several foundational issues in the business and also launched a number of growth and development initiatives. In an effort to accelerate our path to profitability, during fiscal 2018, we reduced our corporate headcount by 15%, which resulted in cost savings of approximately $6.0 million in fiscal 2018 and amended our $125.0 million revolving credit facility with Bank of America to extend the facility to May 2023 and to include a $15.0 million “first-in, last-out” (FILO) loan that enabled us to retire our existing long-term debt and reduce overall interest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From an operational perspective, we:</w:t>
      </w:r>
    </w:p>
    <w:p>
      <w:pPr>
        <w:spacing w:after="0" w:line="117" w:lineRule="exact"/>
        <w:rPr>
          <w:sz w:val="20"/>
          <w:szCs w:val="20"/>
          <w:color w:val="auto"/>
        </w:rPr>
      </w:pPr>
    </w:p>
    <w:p>
      <w:pPr>
        <w:ind w:left="760" w:right="60" w:hanging="374"/>
        <w:spacing w:after="0" w:line="264"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launched a new wholesale segment, focused on product development and distribution relationships with key retailers, which includes both private-label and co-branded big &amp; tall men’s clothing lines. This included entering into an agreement with Amazon to provide men’s big &amp; tall sizes for its Amazon Private Brand, Amazon Essentials, under the name “Amazon Essentials Fit by DXL”;</w:t>
      </w:r>
    </w:p>
    <w:p>
      <w:pPr>
        <w:spacing w:after="0" w:line="73"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launched our new website in the third quarter of fiscal 2018, and subsequently acquired the domain name “dxl.com” in the fourth quarter of fiscal 2018;</w:t>
      </w:r>
    </w:p>
    <w:p>
      <w:pPr>
        <w:spacing w:after="0" w:line="62" w:lineRule="exact"/>
        <w:rPr>
          <w:rFonts w:ascii="Arial" w:cs="Arial" w:eastAsia="Arial" w:hAnsi="Arial"/>
          <w:sz w:val="18"/>
          <w:szCs w:val="18"/>
          <w:color w:val="auto"/>
        </w:rPr>
      </w:pPr>
    </w:p>
    <w:p>
      <w:pPr>
        <w:ind w:left="76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completed a six-month customer segmentation study with over 4,000 customers that will be the foundation as we begin to tailor our marketing with a more targeted, personalized and data driven model; and,</w:t>
      </w:r>
    </w:p>
    <w:p>
      <w:pPr>
        <w:spacing w:after="0" w:line="62" w:lineRule="exact"/>
        <w:rPr>
          <w:rFonts w:ascii="Arial" w:cs="Arial" w:eastAsia="Arial" w:hAnsi="Arial"/>
          <w:sz w:val="18"/>
          <w:szCs w:val="18"/>
          <w:color w:val="auto"/>
        </w:rPr>
      </w:pPr>
    </w:p>
    <w:p>
      <w:pPr>
        <w:ind w:left="760" w:right="340" w:hanging="374"/>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rebranded three existing Casual Male XL stores to DXL stores, opening up the opportunity to stay in current markets with limited capital investment.</w:t>
      </w:r>
    </w:p>
    <w:p>
      <w:pPr>
        <w:spacing w:after="0" w:line="17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Many of these initiatives contributed to our financial improvement in fiscal 2018, with comparable sales growth of 3.0%. Our net loss for fiscal 2018, was $(13.5) million, or $(0.28) per diluted share, compared to a net loss of $(18.8) million, or $(0.39) per diluted share, in fiscal 2017. Results for fiscal 2018 included $2.4 million of costs associated with the CEO transition, $1.9 million of corporate restructuring costs and asset impairment charges of $4.6 million. Excluding these items and assuming a normalized tax rate, the adjusted net loss for fiscal 2018 was $(3.5) million, or $(0.07) per diluted share, compared to an adjusted net loss of $(12.8) million, or $(0.26) per diluted share, in fiscal 2017. Adjusted EBITDA for fiscal 2018, improved $10.3 million to $27.4 million from $17.1 million in fiscal 2018. Adjusted net loss, adjusted net loss per diluted share and Adjusted EBITDA are non-GAAP measures.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7" w:name="page18"/>
    <w:bookmarkEnd w:id="17"/>
    <w:p>
      <w:pPr>
        <w:ind w:right="220"/>
        <w:spacing w:after="0" w:line="282" w:lineRule="auto"/>
        <w:rPr>
          <w:sz w:val="20"/>
          <w:szCs w:val="20"/>
          <w:color w:val="auto"/>
        </w:rPr>
      </w:pPr>
      <w:r>
        <w:rPr>
          <w:rFonts w:ascii="Arial" w:cs="Arial" w:eastAsia="Arial" w:hAnsi="Arial"/>
          <w:sz w:val="18"/>
          <w:szCs w:val="18"/>
          <w:b w:val="1"/>
          <w:bCs w:val="1"/>
          <w:color w:val="auto"/>
        </w:rPr>
        <w:t>Please see “Appendix B -Non-GAAP Financial Measures” for a reconciliation of adjusted net loss, adjusted net loss per diluted share and adjusted EBITDA to their GAAP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Executive Compensation Highlights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the compensation of our Named Executive Officers should be aligned with the performance of the Company. The Company’s financial performance in fiscal 2018 improved from fiscal 2017 and the management team accomplished many key initiatives during the year to put the Company on the path to profitability. As a result, total compensation earned by our Named Executive Officers in fiscal 2018 increased from fiscal 2017, primarily due to an increase in performance-based compensation. The following table shows total compensation earned for each Named Executive Officer for fiscal 2018, compared to fiscal 2017.</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Named Executive Officer</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3"/>
              </w:rPr>
              <w:t>Fiscal 2018 (1)</w:t>
            </w:r>
          </w:p>
        </w:tc>
        <w:tc>
          <w:tcPr>
            <w:tcW w:w="2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8"/>
              </w:rPr>
              <w:t>Fiscal 2017</w:t>
            </w:r>
          </w:p>
        </w:tc>
        <w:tc>
          <w:tcPr>
            <w:tcW w:w="180" w:type="dxa"/>
            <w:vAlign w:val="bottom"/>
            <w:tcBorders>
              <w:bottom w:val="single" w:sz="8" w:color="CFF0FC"/>
            </w:tcBorders>
          </w:tcPr>
          <w:p>
            <w:pPr>
              <w:spacing w:after="0"/>
              <w:rPr>
                <w:sz w:val="14"/>
                <w:szCs w:val="14"/>
                <w:color w:val="auto"/>
              </w:rPr>
            </w:pPr>
          </w:p>
        </w:tc>
        <w:tc>
          <w:tcPr>
            <w:tcW w:w="13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4"/>
                <w:szCs w:val="14"/>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2,443,789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1,665,320</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46.7%</w:t>
            </w: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821,669</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620,253</w:t>
            </w:r>
          </w:p>
        </w:tc>
        <w:tc>
          <w:tcPr>
            <w:tcW w:w="18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32.5%</w:t>
            </w: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530,112</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86.6%</w:t>
            </w: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James S. Davey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1,083,607</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6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711,069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579,696</w:t>
            </w:r>
          </w:p>
        </w:tc>
        <w:tc>
          <w:tcPr>
            <w:tcW w:w="1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22.7%</w:t>
            </w:r>
          </w:p>
        </w:tc>
      </w:tr>
    </w:tbl>
    <w:p>
      <w:pPr>
        <w:spacing w:after="0" w:line="202" w:lineRule="exact"/>
        <w:rPr>
          <w:sz w:val="20"/>
          <w:szCs w:val="20"/>
          <w:color w:val="auto"/>
        </w:rPr>
      </w:pPr>
    </w:p>
    <w:p>
      <w:pPr>
        <w:ind w:left="760" w:right="200" w:hanging="374"/>
        <w:spacing w:after="0" w:line="279"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Reaves received a salary increase in November 2017, in connection with his promotion to Executive Vice President and Chief Sales Officer, and in October 2018, in connection with his promotion to Chief Operating Officer. Mr. Molloy received a salary increase in May 2018, in connection with his promotion and the added responsibilities of Chief Administrative Officer. Mr. Davey’s compensation for fiscal 2018 includes an aggregate fair value of $0.2 million associated with the grant of equity awards in connection with his hiring.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Realizable Pay of CEO</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following chart shows the Company’s Adjusted EBITDA over the past five years in relation to Mr. Levin’s compensation on both a Total Direct Compensation (“TDC”) basis, as reported in the Summary Compensation Table, and also on a Realized Pay basis. Realized Pay reflects base salary, cash-based annual incentive compensation paid and cash-based long-term incentive earned, plus the value realized upon the exercise of options and the vesting of any restricted stock or restricted stock units. We believe that Mr. Levin’s TDC and Realized Pay correlate to the Company’s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107315</wp:posOffset>
            </wp:positionV>
            <wp:extent cx="4768215" cy="2521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821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Objectives</w:t>
      </w:r>
    </w:p>
    <w:p>
      <w:pPr>
        <w:spacing w:after="0" w:line="1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Our Compensation Committee is responsible for establishing, implementing and monitoring adherence to the Board’s compensation philosophy, which is to ensure that executive compensation is fair, reasonable, competitive and consistent with the interests of the Company’s stockholders.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Compensation Committee believes that an effective executive compensation program will:</w:t>
      </w:r>
    </w:p>
    <w:p>
      <w:pPr>
        <w:spacing w:after="0" w:line="117" w:lineRule="exact"/>
        <w:rPr>
          <w:sz w:val="20"/>
          <w:szCs w:val="20"/>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engage the executive talent the Company requires to perform in line with the Board’s expectations;</w:t>
      </w:r>
    </w:p>
    <w:p>
      <w:pPr>
        <w:spacing w:after="0" w:line="117" w:lineRule="exact"/>
        <w:rPr>
          <w:rFonts w:ascii="Arial" w:cs="Arial" w:eastAsia="Arial" w:hAnsi="Arial"/>
          <w:sz w:val="18"/>
          <w:szCs w:val="18"/>
          <w:color w:val="auto"/>
        </w:rPr>
      </w:pPr>
    </w:p>
    <w:p>
      <w:pPr>
        <w:ind w:left="780" w:right="620" w:hanging="259"/>
        <w:spacing w:after="0" w:line="27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 and reward the achievement of specific annual and long-term performance goals through a combination of cash and stock-based compensation; and</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Align the Company’s executives’ interests with those of its stockholders.</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When reviewing compensation, the Compensation Committee emphasizes TDC. TDC consists of total cash compensation (base salary and annual performance-based cash incentive awards) plus long-term incentive awards, which are primarily stock-based, and other compensation. Every year, we assess the effectiveness of our compensation plans and are continually working to strengthen our overall compensation program by adjusting performance metrics to ensure that compensation is aligned with performance that drives stockholder value. We also compare our performance metrics to those used by our peers, and take into consideration the recommendations of proxy advisory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Features of Our Executive Compensation Program</w:t>
      </w:r>
    </w:p>
    <w:p>
      <w:pPr>
        <w:spacing w:after="0" w:line="13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believe that the Company’s executive compensation program includes key features that align the compensation for the Named Executive Officers with the interests of our stockholders.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gridSpan w:val="3"/>
          </w:tcPr>
          <w:p>
            <w:pPr>
              <w:ind w:left="2420"/>
              <w:spacing w:after="0"/>
              <w:rPr>
                <w:sz w:val="20"/>
                <w:szCs w:val="20"/>
                <w:color w:val="auto"/>
              </w:rPr>
            </w:pPr>
            <w:r>
              <w:rPr>
                <w:rFonts w:ascii="Arial" w:cs="Arial" w:eastAsia="Arial" w:hAnsi="Arial"/>
                <w:sz w:val="18"/>
                <w:szCs w:val="18"/>
                <w:i w:val="1"/>
                <w:iCs w:val="1"/>
                <w:color w:val="auto"/>
              </w:rPr>
              <w:t>What We Do</w:t>
            </w:r>
          </w:p>
        </w:tc>
        <w:tc>
          <w:tcPr>
            <w:tcW w:w="292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Arial" w:cs="Arial" w:eastAsia="Arial" w:hAnsi="Arial"/>
                <w:sz w:val="18"/>
                <w:szCs w:val="18"/>
                <w:i w:val="1"/>
                <w:iCs w:val="1"/>
                <w:color w:val="auto"/>
              </w:rPr>
              <w:t>What We Don’t Do</w:t>
            </w:r>
          </w:p>
        </w:tc>
      </w:tr>
      <w:tr>
        <w:trPr>
          <w:trHeight w:val="21"/>
        </w:trPr>
        <w:tc>
          <w:tcPr>
            <w:tcW w:w="2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24"/>
        </w:trPr>
        <w:tc>
          <w:tcPr>
            <w:tcW w:w="498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Focus on performance-based pay</w:t>
            </w:r>
          </w:p>
        </w:tc>
        <w:tc>
          <w:tcPr>
            <w:tcW w:w="6440" w:type="dxa"/>
            <w:vAlign w:val="bottom"/>
            <w:gridSpan w:val="3"/>
            <w:shd w:val="clear" w:color="auto" w:fill="CFF0FC"/>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re-pricing of underwater options</w:t>
            </w:r>
          </w:p>
        </w:tc>
      </w:tr>
      <w:tr>
        <w:trPr>
          <w:trHeight w:val="324"/>
        </w:trPr>
        <w:tc>
          <w:tcPr>
            <w:tcW w:w="498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Balance short-term and long-term incentives</w:t>
            </w:r>
          </w:p>
        </w:tc>
        <w:tc>
          <w:tcPr>
            <w:tcW w:w="6440" w:type="dxa"/>
            <w:vAlign w:val="bottom"/>
            <w:gridSpan w:val="3"/>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hedging of Company stock</w:t>
            </w:r>
          </w:p>
        </w:tc>
      </w:tr>
      <w:tr>
        <w:trPr>
          <w:trHeight w:val="324"/>
        </w:trPr>
        <w:tc>
          <w:tcPr>
            <w:tcW w:w="4980" w:type="dxa"/>
            <w:vAlign w:val="bottom"/>
            <w:gridSpan w:val="3"/>
            <w:shd w:val="clear" w:color="auto" w:fill="CFF0FC"/>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Use multiple targets for performance awards</w:t>
            </w:r>
          </w:p>
        </w:tc>
        <w:tc>
          <w:tcPr>
            <w:tcW w:w="6440" w:type="dxa"/>
            <w:vAlign w:val="bottom"/>
            <w:gridSpan w:val="3"/>
            <w:shd w:val="clear" w:color="auto" w:fill="CFF0FC"/>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tax gross-up on severance payments</w:t>
            </w:r>
          </w:p>
        </w:tc>
      </w:tr>
      <w:tr>
        <w:trPr>
          <w:trHeight w:val="344"/>
        </w:trPr>
        <w:tc>
          <w:tcPr>
            <w:tcW w:w="4980" w:type="dxa"/>
            <w:vAlign w:val="bottom"/>
            <w:gridSpan w:val="3"/>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Provide executives with very limited perquisites</w:t>
            </w:r>
          </w:p>
        </w:tc>
        <w:tc>
          <w:tcPr>
            <w:tcW w:w="6440" w:type="dxa"/>
            <w:vAlign w:val="bottom"/>
            <w:gridSpan w:val="3"/>
          </w:tcPr>
          <w:p>
            <w:pPr>
              <w:ind w:left="10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active supplemental executive retirement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54" w:lineRule="exact"/>
        <w:rPr>
          <w:sz w:val="20"/>
          <w:szCs w:val="20"/>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Require “double-trigger” change-in-control provisions</w:t>
      </w:r>
    </w:p>
    <w:p>
      <w:pPr>
        <w:spacing w:after="0" w:line="117" w:lineRule="exact"/>
        <w:rPr>
          <w:rFonts w:ascii="MS PGothic" w:cs="MS PGothic" w:eastAsia="MS PGothic" w:hAnsi="MS PGothic"/>
          <w:sz w:val="18"/>
          <w:szCs w:val="18"/>
          <w:color w:val="auto"/>
        </w:rPr>
      </w:pPr>
    </w:p>
    <w:p>
      <w:pPr>
        <w:ind w:left="500" w:right="6320" w:hanging="324"/>
        <w:spacing w:after="0" w:line="277" w:lineRule="auto"/>
        <w:tabs>
          <w:tab w:leader="none" w:pos="459"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Maintain a “clawback” policy, adopted in August 2018 covering incentive cash and equity programs</w:t>
      </w:r>
    </w:p>
    <w:p>
      <w:pPr>
        <w:spacing w:after="0" w:line="62"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Seek to mitigate undue risk in compensation plans</w:t>
      </w:r>
    </w:p>
    <w:p>
      <w:pPr>
        <w:spacing w:after="0" w:line="117" w:lineRule="exact"/>
        <w:rPr>
          <w:rFonts w:ascii="MS PGothic" w:cs="MS PGothic" w:eastAsia="MS PGothic" w:hAnsi="MS PGothic"/>
          <w:sz w:val="18"/>
          <w:szCs w:val="18"/>
          <w:color w:val="auto"/>
        </w:rPr>
      </w:pPr>
    </w:p>
    <w:p>
      <w:pPr>
        <w:ind w:left="460" w:hanging="284"/>
        <w:spacing w:after="0"/>
        <w:tabs>
          <w:tab w:leader="none" w:pos="46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Utilize an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20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Compensation Consultants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Compensation Committee has the authority to retain compensation consultants and other outside advisors to assist in carrying out its duties, including the compensation of our Named Executive Officers. The Compensation Committee may accept, reject or modify any recommendations by compensation consultants or other outside advisors.</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Compensation Committee periodically consults with Sibson Consulting (“Sibson”), an independent firm that specializes in benefits and compensation, with respect to the structure and competitiveness of the Company’s executive compensation program compared to its proxy peer group. The Compensation Committee has assessed Sibson’s independence, and has concluded that no conflict of interest exists with respect to the services that it performs. In early fiscal 2018, the Compensation Committee engaged Sibson to evaluate the compensation of our CEO in comparison to the fiscal 2018 proxy peer group and in early 2019 to evaluate the compensation of our other NEOs in comparison to the same proxy peer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Target Compensation</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CEO Compensation</w:t>
      </w:r>
      <w:r>
        <w:rPr>
          <w:rFonts w:ascii="Arial" w:cs="Arial" w:eastAsia="Arial" w:hAnsi="Arial"/>
          <w:sz w:val="18"/>
          <w:szCs w:val="18"/>
          <w:color w:val="auto"/>
        </w:rPr>
        <w:t>. The Compensation Committee is responsible for determining the target compensation of our CEO. Working with Sibson,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compared each element of the CEO’s compensation (base salary, annual and long-term incentive compensation (“Direct Compensation”)) to published survey data and data from its proxy peer groups. Based on the review completed by Sibson in early 2018, using 2017 compensation data, Mr. Levin’s target Direct Compensation was below median, at 91% of the median of the Company’s 2018 proxy peer group. Mr. Levin’s actual Direct Compensation was at 61% of the median target compensation of that peer group.</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Other Named Executive Officers. </w:t>
      </w:r>
      <w:r>
        <w:rPr>
          <w:rFonts w:ascii="Arial" w:cs="Arial" w:eastAsia="Arial" w:hAnsi="Arial"/>
          <w:sz w:val="18"/>
          <w:szCs w:val="18"/>
          <w:color w:val="auto"/>
        </w:rPr>
        <w:t>Our CEO is primarily responsible for determining the compensation paid to our other Named Executive Officers,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review and approval of the Compensation Committee. Our other Named Executive Officers 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ind w:right="60"/>
        <w:spacing w:after="0" w:line="264" w:lineRule="auto"/>
        <w:rPr>
          <w:sz w:val="20"/>
          <w:szCs w:val="20"/>
          <w:color w:val="auto"/>
        </w:rPr>
      </w:pPr>
      <w:r>
        <w:rPr>
          <w:rFonts w:ascii="Arial" w:cs="Arial" w:eastAsia="Arial" w:hAnsi="Arial"/>
          <w:sz w:val="18"/>
          <w:szCs w:val="18"/>
          <w:color w:val="auto"/>
        </w:rPr>
        <w:t>provided with a competitive base salary and an opportunity to earn performance awards each year, which are driven by our overall financial targets. In early 2019, Sibson reviewed the compensation paid to our other Named Executive Officers, and concluded that it was within the median (or 50% percentile) of the 2018 proxy peer group. See “</w:t>
      </w:r>
      <w:r>
        <w:rPr>
          <w:rFonts w:ascii="Arial" w:cs="Arial" w:eastAsia="Arial" w:hAnsi="Arial"/>
          <w:sz w:val="18"/>
          <w:szCs w:val="18"/>
          <w:i w:val="1"/>
          <w:iCs w:val="1"/>
          <w:color w:val="auto"/>
        </w:rPr>
        <w:t>Compensation Components and Fiscal 2018 Compensation Decisions</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Peers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When determining peer companies for use in reviewing and establishing compensation for our Named Executive Officers, we focus primarily on public companies within the specialty retail apparel business with similar revenue and/or market capitalization. The companies in the fiscal 2018 peer group were:</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Boot Barn Holding, Inc.</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Francesca’s Holding Corp.</w:t>
            </w:r>
          </w:p>
        </w:tc>
        <w:tc>
          <w:tcPr>
            <w:tcW w:w="860" w:type="dxa"/>
            <w:vAlign w:val="bottom"/>
          </w:tcPr>
          <w:p>
            <w:pPr>
              <w:ind w:left="700"/>
              <w:spacing w:after="0"/>
              <w:rPr>
                <w:sz w:val="20"/>
                <w:szCs w:val="20"/>
                <w:color w:val="auto"/>
              </w:rPr>
            </w:pPr>
            <w:r>
              <w:rPr>
                <w:rFonts w:ascii="Arial" w:cs="Arial" w:eastAsia="Arial" w:hAnsi="Arial"/>
                <w:sz w:val="14"/>
                <w:szCs w:val="14"/>
                <w:color w:val="auto"/>
              </w:rPr>
              <w:t>•</w:t>
            </w:r>
          </w:p>
        </w:tc>
        <w:tc>
          <w:tcPr>
            <w:tcW w:w="1660" w:type="dxa"/>
            <w:vAlign w:val="bottom"/>
          </w:tcPr>
          <w:p>
            <w:pPr>
              <w:ind w:left="100"/>
              <w:spacing w:after="0"/>
              <w:rPr>
                <w:sz w:val="20"/>
                <w:szCs w:val="20"/>
                <w:color w:val="auto"/>
              </w:rPr>
            </w:pPr>
            <w:r>
              <w:rPr>
                <w:rFonts w:ascii="Arial" w:cs="Arial" w:eastAsia="Arial" w:hAnsi="Arial"/>
                <w:sz w:val="14"/>
                <w:szCs w:val="14"/>
                <w:color w:val="auto"/>
                <w:w w:val="92"/>
              </w:rPr>
              <w:t>Trans World Entertainment</w:t>
            </w:r>
          </w:p>
        </w:tc>
      </w:tr>
      <w:tr>
        <w:trPr>
          <w:trHeight w:val="3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Build-A-Bear Workshop, Inc.</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Kirkland’s, Inc.</w:t>
            </w:r>
          </w:p>
        </w:tc>
        <w:tc>
          <w:tcPr>
            <w:tcW w:w="860" w:type="dxa"/>
            <w:vAlign w:val="bottom"/>
          </w:tcPr>
          <w:p>
            <w:pPr>
              <w:ind w:left="700"/>
              <w:spacing w:after="0"/>
              <w:rPr>
                <w:sz w:val="20"/>
                <w:szCs w:val="20"/>
                <w:color w:val="auto"/>
              </w:rPr>
            </w:pPr>
            <w:r>
              <w:rPr>
                <w:rFonts w:ascii="Arial" w:cs="Arial" w:eastAsia="Arial" w:hAnsi="Arial"/>
                <w:sz w:val="14"/>
                <w:szCs w:val="14"/>
                <w:color w:val="auto"/>
              </w:rPr>
              <w:t>•</w:t>
            </w:r>
          </w:p>
        </w:tc>
        <w:tc>
          <w:tcPr>
            <w:tcW w:w="1660" w:type="dxa"/>
            <w:vAlign w:val="bottom"/>
          </w:tcPr>
          <w:p>
            <w:pPr>
              <w:ind w:left="100"/>
              <w:spacing w:after="0"/>
              <w:rPr>
                <w:sz w:val="20"/>
                <w:szCs w:val="20"/>
                <w:color w:val="auto"/>
              </w:rPr>
            </w:pPr>
            <w:r>
              <w:rPr>
                <w:rFonts w:ascii="Arial" w:cs="Arial" w:eastAsia="Arial" w:hAnsi="Arial"/>
                <w:sz w:val="14"/>
                <w:szCs w:val="14"/>
                <w:color w:val="auto"/>
              </w:rPr>
              <w:t>Vera Bradley</w:t>
            </w:r>
          </w:p>
        </w:tc>
      </w:tr>
      <w:tr>
        <w:trPr>
          <w:trHeight w:val="3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Cato Group</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Movado Group</w:t>
            </w:r>
          </w:p>
        </w:tc>
        <w:tc>
          <w:tcPr>
            <w:tcW w:w="860" w:type="dxa"/>
            <w:vAlign w:val="bottom"/>
          </w:tcPr>
          <w:p>
            <w:pPr>
              <w:ind w:left="700"/>
              <w:spacing w:after="0"/>
              <w:rPr>
                <w:sz w:val="20"/>
                <w:szCs w:val="20"/>
                <w:color w:val="auto"/>
              </w:rPr>
            </w:pPr>
            <w:r>
              <w:rPr>
                <w:rFonts w:ascii="Arial" w:cs="Arial" w:eastAsia="Arial" w:hAnsi="Arial"/>
                <w:sz w:val="14"/>
                <w:szCs w:val="14"/>
                <w:color w:val="auto"/>
              </w:rPr>
              <w:t>•</w:t>
            </w:r>
          </w:p>
        </w:tc>
        <w:tc>
          <w:tcPr>
            <w:tcW w:w="1660" w:type="dxa"/>
            <w:vAlign w:val="bottom"/>
          </w:tcPr>
          <w:p>
            <w:pPr>
              <w:ind w:left="100"/>
              <w:spacing w:after="0"/>
              <w:rPr>
                <w:sz w:val="20"/>
                <w:szCs w:val="20"/>
                <w:color w:val="auto"/>
              </w:rPr>
            </w:pPr>
            <w:r>
              <w:rPr>
                <w:rFonts w:ascii="Arial" w:cs="Arial" w:eastAsia="Arial" w:hAnsi="Arial"/>
                <w:sz w:val="14"/>
                <w:szCs w:val="14"/>
                <w:color w:val="auto"/>
              </w:rPr>
              <w:t>Vince Holding Corp.</w:t>
            </w:r>
          </w:p>
        </w:tc>
      </w:tr>
      <w:tr>
        <w:trPr>
          <w:trHeight w:val="3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Christopher &amp; Banks</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Sportsman’s Warehouse</w:t>
            </w:r>
          </w:p>
        </w:tc>
        <w:tc>
          <w:tcPr>
            <w:tcW w:w="860" w:type="dxa"/>
            <w:vAlign w:val="bottom"/>
          </w:tcPr>
          <w:p>
            <w:pPr>
              <w:ind w:left="700"/>
              <w:spacing w:after="0"/>
              <w:rPr>
                <w:sz w:val="20"/>
                <w:szCs w:val="20"/>
                <w:color w:val="auto"/>
              </w:rPr>
            </w:pPr>
            <w:r>
              <w:rPr>
                <w:rFonts w:ascii="Arial" w:cs="Arial" w:eastAsia="Arial" w:hAnsi="Arial"/>
                <w:sz w:val="14"/>
                <w:szCs w:val="14"/>
                <w:color w:val="auto"/>
              </w:rPr>
              <w:t>•</w:t>
            </w:r>
          </w:p>
        </w:tc>
        <w:tc>
          <w:tcPr>
            <w:tcW w:w="1660" w:type="dxa"/>
            <w:vAlign w:val="bottom"/>
          </w:tcPr>
          <w:p>
            <w:pPr>
              <w:ind w:left="100"/>
              <w:spacing w:after="0"/>
              <w:rPr>
                <w:sz w:val="20"/>
                <w:szCs w:val="20"/>
                <w:color w:val="auto"/>
              </w:rPr>
            </w:pPr>
            <w:r>
              <w:rPr>
                <w:rFonts w:ascii="Arial" w:cs="Arial" w:eastAsia="Arial" w:hAnsi="Arial"/>
                <w:sz w:val="14"/>
                <w:szCs w:val="14"/>
                <w:color w:val="auto"/>
              </w:rPr>
              <w:t>Zumiez, Inc.</w:t>
            </w:r>
          </w:p>
        </w:tc>
      </w:tr>
      <w:tr>
        <w:trPr>
          <w:trHeight w:val="3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Citi Trends</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Tile Shop Holdings</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78"/>
        </w:trPr>
        <w:tc>
          <w:tcPr>
            <w:tcW w:w="500" w:type="dxa"/>
            <w:vAlign w:val="bottom"/>
          </w:tcPr>
          <w:p>
            <w:pPr>
              <w:spacing w:after="0"/>
              <w:rPr>
                <w:sz w:val="20"/>
                <w:szCs w:val="20"/>
                <w:color w:val="auto"/>
              </w:rPr>
            </w:pPr>
            <w:r>
              <w:rPr>
                <w:rFonts w:ascii="Arial" w:cs="Arial" w:eastAsia="Arial" w:hAnsi="Arial"/>
                <w:sz w:val="14"/>
                <w:szCs w:val="14"/>
                <w:color w:val="auto"/>
              </w:rPr>
              <w:t>•</w:t>
            </w:r>
          </w:p>
        </w:tc>
        <w:tc>
          <w:tcPr>
            <w:tcW w:w="2780" w:type="dxa"/>
            <w:vAlign w:val="bottom"/>
          </w:tcPr>
          <w:p>
            <w:pPr>
              <w:ind w:left="460"/>
              <w:spacing w:after="0"/>
              <w:rPr>
                <w:sz w:val="20"/>
                <w:szCs w:val="20"/>
                <w:color w:val="auto"/>
              </w:rPr>
            </w:pPr>
            <w:r>
              <w:rPr>
                <w:rFonts w:ascii="Arial" w:cs="Arial" w:eastAsia="Arial" w:hAnsi="Arial"/>
                <w:sz w:val="14"/>
                <w:szCs w:val="14"/>
                <w:color w:val="auto"/>
              </w:rPr>
              <w:t>Destination Maternity</w:t>
            </w:r>
          </w:p>
        </w:tc>
        <w:tc>
          <w:tcPr>
            <w:tcW w:w="760" w:type="dxa"/>
            <w:vAlign w:val="bottom"/>
          </w:tcPr>
          <w:p>
            <w:pPr>
              <w:ind w:left="600"/>
              <w:spacing w:after="0"/>
              <w:rPr>
                <w:sz w:val="20"/>
                <w:szCs w:val="20"/>
                <w:color w:val="auto"/>
              </w:rPr>
            </w:pPr>
            <w:r>
              <w:rPr>
                <w:rFonts w:ascii="Arial" w:cs="Arial" w:eastAsia="Arial" w:hAnsi="Arial"/>
                <w:sz w:val="14"/>
                <w:szCs w:val="14"/>
                <w:color w:val="auto"/>
              </w:rPr>
              <w:t>•</w:t>
            </w:r>
          </w:p>
        </w:tc>
        <w:tc>
          <w:tcPr>
            <w:tcW w:w="2320" w:type="dxa"/>
            <w:vAlign w:val="bottom"/>
          </w:tcPr>
          <w:p>
            <w:pPr>
              <w:ind w:left="100"/>
              <w:spacing w:after="0"/>
              <w:rPr>
                <w:sz w:val="20"/>
                <w:szCs w:val="20"/>
                <w:color w:val="auto"/>
              </w:rPr>
            </w:pPr>
            <w:r>
              <w:rPr>
                <w:rFonts w:ascii="Arial" w:cs="Arial" w:eastAsia="Arial" w:hAnsi="Arial"/>
                <w:sz w:val="14"/>
                <w:szCs w:val="14"/>
                <w:color w:val="auto"/>
              </w:rPr>
              <w:t>Tilly’s Inc.</w:t>
            </w:r>
          </w:p>
        </w:tc>
        <w:tc>
          <w:tcPr>
            <w:tcW w:w="86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For fiscal 2019, we updated our peer group to remove Trans World Entertainment and add Duluth Holding, Inc.</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order to develop an appropriate peer group, we consider companies with a range of revenues and market capitalizations that may differ from those included by independent analysts such as Institutional Shareholder Services (ISS). We do so because we believe that companies doing business in specialty retail markets with omni-channel distribution models provide a better benchmark for total shareholder return. An independent analyst may include a company that falls within the same Standard &amp; Poor’s GICS code with similar revenue and market capitalization but with a different business model, business risks, geographic locations, customer base and industry traffic trends and which, consequently, may have nothing in common with our Company. For example, a company that owns automotive dealerships is within the same GICS code as our Company, but clearly has a distinctively different business model and is not affected by the same trends that affect specialty retail apparel.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Say-on-Pay</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At our 2017 Annual Meeting, stockholders voted on a non-binding advisory proposal as to the frequency with which we should conduct an advisory vote on executive compensation (a "say-on-pay proposal"). At that meeting, and in accordance with the recommendation of our Board, 95.6% of votes cast voted for the “one-year” frequency for advisory votes on executive compensation. We intend to hold such vote every year, until the next “say-on-pay” frequency vote, which will not be until our 2023 Annual Meeting.</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our 2018 Annual Meeting, stockholders had an opportunity to cast a non-binding advisory vote on executive compensation as disclosed in the 2018 Proxy Statement. Of the votes cast on the say-on-pay proposal, 87.3% voted in favor of the proposal. The Compensation Committee considered the results of the 2018 advisory vote and believes that it affirms support of our stockholders for our approach to executive compensation, namely to align short- and long-term incentives with the Company’s financial performance. We will continue to consider the outcome of subsequent say-on-pay votes when making future compensation decisions for our executive officers.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Assessment/Clawback</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believe that our compensation programs do not provide incentives for unnecessary risk taking by our employees. Our employment agreements with each of our Named Executive Officers include a “clawback” provision that permits us to demand full repayment of certain amounts paid to the executive in the event we learn, after the executive’s termination, that the executive could have been terminated for “justifiable cause.” In addition, in August 2018, our Compensation Committee approved the Executive Incentive Pay Clawback Policy (“Clawback Policy”) that would allow the Company to recover all Excess Incentive-Based Compensation, as defined in the Clawback Policy, from each Executive who willfully committed an act of fraud, dishonesty, or recklessness that contributed to any error or noncompliance that results in a financial restatement. Incentive-Based Compensation includes all cash and equity awards.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0" w:name="page21"/>
    <w:bookmarkEnd w:id="20"/>
    <w:p>
      <w:pPr>
        <w:ind w:right="200"/>
        <w:spacing w:after="0" w:line="264" w:lineRule="auto"/>
        <w:rPr>
          <w:sz w:val="20"/>
          <w:szCs w:val="20"/>
          <w:color w:val="auto"/>
        </w:rPr>
      </w:pPr>
      <w:r>
        <w:rPr>
          <w:rFonts w:ascii="Arial" w:cs="Arial" w:eastAsia="Arial" w:hAnsi="Arial"/>
          <w:sz w:val="18"/>
          <w:szCs w:val="18"/>
          <w:color w:val="auto"/>
        </w:rPr>
        <w:t>Our emphasis on performance-based annual and long-term incentive awards is also designed to align executives with preserving and enhancing shareholder value. Based on these considerations, among others, we do not believe that our compensation policies and practices create risks that are likely to have a material adverse effect on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Components and Fiscal 2018 Compensation Decisions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We believe that our executive compensation policies and practices appropriately align the interests of our executives with those of our stockholders and emphasize the shared responsibility of our executive officers for the Company’s financial performance. Accordingly, the compensation of our Named Executive Officers is heavily weighted toward “at-risk” performance-based compensation.</w:t>
      </w:r>
    </w:p>
    <w:p>
      <w:pPr>
        <w:spacing w:after="0" w:line="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primary components of compensation for our Named Executive Officers include base salary (“fixed compensation”), annual performance-based cash incentives and long-term incentives (“at-risk compensation”). The annual weight of each component leads to the following allocation of potential compensation that each executive can earn.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261620</wp:posOffset>
            </wp:positionV>
            <wp:extent cx="2889885" cy="17754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988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executive compensation are as follows:</w:t>
      </w:r>
    </w:p>
    <w:p>
      <w:pPr>
        <w:spacing w:after="0" w:line="117"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Base salary represents the fixed component of an executive’s annual compensation. In order to attract and retain top executive talent, we believe that it is important that our base salary be competitive, generally at or near the median of our industry peers.</w:t>
      </w:r>
    </w:p>
    <w:p>
      <w:pPr>
        <w:spacing w:after="0" w:line="62"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Base salaries are reviewed annually and adjustments are influenced by the Company’s performance in the previous fiscal year and the executive’s contribution to that performance. The executive’s performance is measured by various factors, including, but not limited to, achievement of specific individual and department goals. Additionally, adjustments may consider an individual’s promotion that may have occurred during the fiscal year, and any modifications in the individual's level of responsibility.</w:t>
      </w:r>
    </w:p>
    <w:p>
      <w:pPr>
        <w:spacing w:after="0" w:line="79" w:lineRule="exact"/>
        <w:rPr>
          <w:sz w:val="20"/>
          <w:szCs w:val="20"/>
          <w:color w:val="auto"/>
        </w:rPr>
      </w:pPr>
    </w:p>
    <w:p>
      <w:pPr>
        <w:ind w:left="640" w:right="120"/>
        <w:spacing w:after="0" w:line="312" w:lineRule="auto"/>
        <w:rPr>
          <w:sz w:val="20"/>
          <w:szCs w:val="20"/>
          <w:color w:val="auto"/>
        </w:rPr>
      </w:pPr>
      <w:r>
        <w:rPr>
          <w:rFonts w:ascii="Arial" w:cs="Arial" w:eastAsia="Arial" w:hAnsi="Arial"/>
          <w:sz w:val="16"/>
          <w:szCs w:val="16"/>
          <w:color w:val="auto"/>
        </w:rPr>
        <w:t>The Compensation Committee expects the CEO’s base salary to be at or near the peer group median, and to be approximately one-third of his target Direct Compensation. Our CEO determines the base salary of our other Named Executive Officers, subject to the review and approval of the Compensation Committee. The target for such compensation is the median of the peer group and published industry compensation surveys.</w:t>
      </w:r>
    </w:p>
    <w:p>
      <w:pPr>
        <w:spacing w:after="0" w:line="39" w:lineRule="exact"/>
        <w:rPr>
          <w:sz w:val="20"/>
          <w:szCs w:val="20"/>
          <w:color w:val="auto"/>
        </w:rPr>
      </w:pPr>
    </w:p>
    <w:p>
      <w:pPr>
        <w:ind w:left="640"/>
        <w:spacing w:after="0" w:line="297" w:lineRule="auto"/>
        <w:rPr>
          <w:sz w:val="20"/>
          <w:szCs w:val="20"/>
          <w:color w:val="auto"/>
        </w:rPr>
      </w:pPr>
      <w:r>
        <w:rPr>
          <w:rFonts w:ascii="Arial" w:cs="Arial" w:eastAsia="Arial" w:hAnsi="Arial"/>
          <w:sz w:val="16"/>
          <w:szCs w:val="16"/>
          <w:color w:val="auto"/>
        </w:rPr>
        <w:t>For fiscal 2018, Mr. Levin’s base salary remained unchanged. During fiscal 2017, Mr. Stratton received a 6.8% increase in base salary, to $395,000, to bring him in line with external peers and in connection with his promotion to Executive Vice President. Mr. Reaves received an increase in base salary in November 2017 to $400,000, in connection with his promotion to Executive Vice President and Chief Sales Officer and in October 2018, he received an additional increase of 25% to $500,000, in connection with his promotion to Executive Vice President and Chief Operating Officer. In May 2018, Mr. Molloy received an 8.7% increase in base salary, to $375,000, in connection with his promotion to Chief Administrative Officer.</w:t>
      </w:r>
    </w:p>
    <w:p>
      <w:pPr>
        <w:spacing w:after="0" w:line="200" w:lineRule="exact"/>
        <w:rPr>
          <w:sz w:val="20"/>
          <w:szCs w:val="20"/>
          <w:color w:val="auto"/>
        </w:rPr>
      </w:pPr>
    </w:p>
    <w:p>
      <w:pPr>
        <w:spacing w:after="0" w:line="390" w:lineRule="exact"/>
        <w:rPr>
          <w:sz w:val="20"/>
          <w:szCs w:val="20"/>
          <w:color w:val="auto"/>
        </w:rPr>
      </w:pPr>
    </w:p>
    <w:p>
      <w:pPr>
        <w:ind w:left="780" w:hanging="259"/>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Performance-based Annual Incentive Plan</w:t>
      </w:r>
    </w:p>
    <w:p>
      <w:pPr>
        <w:spacing w:after="0" w:line="225" w:lineRule="exact"/>
        <w:rPr>
          <w:sz w:val="20"/>
          <w:szCs w:val="20"/>
          <w:color w:val="auto"/>
        </w:rPr>
      </w:pPr>
    </w:p>
    <w:p>
      <w:pPr>
        <w:ind w:left="760" w:right="80"/>
        <w:spacing w:after="0" w:line="264" w:lineRule="auto"/>
        <w:rPr>
          <w:sz w:val="20"/>
          <w:szCs w:val="20"/>
          <w:color w:val="auto"/>
        </w:rPr>
      </w:pPr>
      <w:r>
        <w:rPr>
          <w:rFonts w:ascii="Arial" w:cs="Arial" w:eastAsia="Arial" w:hAnsi="Arial"/>
          <w:sz w:val="18"/>
          <w:szCs w:val="18"/>
          <w:color w:val="auto"/>
        </w:rPr>
        <w:t>The Compensation Committee believes that a substantial portion of each Named Executive Officer’s compensation should tie directly to our Company’s financial performance. Our Annual Incentive Plan (“AIP”) provides for an annual performance-based cash incentive for all executives as well as certain non-executive employees.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1" w:name="page22"/>
    <w:bookmarkEnd w:id="21"/>
    <w:p>
      <w:pPr>
        <w:ind w:left="600"/>
        <w:spacing w:after="0" w:line="277" w:lineRule="auto"/>
        <w:rPr>
          <w:sz w:val="20"/>
          <w:szCs w:val="20"/>
          <w:color w:val="auto"/>
        </w:rPr>
      </w:pPr>
      <w:r>
        <w:rPr>
          <w:rFonts w:ascii="Arial" w:cs="Arial" w:eastAsia="Arial" w:hAnsi="Arial"/>
          <w:sz w:val="18"/>
          <w:szCs w:val="18"/>
          <w:color w:val="auto"/>
        </w:rPr>
        <w:t>For fiscal 2018, Mr. Levin’s target participation in the AIP was at 100% of his annual salary, whereas our Executive Vice Presidents were at 55% of their respective salaries and Senior Vice Presidents were at 40% of their respective salaries.</w:t>
      </w:r>
    </w:p>
    <w:p>
      <w:pPr>
        <w:spacing w:after="0" w:line="62" w:lineRule="exact"/>
        <w:rPr>
          <w:sz w:val="20"/>
          <w:szCs w:val="20"/>
          <w:color w:val="auto"/>
        </w:rPr>
      </w:pPr>
    </w:p>
    <w:p>
      <w:pPr>
        <w:ind w:left="600" w:right="80"/>
        <w:spacing w:after="0" w:line="289" w:lineRule="auto"/>
        <w:rPr>
          <w:sz w:val="20"/>
          <w:szCs w:val="20"/>
          <w:color w:val="auto"/>
        </w:rPr>
      </w:pPr>
      <w:r>
        <w:rPr>
          <w:rFonts w:ascii="Arial" w:cs="Arial" w:eastAsia="Arial" w:hAnsi="Arial"/>
          <w:sz w:val="16"/>
          <w:szCs w:val="16"/>
          <w:color w:val="auto"/>
        </w:rPr>
        <w:t>For fiscal 2018, the Compensation Committee modified the 2018 AIP performance metrics in keeping with the Board’s objective to drive profitability and free cash flow through revenue growth at acceptable margins. Our targets for the 2018 AIP, as compared to fiscal 2017, reflect the fact that fiscal 2018 was a 52-week period as compared to fiscal 2017, which was a 53-week year and therefore included an additional week of sales, earnings and cash flow. In addition to overall financial and operating performance metrics, there were specific departmental metrics for our marketing, digital, store operations and merchandising/planning &amp; allocation business units, as well as a discretionary component based on individual performance targets. As described in the table below, the overall financial and operating performance metrics represented 80% and individual performance represented 20% of the AIP for Messrs. Levin, Stratton, Reaves and Molloy. For Mr. Davey, overall financial and operating performance metrics represented 60%, departmental metrics represented 20%, and individual performance represented 20% of the AIP. We believe that these modifications better aligned the compensation of our employees with their contribution to our business results.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performance metrics approved by the Compensation Committee and actual results against these metrics were as follows:</w:t>
      </w:r>
    </w:p>
    <w:p>
      <w:pPr>
        <w:spacing w:after="0" w:line="225" w:lineRule="exact"/>
        <w:rPr>
          <w:sz w:val="20"/>
          <w:szCs w:val="20"/>
          <w:color w:val="auto"/>
        </w:rPr>
      </w:pPr>
    </w:p>
    <w:p>
      <w:pPr>
        <w:ind w:left="4940"/>
        <w:spacing w:after="0"/>
        <w:rPr>
          <w:sz w:val="20"/>
          <w:szCs w:val="20"/>
          <w:color w:val="auto"/>
        </w:rPr>
      </w:pPr>
      <w:r>
        <w:rPr>
          <w:rFonts w:ascii="Arial" w:cs="Arial" w:eastAsia="Arial" w:hAnsi="Arial"/>
          <w:sz w:val="18"/>
          <w:szCs w:val="18"/>
          <w:i w:val="1"/>
          <w:iCs w:val="1"/>
          <w:color w:val="auto"/>
        </w:rPr>
        <w:t>2018 Annual Incentive Plan</w:t>
      </w: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40"/>
              <w:spacing w:after="0" w:line="141" w:lineRule="exact"/>
              <w:rPr>
                <w:sz w:val="20"/>
                <w:szCs w:val="20"/>
                <w:color w:val="auto"/>
              </w:rPr>
            </w:pPr>
            <w:r>
              <w:rPr>
                <w:rFonts w:ascii="Arial" w:cs="Arial" w:eastAsia="Arial" w:hAnsi="Arial"/>
                <w:sz w:val="13"/>
                <w:szCs w:val="13"/>
                <w:b w:val="1"/>
                <w:bCs w:val="1"/>
                <w:color w:val="auto"/>
                <w:w w:val="94"/>
              </w:rPr>
              <w:t>Award %</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60" w:type="dxa"/>
            <w:vAlign w:val="bottom"/>
          </w:tcPr>
          <w:p>
            <w:pPr>
              <w:spacing w:after="0"/>
              <w:rPr>
                <w:sz w:val="11"/>
                <w:szCs w:val="11"/>
                <w:color w:val="auto"/>
              </w:rPr>
            </w:pPr>
          </w:p>
        </w:tc>
        <w:tc>
          <w:tcPr>
            <w:tcW w:w="7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Award %</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Target for</w:t>
            </w: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NEOs except</w:t>
            </w:r>
          </w:p>
        </w:tc>
        <w:tc>
          <w:tcPr>
            <w:tcW w:w="160" w:type="dxa"/>
            <w:vAlign w:val="bottom"/>
          </w:tcPr>
          <w:p>
            <w:pPr>
              <w:spacing w:after="0"/>
              <w:rPr>
                <w:sz w:val="11"/>
                <w:szCs w:val="11"/>
                <w:color w:val="auto"/>
              </w:rPr>
            </w:pP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Target for</w:t>
            </w:r>
          </w:p>
        </w:tc>
        <w:tc>
          <w:tcPr>
            <w:tcW w:w="29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Minimum/Maximum</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line="140" w:lineRule="exact"/>
              <w:rPr>
                <w:sz w:val="20"/>
                <w:szCs w:val="20"/>
                <w:color w:val="auto"/>
              </w:rPr>
            </w:pPr>
            <w:r>
              <w:rPr>
                <w:rFonts w:ascii="Arial" w:cs="Arial" w:eastAsia="Arial" w:hAnsi="Arial"/>
                <w:sz w:val="13"/>
                <w:szCs w:val="13"/>
                <w:b w:val="1"/>
                <w:bCs w:val="1"/>
                <w:color w:val="auto"/>
                <w:w w:val="93"/>
              </w:rPr>
              <w:t>Metric</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4"/>
              </w:rPr>
              <w:t>Mr. Davey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1"/>
              </w:rPr>
              <w:t>Mr. Davey</w:t>
            </w:r>
          </w:p>
        </w:tc>
        <w:tc>
          <w:tcPr>
            <w:tcW w:w="960" w:type="dxa"/>
            <w:vAlign w:val="bottom"/>
          </w:tcPr>
          <w:p>
            <w:pPr>
              <w:spacing w:after="0"/>
              <w:rPr>
                <w:sz w:val="12"/>
                <w:szCs w:val="12"/>
                <w:color w:val="auto"/>
              </w:rPr>
            </w:pPr>
          </w:p>
        </w:tc>
        <w:tc>
          <w:tcPr>
            <w:tcW w:w="1980" w:type="dxa"/>
            <w:vAlign w:val="bottom"/>
            <w:gridSpan w:val="2"/>
          </w:tcPr>
          <w:p>
            <w:pPr>
              <w:jc w:val="center"/>
              <w:ind w:right="1080"/>
              <w:spacing w:after="0" w:line="140" w:lineRule="exact"/>
              <w:rPr>
                <w:sz w:val="20"/>
                <w:szCs w:val="20"/>
                <w:color w:val="auto"/>
              </w:rPr>
            </w:pPr>
            <w:r>
              <w:rPr>
                <w:rFonts w:ascii="Arial" w:cs="Arial" w:eastAsia="Arial" w:hAnsi="Arial"/>
                <w:sz w:val="13"/>
                <w:szCs w:val="13"/>
                <w:b w:val="1"/>
                <w:bCs w:val="1"/>
                <w:color w:val="auto"/>
                <w:w w:val="88"/>
              </w:rPr>
              <w:t>Potential Payout</w:t>
            </w:r>
          </w:p>
        </w:tc>
        <w:tc>
          <w:tcPr>
            <w:tcW w:w="1740" w:type="dxa"/>
            <w:vAlign w:val="bottom"/>
            <w:gridSpan w:val="4"/>
          </w:tcPr>
          <w:p>
            <w:pPr>
              <w:ind w:left="340"/>
              <w:spacing w:after="0" w:line="140" w:lineRule="exact"/>
              <w:rPr>
                <w:sz w:val="20"/>
                <w:szCs w:val="20"/>
                <w:color w:val="auto"/>
              </w:rPr>
            </w:pPr>
            <w:r>
              <w:rPr>
                <w:rFonts w:ascii="Arial" w:cs="Arial" w:eastAsia="Arial" w:hAnsi="Arial"/>
                <w:sz w:val="13"/>
                <w:szCs w:val="13"/>
                <w:b w:val="1"/>
                <w:bCs w:val="1"/>
                <w:color w:val="auto"/>
              </w:rPr>
              <w:t>2018 Target</w:t>
            </w:r>
          </w:p>
        </w:tc>
        <w:tc>
          <w:tcPr>
            <w:tcW w:w="1440" w:type="dxa"/>
            <w:vAlign w:val="bottom"/>
            <w:gridSpan w:val="4"/>
          </w:tcPr>
          <w:p>
            <w:pPr>
              <w:ind w:left="20"/>
              <w:spacing w:after="0" w:line="140" w:lineRule="exact"/>
              <w:rPr>
                <w:sz w:val="20"/>
                <w:szCs w:val="20"/>
                <w:color w:val="auto"/>
              </w:rPr>
            </w:pPr>
            <w:r>
              <w:rPr>
                <w:rFonts w:ascii="Arial" w:cs="Arial" w:eastAsia="Arial" w:hAnsi="Arial"/>
                <w:sz w:val="13"/>
                <w:szCs w:val="13"/>
                <w:b w:val="1"/>
                <w:bCs w:val="1"/>
                <w:color w:val="auto"/>
              </w:rPr>
              <w:t>2018 Actual**</w:t>
            </w:r>
          </w:p>
        </w:tc>
        <w:tc>
          <w:tcPr>
            <w:tcW w:w="9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Payout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96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480" w:type="dxa"/>
            <w:vAlign w:val="bottom"/>
            <w:shd w:val="clear" w:color="auto" w:fill="CFF0FC"/>
          </w:tcPr>
          <w:p>
            <w:pPr>
              <w:ind w:left="120"/>
              <w:spacing w:after="0" w:line="123" w:lineRule="exact"/>
              <w:rPr>
                <w:sz w:val="20"/>
                <w:szCs w:val="20"/>
                <w:color w:val="auto"/>
              </w:rPr>
            </w:pPr>
            <w:r>
              <w:rPr>
                <w:rFonts w:ascii="Arial" w:cs="Arial" w:eastAsia="Arial" w:hAnsi="Arial"/>
                <w:sz w:val="14"/>
                <w:szCs w:val="14"/>
                <w:color w:val="auto"/>
                <w:w w:val="96"/>
              </w:rPr>
              <w:t>Sales</w:t>
            </w:r>
          </w:p>
        </w:tc>
        <w:tc>
          <w:tcPr>
            <w:tcW w:w="38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jc w:val="center"/>
              <w:spacing w:after="0" w:line="123" w:lineRule="exact"/>
              <w:rPr>
                <w:sz w:val="20"/>
                <w:szCs w:val="20"/>
                <w:color w:val="auto"/>
              </w:rPr>
            </w:pPr>
            <w:r>
              <w:rPr>
                <w:rFonts w:ascii="Arial" w:cs="Arial" w:eastAsia="Arial" w:hAnsi="Arial"/>
                <w:sz w:val="14"/>
                <w:szCs w:val="14"/>
                <w:color w:val="auto"/>
                <w:w w:val="95"/>
              </w:rPr>
              <w:t>25.0%</w:t>
            </w:r>
          </w:p>
        </w:tc>
        <w:tc>
          <w:tcPr>
            <w:tcW w:w="1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60" w:type="dxa"/>
            <w:vAlign w:val="bottom"/>
            <w:shd w:val="clear" w:color="auto" w:fill="CFF0FC"/>
          </w:tcPr>
          <w:p>
            <w:pPr>
              <w:jc w:val="center"/>
              <w:spacing w:after="0" w:line="123" w:lineRule="exact"/>
              <w:rPr>
                <w:sz w:val="20"/>
                <w:szCs w:val="20"/>
                <w:color w:val="auto"/>
              </w:rPr>
            </w:pPr>
            <w:r>
              <w:rPr>
                <w:rFonts w:ascii="Arial" w:cs="Arial" w:eastAsia="Arial" w:hAnsi="Arial"/>
                <w:sz w:val="14"/>
                <w:szCs w:val="14"/>
                <w:color w:val="auto"/>
                <w:w w:val="90"/>
              </w:rPr>
              <w:t>20.0%</w:t>
            </w:r>
          </w:p>
        </w:tc>
        <w:tc>
          <w:tcPr>
            <w:tcW w:w="160" w:type="dxa"/>
            <w:vAlign w:val="bottom"/>
            <w:shd w:val="clear" w:color="auto" w:fill="CFF0FC"/>
          </w:tcPr>
          <w:p>
            <w:pPr>
              <w:spacing w:after="0"/>
              <w:rPr>
                <w:sz w:val="10"/>
                <w:szCs w:val="10"/>
                <w:color w:val="auto"/>
              </w:rPr>
            </w:pPr>
          </w:p>
        </w:tc>
        <w:tc>
          <w:tcPr>
            <w:tcW w:w="3520" w:type="dxa"/>
            <w:vAlign w:val="bottom"/>
            <w:gridSpan w:val="5"/>
            <w:shd w:val="clear" w:color="auto" w:fill="CFF0FC"/>
          </w:tcPr>
          <w:p>
            <w:pPr>
              <w:ind w:left="40"/>
              <w:spacing w:after="0" w:line="123" w:lineRule="exact"/>
              <w:rPr>
                <w:sz w:val="20"/>
                <w:szCs w:val="20"/>
                <w:color w:val="auto"/>
              </w:rPr>
            </w:pPr>
            <w:r>
              <w:rPr>
                <w:rFonts w:ascii="Arial" w:cs="Arial" w:eastAsia="Arial" w:hAnsi="Arial"/>
                <w:sz w:val="14"/>
                <w:szCs w:val="14"/>
                <w:color w:val="auto"/>
              </w:rPr>
              <w:t>100% payout at target, with 50% payout at 98.5% of</w:t>
            </w:r>
          </w:p>
        </w:tc>
        <w:tc>
          <w:tcPr>
            <w:tcW w:w="1160" w:type="dxa"/>
            <w:vAlign w:val="bottom"/>
            <w:gridSpan w:val="2"/>
            <w:shd w:val="clear" w:color="auto" w:fill="CFF0FC"/>
          </w:tcPr>
          <w:p>
            <w:pPr>
              <w:jc w:val="center"/>
              <w:ind w:left="188"/>
              <w:spacing w:after="0" w:line="123" w:lineRule="exact"/>
              <w:rPr>
                <w:sz w:val="20"/>
                <w:szCs w:val="20"/>
                <w:color w:val="auto"/>
              </w:rPr>
            </w:pPr>
            <w:r>
              <w:rPr>
                <w:rFonts w:ascii="Arial" w:cs="Arial" w:eastAsia="Arial" w:hAnsi="Arial"/>
                <w:sz w:val="14"/>
                <w:szCs w:val="14"/>
                <w:color w:val="auto"/>
                <w:w w:val="99"/>
              </w:rPr>
              <w:t>$470.0 million</w:t>
            </w:r>
          </w:p>
        </w:tc>
        <w:tc>
          <w:tcPr>
            <w:tcW w:w="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20" w:type="dxa"/>
            <w:vAlign w:val="bottom"/>
            <w:gridSpan w:val="3"/>
            <w:shd w:val="clear" w:color="auto" w:fill="CFF0FC"/>
          </w:tcPr>
          <w:p>
            <w:pPr>
              <w:jc w:val="center"/>
              <w:spacing w:after="0" w:line="123" w:lineRule="exact"/>
              <w:rPr>
                <w:sz w:val="20"/>
                <w:szCs w:val="20"/>
                <w:color w:val="auto"/>
              </w:rPr>
            </w:pPr>
            <w:r>
              <w:rPr>
                <w:rFonts w:ascii="Arial" w:cs="Arial" w:eastAsia="Arial" w:hAnsi="Arial"/>
                <w:sz w:val="14"/>
                <w:szCs w:val="14"/>
                <w:color w:val="auto"/>
                <w:w w:val="99"/>
              </w:rPr>
              <w:t>$470.9 million</w:t>
            </w:r>
          </w:p>
        </w:tc>
        <w:tc>
          <w:tcPr>
            <w:tcW w:w="720" w:type="dxa"/>
            <w:vAlign w:val="bottom"/>
            <w:gridSpan w:val="2"/>
            <w:shd w:val="clear" w:color="auto" w:fill="CFF0FC"/>
          </w:tcPr>
          <w:p>
            <w:pPr>
              <w:jc w:val="center"/>
              <w:spacing w:after="0" w:line="123" w:lineRule="exact"/>
              <w:rPr>
                <w:sz w:val="20"/>
                <w:szCs w:val="20"/>
                <w:color w:val="auto"/>
              </w:rPr>
            </w:pPr>
            <w:r>
              <w:rPr>
                <w:rFonts w:ascii="Arial" w:cs="Arial" w:eastAsia="Arial" w:hAnsi="Arial"/>
                <w:sz w:val="14"/>
                <w:szCs w:val="14"/>
                <w:color w:val="auto"/>
                <w:w w:val="92"/>
              </w:rPr>
              <w:t>104.6%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9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target and 150% payout at 102.1% of target.</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vMerge w:val="restart"/>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420" w:type="dxa"/>
            <w:vAlign w:val="bottom"/>
            <w:gridSpan w:val="2"/>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50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Adjusted EBITDA</w:t>
            </w:r>
          </w:p>
        </w:tc>
        <w:tc>
          <w:tcPr>
            <w:tcW w:w="740" w:type="dxa"/>
            <w:vAlign w:val="bottom"/>
            <w:gridSpan w:val="2"/>
          </w:tcPr>
          <w:p>
            <w:pPr>
              <w:jc w:val="center"/>
              <w:ind w:left="91"/>
              <w:spacing w:after="0" w:line="130" w:lineRule="exact"/>
              <w:rPr>
                <w:sz w:val="20"/>
                <w:szCs w:val="20"/>
                <w:color w:val="auto"/>
              </w:rPr>
            </w:pPr>
            <w:r>
              <w:rPr>
                <w:rFonts w:ascii="Arial" w:cs="Arial" w:eastAsia="Arial" w:hAnsi="Arial"/>
                <w:sz w:val="14"/>
                <w:szCs w:val="14"/>
                <w:color w:val="auto"/>
                <w:w w:val="95"/>
              </w:rPr>
              <w:t>25.0%</w:t>
            </w:r>
          </w:p>
        </w:tc>
        <w:tc>
          <w:tcPr>
            <w:tcW w:w="160" w:type="dxa"/>
            <w:vAlign w:val="bottom"/>
          </w:tcPr>
          <w:p>
            <w:pPr>
              <w:spacing w:after="0"/>
              <w:rPr>
                <w:sz w:val="11"/>
                <w:szCs w:val="11"/>
                <w:color w:val="auto"/>
              </w:rPr>
            </w:pPr>
          </w:p>
        </w:tc>
        <w:tc>
          <w:tcPr>
            <w:tcW w:w="720" w:type="dxa"/>
            <w:vAlign w:val="bottom"/>
            <w:gridSpan w:val="2"/>
          </w:tcPr>
          <w:p>
            <w:pPr>
              <w:jc w:val="center"/>
              <w:ind w:left="90"/>
              <w:spacing w:after="0" w:line="130" w:lineRule="exact"/>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11"/>
                <w:szCs w:val="11"/>
                <w:color w:val="auto"/>
              </w:rPr>
            </w:pPr>
          </w:p>
        </w:tc>
        <w:tc>
          <w:tcPr>
            <w:tcW w:w="3520" w:type="dxa"/>
            <w:vAlign w:val="bottom"/>
            <w:gridSpan w:val="5"/>
          </w:tcPr>
          <w:p>
            <w:pPr>
              <w:ind w:left="40"/>
              <w:spacing w:after="0" w:line="130" w:lineRule="exact"/>
              <w:rPr>
                <w:sz w:val="20"/>
                <w:szCs w:val="20"/>
                <w:color w:val="auto"/>
              </w:rPr>
            </w:pPr>
            <w:r>
              <w:rPr>
                <w:rFonts w:ascii="Arial" w:cs="Arial" w:eastAsia="Arial" w:hAnsi="Arial"/>
                <w:sz w:val="14"/>
                <w:szCs w:val="14"/>
                <w:color w:val="auto"/>
              </w:rPr>
              <w:t>100% payout at target, with 50% payout at 86.0% of</w:t>
            </w:r>
          </w:p>
        </w:tc>
        <w:tc>
          <w:tcPr>
            <w:tcW w:w="1160" w:type="dxa"/>
            <w:vAlign w:val="bottom"/>
            <w:gridSpan w:val="2"/>
          </w:tcPr>
          <w:p>
            <w:pPr>
              <w:jc w:val="center"/>
              <w:ind w:left="188"/>
              <w:spacing w:after="0" w:line="130" w:lineRule="exact"/>
              <w:rPr>
                <w:sz w:val="20"/>
                <w:szCs w:val="20"/>
                <w:color w:val="auto"/>
              </w:rPr>
            </w:pPr>
            <w:r>
              <w:rPr>
                <w:rFonts w:ascii="Arial" w:cs="Arial" w:eastAsia="Arial" w:hAnsi="Arial"/>
                <w:sz w:val="14"/>
                <w:szCs w:val="14"/>
                <w:color w:val="auto"/>
                <w:w w:val="99"/>
              </w:rPr>
              <w:t>$25.0 million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left="228"/>
              <w:spacing w:after="0" w:line="130" w:lineRule="exact"/>
              <w:rPr>
                <w:sz w:val="20"/>
                <w:szCs w:val="20"/>
                <w:color w:val="auto"/>
              </w:rPr>
            </w:pPr>
            <w:r>
              <w:rPr>
                <w:rFonts w:ascii="Arial" w:cs="Arial" w:eastAsia="Arial" w:hAnsi="Arial"/>
                <w:sz w:val="14"/>
                <w:szCs w:val="14"/>
                <w:color w:val="auto"/>
                <w:w w:val="99"/>
              </w:rPr>
              <w:t>$ 28.5 million</w:t>
            </w:r>
          </w:p>
        </w:tc>
        <w:tc>
          <w:tcPr>
            <w:tcW w:w="260" w:type="dxa"/>
            <w:vAlign w:val="bottom"/>
          </w:tcPr>
          <w:p>
            <w:pPr>
              <w:spacing w:after="0"/>
              <w:rPr>
                <w:sz w:val="11"/>
                <w:szCs w:val="11"/>
                <w:color w:val="auto"/>
              </w:rPr>
            </w:pPr>
          </w:p>
        </w:tc>
        <w:tc>
          <w:tcPr>
            <w:tcW w:w="7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2"/>
              </w:rPr>
              <w:t>134.8%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3"/>
          </w:tcPr>
          <w:p>
            <w:pPr>
              <w:ind w:left="40"/>
              <w:spacing w:after="0"/>
              <w:rPr>
                <w:sz w:val="20"/>
                <w:szCs w:val="20"/>
                <w:color w:val="auto"/>
              </w:rPr>
            </w:pPr>
            <w:r>
              <w:rPr>
                <w:rFonts w:ascii="Arial" w:cs="Arial" w:eastAsia="Arial" w:hAnsi="Arial"/>
                <w:sz w:val="14"/>
                <w:szCs w:val="14"/>
                <w:color w:val="auto"/>
              </w:rPr>
              <w:t>target and 150% payout at 120.0% of target.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6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26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rPr>
              <w:t>Gross Margin</w:t>
            </w:r>
          </w:p>
        </w:tc>
        <w:tc>
          <w:tcPr>
            <w:tcW w:w="740" w:type="dxa"/>
            <w:vAlign w:val="bottom"/>
            <w:gridSpan w:val="2"/>
            <w:shd w:val="clear" w:color="auto" w:fill="CFF0FC"/>
          </w:tcPr>
          <w:p>
            <w:pPr>
              <w:jc w:val="center"/>
              <w:ind w:left="91"/>
              <w:spacing w:after="0" w:line="130" w:lineRule="exact"/>
              <w:rPr>
                <w:sz w:val="20"/>
                <w:szCs w:val="20"/>
                <w:color w:val="auto"/>
              </w:rPr>
            </w:pPr>
            <w:r>
              <w:rPr>
                <w:rFonts w:ascii="Arial" w:cs="Arial" w:eastAsia="Arial" w:hAnsi="Arial"/>
                <w:sz w:val="14"/>
                <w:szCs w:val="14"/>
                <w:color w:val="auto"/>
                <w:w w:val="95"/>
              </w:rPr>
              <w:t>15.0%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center"/>
              <w:ind w:left="90"/>
              <w:spacing w:after="0" w:line="130" w:lineRule="exact"/>
              <w:rPr>
                <w:sz w:val="20"/>
                <w:szCs w:val="20"/>
                <w:color w:val="auto"/>
              </w:rPr>
            </w:pPr>
            <w:r>
              <w:rPr>
                <w:rFonts w:ascii="Arial" w:cs="Arial" w:eastAsia="Arial" w:hAnsi="Arial"/>
                <w:sz w:val="14"/>
                <w:szCs w:val="14"/>
                <w:color w:val="auto"/>
                <w:w w:val="90"/>
              </w:rPr>
              <w:t>10.0%</w:t>
            </w:r>
          </w:p>
        </w:tc>
        <w:tc>
          <w:tcPr>
            <w:tcW w:w="160" w:type="dxa"/>
            <w:vAlign w:val="bottom"/>
            <w:shd w:val="clear" w:color="auto" w:fill="CFF0FC"/>
          </w:tcPr>
          <w:p>
            <w:pPr>
              <w:spacing w:after="0"/>
              <w:rPr>
                <w:sz w:val="11"/>
                <w:szCs w:val="11"/>
                <w:color w:val="auto"/>
              </w:rPr>
            </w:pPr>
          </w:p>
        </w:tc>
        <w:tc>
          <w:tcPr>
            <w:tcW w:w="3520" w:type="dxa"/>
            <w:vAlign w:val="bottom"/>
            <w:gridSpan w:val="5"/>
            <w:shd w:val="clear" w:color="auto" w:fill="CFF0FC"/>
          </w:tcPr>
          <w:p>
            <w:pPr>
              <w:ind w:left="40"/>
              <w:spacing w:after="0" w:line="130" w:lineRule="exact"/>
              <w:rPr>
                <w:sz w:val="20"/>
                <w:szCs w:val="20"/>
                <w:color w:val="auto"/>
              </w:rPr>
            </w:pPr>
            <w:r>
              <w:rPr>
                <w:rFonts w:ascii="Arial" w:cs="Arial" w:eastAsia="Arial" w:hAnsi="Arial"/>
                <w:sz w:val="14"/>
                <w:szCs w:val="14"/>
                <w:color w:val="auto"/>
              </w:rPr>
              <w:t>100% payout at target, with 50% payout at 96.9% of</w:t>
            </w:r>
          </w:p>
        </w:tc>
        <w:tc>
          <w:tcPr>
            <w:tcW w:w="1160" w:type="dxa"/>
            <w:vAlign w:val="bottom"/>
            <w:gridSpan w:val="2"/>
            <w:shd w:val="clear" w:color="auto" w:fill="CFF0FC"/>
          </w:tcPr>
          <w:p>
            <w:pPr>
              <w:jc w:val="center"/>
              <w:ind w:left="168"/>
              <w:spacing w:after="0" w:line="130" w:lineRule="exact"/>
              <w:rPr>
                <w:sz w:val="20"/>
                <w:szCs w:val="20"/>
                <w:color w:val="auto"/>
              </w:rPr>
            </w:pPr>
            <w:r>
              <w:rPr>
                <w:rFonts w:ascii="Arial" w:cs="Arial" w:eastAsia="Arial" w:hAnsi="Arial"/>
                <w:sz w:val="14"/>
                <w:szCs w:val="14"/>
                <w:color w:val="auto"/>
                <w:w w:val="97"/>
              </w:rPr>
              <w:t>$211.5 million</w:t>
            </w: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2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7"/>
              </w:rPr>
              <w:t>$ 210.9 million</w:t>
            </w:r>
          </w:p>
        </w:tc>
        <w:tc>
          <w:tcPr>
            <w:tcW w:w="720" w:type="dxa"/>
            <w:vAlign w:val="bottom"/>
            <w:gridSpan w:val="2"/>
            <w:shd w:val="clear" w:color="auto" w:fill="CFF0FC"/>
          </w:tcPr>
          <w:p>
            <w:pPr>
              <w:jc w:val="center"/>
              <w:ind w:right="20"/>
              <w:spacing w:after="0" w:line="130" w:lineRule="exact"/>
              <w:rPr>
                <w:sz w:val="20"/>
                <w:szCs w:val="20"/>
                <w:color w:val="auto"/>
              </w:rPr>
            </w:pPr>
            <w:r>
              <w:rPr>
                <w:rFonts w:ascii="Arial" w:cs="Arial" w:eastAsia="Arial" w:hAnsi="Arial"/>
                <w:sz w:val="14"/>
                <w:szCs w:val="14"/>
                <w:color w:val="auto"/>
                <w:w w:val="95"/>
              </w:rPr>
              <w:t>95.2%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60" w:type="dxa"/>
            <w:vAlign w:val="bottom"/>
            <w:gridSpan w:val="3"/>
            <w:shd w:val="clear" w:color="auto" w:fill="CFF0FC"/>
          </w:tcPr>
          <w:p>
            <w:pPr>
              <w:ind w:left="120"/>
              <w:spacing w:after="0"/>
              <w:rPr>
                <w:sz w:val="20"/>
                <w:szCs w:val="20"/>
                <w:color w:val="auto"/>
              </w:rPr>
            </w:pPr>
            <w:r>
              <w:rPr>
                <w:rFonts w:ascii="Arial" w:cs="Arial" w:eastAsia="Arial" w:hAnsi="Arial"/>
                <w:sz w:val="14"/>
                <w:szCs w:val="14"/>
                <w:color w:val="auto"/>
              </w:rPr>
              <w:t>Dollars</w:t>
            </w: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9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target and 150% payout at 103.1% of target.</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60" w:type="dxa"/>
            <w:vAlign w:val="bottom"/>
          </w:tcPr>
          <w:p>
            <w:pPr>
              <w:spacing w:after="0" w:line="130" w:lineRule="exact"/>
              <w:rPr>
                <w:sz w:val="20"/>
                <w:szCs w:val="20"/>
                <w:color w:val="auto"/>
              </w:rPr>
            </w:pPr>
            <w:r>
              <w:rPr>
                <w:rFonts w:ascii="Arial" w:cs="Arial" w:eastAsia="Arial" w:hAnsi="Arial"/>
                <w:sz w:val="14"/>
                <w:szCs w:val="14"/>
                <w:b w:val="1"/>
                <w:bCs w:val="1"/>
                <w:color w:val="auto"/>
              </w:rPr>
              <w:t>Target 4</w:t>
            </w:r>
          </w:p>
        </w:tc>
        <w:tc>
          <w:tcPr>
            <w:tcW w:w="12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Free Cash Flow</w:t>
            </w:r>
          </w:p>
        </w:tc>
        <w:tc>
          <w:tcPr>
            <w:tcW w:w="740" w:type="dxa"/>
            <w:vAlign w:val="bottom"/>
            <w:gridSpan w:val="2"/>
          </w:tcPr>
          <w:p>
            <w:pPr>
              <w:jc w:val="center"/>
              <w:ind w:left="91"/>
              <w:spacing w:after="0" w:line="130" w:lineRule="exact"/>
              <w:rPr>
                <w:sz w:val="20"/>
                <w:szCs w:val="20"/>
                <w:color w:val="auto"/>
              </w:rPr>
            </w:pPr>
            <w:r>
              <w:rPr>
                <w:rFonts w:ascii="Arial" w:cs="Arial" w:eastAsia="Arial" w:hAnsi="Arial"/>
                <w:sz w:val="14"/>
                <w:szCs w:val="14"/>
                <w:color w:val="auto"/>
                <w:w w:val="95"/>
              </w:rPr>
              <w:t>15.0%</w:t>
            </w:r>
          </w:p>
        </w:tc>
        <w:tc>
          <w:tcPr>
            <w:tcW w:w="160" w:type="dxa"/>
            <w:vAlign w:val="bottom"/>
          </w:tcPr>
          <w:p>
            <w:pPr>
              <w:spacing w:after="0"/>
              <w:rPr>
                <w:sz w:val="11"/>
                <w:szCs w:val="11"/>
                <w:color w:val="auto"/>
              </w:rPr>
            </w:pPr>
          </w:p>
        </w:tc>
        <w:tc>
          <w:tcPr>
            <w:tcW w:w="720" w:type="dxa"/>
            <w:vAlign w:val="bottom"/>
            <w:gridSpan w:val="2"/>
          </w:tcPr>
          <w:p>
            <w:pPr>
              <w:jc w:val="center"/>
              <w:ind w:left="90"/>
              <w:spacing w:after="0" w:line="130" w:lineRule="exact"/>
              <w:rPr>
                <w:sz w:val="20"/>
                <w:szCs w:val="20"/>
                <w:color w:val="auto"/>
              </w:rPr>
            </w:pPr>
            <w:r>
              <w:rPr>
                <w:rFonts w:ascii="Arial" w:cs="Arial" w:eastAsia="Arial" w:hAnsi="Arial"/>
                <w:sz w:val="14"/>
                <w:szCs w:val="14"/>
                <w:color w:val="auto"/>
                <w:w w:val="90"/>
              </w:rPr>
              <w:t>10.0%</w:t>
            </w:r>
          </w:p>
        </w:tc>
        <w:tc>
          <w:tcPr>
            <w:tcW w:w="160" w:type="dxa"/>
            <w:vAlign w:val="bottom"/>
          </w:tcPr>
          <w:p>
            <w:pPr>
              <w:spacing w:after="0"/>
              <w:rPr>
                <w:sz w:val="11"/>
                <w:szCs w:val="11"/>
                <w:color w:val="auto"/>
              </w:rPr>
            </w:pPr>
          </w:p>
        </w:tc>
        <w:tc>
          <w:tcPr>
            <w:tcW w:w="3520" w:type="dxa"/>
            <w:vAlign w:val="bottom"/>
            <w:gridSpan w:val="5"/>
          </w:tcPr>
          <w:p>
            <w:pPr>
              <w:ind w:left="40"/>
              <w:spacing w:after="0" w:line="130" w:lineRule="exact"/>
              <w:rPr>
                <w:sz w:val="20"/>
                <w:szCs w:val="20"/>
                <w:color w:val="auto"/>
              </w:rPr>
            </w:pPr>
            <w:r>
              <w:rPr>
                <w:rFonts w:ascii="Arial" w:cs="Arial" w:eastAsia="Arial" w:hAnsi="Arial"/>
                <w:sz w:val="14"/>
                <w:szCs w:val="14"/>
                <w:color w:val="auto"/>
              </w:rPr>
              <w:t>100% payout at target, with 50% payout at 76.9% of</w:t>
            </w:r>
          </w:p>
        </w:tc>
        <w:tc>
          <w:tcPr>
            <w:tcW w:w="1160" w:type="dxa"/>
            <w:vAlign w:val="bottom"/>
            <w:gridSpan w:val="2"/>
          </w:tcPr>
          <w:p>
            <w:pPr>
              <w:jc w:val="center"/>
              <w:ind w:left="188"/>
              <w:spacing w:after="0" w:line="130" w:lineRule="exact"/>
              <w:rPr>
                <w:sz w:val="20"/>
                <w:szCs w:val="20"/>
                <w:color w:val="auto"/>
              </w:rPr>
            </w:pPr>
            <w:r>
              <w:rPr>
                <w:rFonts w:ascii="Arial" w:cs="Arial" w:eastAsia="Arial" w:hAnsi="Arial"/>
                <w:sz w:val="14"/>
                <w:szCs w:val="14"/>
                <w:color w:val="auto"/>
                <w:w w:val="99"/>
              </w:rPr>
              <w:t>$13.0 million</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left="228"/>
              <w:spacing w:after="0" w:line="130" w:lineRule="exact"/>
              <w:rPr>
                <w:sz w:val="20"/>
                <w:szCs w:val="20"/>
                <w:color w:val="auto"/>
              </w:rPr>
            </w:pPr>
            <w:r>
              <w:rPr>
                <w:rFonts w:ascii="Arial" w:cs="Arial" w:eastAsia="Arial" w:hAnsi="Arial"/>
                <w:sz w:val="14"/>
                <w:szCs w:val="14"/>
                <w:color w:val="auto"/>
                <w:w w:val="99"/>
              </w:rPr>
              <w:t>$12.1 million</w:t>
            </w:r>
          </w:p>
        </w:tc>
        <w:tc>
          <w:tcPr>
            <w:tcW w:w="260" w:type="dxa"/>
            <w:vAlign w:val="bottom"/>
          </w:tcPr>
          <w:p>
            <w:pPr>
              <w:spacing w:after="0"/>
              <w:rPr>
                <w:sz w:val="11"/>
                <w:szCs w:val="11"/>
                <w:color w:val="auto"/>
              </w:rPr>
            </w:pPr>
          </w:p>
        </w:tc>
        <w:tc>
          <w:tcPr>
            <w:tcW w:w="720" w:type="dxa"/>
            <w:vAlign w:val="bottom"/>
            <w:gridSpan w:val="2"/>
          </w:tcPr>
          <w:p>
            <w:pPr>
              <w:jc w:val="center"/>
              <w:ind w:right="20"/>
              <w:spacing w:after="0" w:line="130" w:lineRule="exact"/>
              <w:rPr>
                <w:sz w:val="20"/>
                <w:szCs w:val="20"/>
                <w:color w:val="auto"/>
              </w:rPr>
            </w:pPr>
            <w:r>
              <w:rPr>
                <w:rFonts w:ascii="Arial" w:cs="Arial" w:eastAsia="Arial" w:hAnsi="Arial"/>
                <w:sz w:val="14"/>
                <w:szCs w:val="14"/>
                <w:color w:val="auto"/>
                <w:w w:val="95"/>
              </w:rPr>
              <w:t>85.1%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40" w:type="dxa"/>
            <w:vAlign w:val="bottom"/>
            <w:gridSpan w:val="3"/>
          </w:tcPr>
          <w:p>
            <w:pPr>
              <w:ind w:left="40"/>
              <w:spacing w:after="0"/>
              <w:rPr>
                <w:sz w:val="20"/>
                <w:szCs w:val="20"/>
                <w:color w:val="auto"/>
              </w:rPr>
            </w:pPr>
            <w:r>
              <w:rPr>
                <w:rFonts w:ascii="Arial" w:cs="Arial" w:eastAsia="Arial" w:hAnsi="Arial"/>
                <w:sz w:val="14"/>
                <w:szCs w:val="14"/>
                <w:color w:val="auto"/>
              </w:rPr>
              <w:t>target and 150% payout at 123.1% of target.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96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5</w:t>
            </w:r>
          </w:p>
        </w:tc>
        <w:tc>
          <w:tcPr>
            <w:tcW w:w="1260" w:type="dxa"/>
            <w:vAlign w:val="bottom"/>
            <w:gridSpan w:val="3"/>
            <w:shd w:val="clear" w:color="auto" w:fill="CFF0FC"/>
          </w:tcPr>
          <w:p>
            <w:pPr>
              <w:ind w:left="120"/>
              <w:spacing w:after="0" w:line="130" w:lineRule="exact"/>
              <w:rPr>
                <w:sz w:val="20"/>
                <w:szCs w:val="20"/>
                <w:color w:val="auto"/>
              </w:rPr>
            </w:pPr>
            <w:r>
              <w:rPr>
                <w:rFonts w:ascii="Arial" w:cs="Arial" w:eastAsia="Arial" w:hAnsi="Arial"/>
                <w:sz w:val="14"/>
                <w:szCs w:val="14"/>
                <w:color w:val="auto"/>
              </w:rPr>
              <w:t>Discretionary –</w:t>
            </w:r>
          </w:p>
        </w:tc>
        <w:tc>
          <w:tcPr>
            <w:tcW w:w="740" w:type="dxa"/>
            <w:vAlign w:val="bottom"/>
            <w:gridSpan w:val="2"/>
            <w:shd w:val="clear" w:color="auto" w:fill="CFF0FC"/>
          </w:tcPr>
          <w:p>
            <w:pPr>
              <w:jc w:val="center"/>
              <w:ind w:left="91"/>
              <w:spacing w:after="0" w:line="130" w:lineRule="exact"/>
              <w:rPr>
                <w:sz w:val="20"/>
                <w:szCs w:val="20"/>
                <w:color w:val="auto"/>
              </w:rPr>
            </w:pPr>
            <w:r>
              <w:rPr>
                <w:rFonts w:ascii="Arial" w:cs="Arial" w:eastAsia="Arial" w:hAnsi="Arial"/>
                <w:sz w:val="14"/>
                <w:szCs w:val="14"/>
                <w:color w:val="auto"/>
                <w:w w:val="95"/>
              </w:rPr>
              <w:t>20.0%</w:t>
            </w:r>
          </w:p>
        </w:tc>
        <w:tc>
          <w:tcPr>
            <w:tcW w:w="16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center"/>
              <w:ind w:left="90"/>
              <w:spacing w:after="0" w:line="130" w:lineRule="exact"/>
              <w:rPr>
                <w:sz w:val="20"/>
                <w:szCs w:val="20"/>
                <w:color w:val="auto"/>
              </w:rPr>
            </w:pPr>
            <w:r>
              <w:rPr>
                <w:rFonts w:ascii="Arial" w:cs="Arial" w:eastAsia="Arial" w:hAnsi="Arial"/>
                <w:sz w:val="14"/>
                <w:szCs w:val="14"/>
                <w:color w:val="auto"/>
                <w:w w:val="90"/>
              </w:rPr>
              <w:t>20.0%</w:t>
            </w:r>
          </w:p>
        </w:tc>
        <w:tc>
          <w:tcPr>
            <w:tcW w:w="160" w:type="dxa"/>
            <w:vAlign w:val="bottom"/>
            <w:shd w:val="clear" w:color="auto" w:fill="CFF0FC"/>
          </w:tcPr>
          <w:p>
            <w:pPr>
              <w:spacing w:after="0"/>
              <w:rPr>
                <w:sz w:val="11"/>
                <w:szCs w:val="11"/>
                <w:color w:val="auto"/>
              </w:rPr>
            </w:pPr>
          </w:p>
        </w:tc>
        <w:tc>
          <w:tcPr>
            <w:tcW w:w="3520" w:type="dxa"/>
            <w:vAlign w:val="bottom"/>
            <w:gridSpan w:val="5"/>
            <w:shd w:val="clear" w:color="auto" w:fill="CFF0FC"/>
          </w:tcPr>
          <w:p>
            <w:pPr>
              <w:ind w:left="40"/>
              <w:spacing w:after="0" w:line="130" w:lineRule="exact"/>
              <w:rPr>
                <w:sz w:val="20"/>
                <w:szCs w:val="20"/>
                <w:color w:val="auto"/>
              </w:rPr>
            </w:pPr>
            <w:r>
              <w:rPr>
                <w:rFonts w:ascii="Arial" w:cs="Arial" w:eastAsia="Arial" w:hAnsi="Arial"/>
                <w:sz w:val="14"/>
                <w:szCs w:val="14"/>
                <w:color w:val="auto"/>
              </w:rPr>
              <w:t>Discretionary, based upon individual performance, as</w:t>
            </w:r>
          </w:p>
        </w:tc>
        <w:tc>
          <w:tcPr>
            <w:tcW w:w="1160" w:type="dxa"/>
            <w:vAlign w:val="bottom"/>
            <w:gridSpan w:val="2"/>
            <w:shd w:val="clear" w:color="auto" w:fill="CFF0FC"/>
          </w:tcPr>
          <w:p>
            <w:pPr>
              <w:jc w:val="center"/>
              <w:ind w:left="188"/>
              <w:spacing w:after="0" w:line="130" w:lineRule="exact"/>
              <w:rPr>
                <w:sz w:val="20"/>
                <w:szCs w:val="20"/>
                <w:color w:val="auto"/>
              </w:rPr>
            </w:pPr>
            <w:r>
              <w:rPr>
                <w:rFonts w:ascii="Arial" w:cs="Arial" w:eastAsia="Arial" w:hAnsi="Arial"/>
                <w:sz w:val="14"/>
                <w:szCs w:val="14"/>
                <w:color w:val="auto"/>
                <w:w w:val="92"/>
              </w:rPr>
              <w:t>Varies by NEO</w:t>
            </w:r>
          </w:p>
        </w:tc>
        <w:tc>
          <w:tcPr>
            <w:tcW w:w="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420" w:type="dxa"/>
            <w:vAlign w:val="bottom"/>
            <w:gridSpan w:val="3"/>
            <w:shd w:val="clear" w:color="auto" w:fill="CFF0FC"/>
          </w:tcPr>
          <w:p>
            <w:pPr>
              <w:jc w:val="center"/>
              <w:spacing w:after="0" w:line="130" w:lineRule="exact"/>
              <w:rPr>
                <w:sz w:val="20"/>
                <w:szCs w:val="20"/>
                <w:color w:val="auto"/>
              </w:rPr>
            </w:pPr>
            <w:r>
              <w:rPr>
                <w:rFonts w:ascii="Arial" w:cs="Arial" w:eastAsia="Arial" w:hAnsi="Arial"/>
                <w:sz w:val="14"/>
                <w:szCs w:val="14"/>
                <w:color w:val="auto"/>
                <w:w w:val="92"/>
              </w:rPr>
              <w:t>Varies by NEO</w:t>
            </w:r>
          </w:p>
        </w:tc>
        <w:tc>
          <w:tcPr>
            <w:tcW w:w="720" w:type="dxa"/>
            <w:vAlign w:val="bottom"/>
            <w:gridSpan w:val="2"/>
            <w:shd w:val="clear" w:color="auto" w:fill="CFF0FC"/>
          </w:tcPr>
          <w:p>
            <w:pPr>
              <w:jc w:val="center"/>
              <w:ind w:right="20"/>
              <w:spacing w:after="0" w:line="130" w:lineRule="exact"/>
              <w:rPr>
                <w:sz w:val="20"/>
                <w:szCs w:val="20"/>
                <w:color w:val="auto"/>
              </w:rPr>
            </w:pPr>
            <w:r>
              <w:rPr>
                <w:rFonts w:ascii="Arial" w:cs="Arial" w:eastAsia="Arial" w:hAnsi="Arial"/>
                <w:sz w:val="14"/>
                <w:szCs w:val="14"/>
                <w:color w:val="auto"/>
                <w:w w:val="95"/>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60" w:type="dxa"/>
            <w:vAlign w:val="bottom"/>
            <w:gridSpan w:val="3"/>
            <w:shd w:val="clear" w:color="auto" w:fill="CFF0FC"/>
          </w:tcPr>
          <w:p>
            <w:pPr>
              <w:ind w:left="120"/>
              <w:spacing w:after="0" w:line="149" w:lineRule="exact"/>
              <w:rPr>
                <w:sz w:val="20"/>
                <w:szCs w:val="20"/>
                <w:color w:val="auto"/>
              </w:rPr>
            </w:pPr>
            <w:r>
              <w:rPr>
                <w:rFonts w:ascii="Arial" w:cs="Arial" w:eastAsia="Arial" w:hAnsi="Arial"/>
                <w:sz w:val="14"/>
                <w:szCs w:val="14"/>
                <w:color w:val="auto"/>
              </w:rPr>
              <w:t>Personal Goals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520" w:type="dxa"/>
            <w:vAlign w:val="bottom"/>
            <w:gridSpan w:val="5"/>
            <w:shd w:val="clear" w:color="auto" w:fill="CFF0FC"/>
          </w:tcPr>
          <w:p>
            <w:pPr>
              <w:ind w:left="40"/>
              <w:spacing w:after="0" w:line="149" w:lineRule="exact"/>
              <w:rPr>
                <w:sz w:val="20"/>
                <w:szCs w:val="20"/>
                <w:color w:val="auto"/>
              </w:rPr>
            </w:pPr>
            <w:r>
              <w:rPr>
                <w:rFonts w:ascii="Arial" w:cs="Arial" w:eastAsia="Arial" w:hAnsi="Arial"/>
                <w:sz w:val="14"/>
                <w:szCs w:val="14"/>
                <w:color w:val="auto"/>
              </w:rPr>
              <w:t>evaluated by the CEO (except with respect to the CEO</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520" w:type="dxa"/>
            <w:vAlign w:val="bottom"/>
            <w:gridSpan w:val="5"/>
            <w:shd w:val="clear" w:color="auto" w:fill="CFF0FC"/>
          </w:tcPr>
          <w:p>
            <w:pPr>
              <w:ind w:left="40"/>
              <w:spacing w:after="0" w:line="149" w:lineRule="exact"/>
              <w:rPr>
                <w:sz w:val="20"/>
                <w:szCs w:val="20"/>
                <w:color w:val="auto"/>
              </w:rPr>
            </w:pPr>
            <w:r>
              <w:rPr>
                <w:rFonts w:ascii="Arial" w:cs="Arial" w:eastAsia="Arial" w:hAnsi="Arial"/>
                <w:sz w:val="14"/>
                <w:szCs w:val="14"/>
                <w:color w:val="auto"/>
              </w:rPr>
              <w:t>whose individual performance will be evaluated by the</w:t>
            </w:r>
          </w:p>
        </w:tc>
        <w:tc>
          <w:tcPr>
            <w:tcW w:w="4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940" w:type="dxa"/>
            <w:vAlign w:val="bottom"/>
            <w:gridSpan w:val="3"/>
            <w:shd w:val="clear" w:color="auto" w:fill="CFF0FC"/>
          </w:tcPr>
          <w:p>
            <w:pPr>
              <w:ind w:left="40"/>
              <w:spacing w:after="0"/>
              <w:rPr>
                <w:sz w:val="20"/>
                <w:szCs w:val="20"/>
                <w:color w:val="auto"/>
              </w:rPr>
            </w:pPr>
            <w:r>
              <w:rPr>
                <w:rFonts w:ascii="Arial" w:cs="Arial" w:eastAsia="Arial" w:hAnsi="Arial"/>
                <w:sz w:val="14"/>
                <w:szCs w:val="14"/>
                <w:color w:val="auto"/>
              </w:rPr>
              <w:t>Compensation Committee). ***</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420" w:type="dxa"/>
            <w:vAlign w:val="bottom"/>
            <w:gridSpan w:val="2"/>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780" w:type="dxa"/>
            <w:vAlign w:val="bottom"/>
            <w:gridSpan w:val="2"/>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920" w:type="dxa"/>
            <w:vAlign w:val="bottom"/>
            <w:gridSpan w:val="2"/>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960" w:type="dxa"/>
            <w:vAlign w:val="bottom"/>
          </w:tcPr>
          <w:p>
            <w:pPr>
              <w:spacing w:after="0" w:line="126" w:lineRule="exact"/>
              <w:rPr>
                <w:sz w:val="20"/>
                <w:szCs w:val="20"/>
                <w:color w:val="auto"/>
              </w:rPr>
            </w:pPr>
            <w:r>
              <w:rPr>
                <w:rFonts w:ascii="Arial" w:cs="Arial" w:eastAsia="Arial" w:hAnsi="Arial"/>
                <w:sz w:val="14"/>
                <w:szCs w:val="14"/>
                <w:b w:val="1"/>
                <w:bCs w:val="1"/>
                <w:color w:val="auto"/>
              </w:rPr>
              <w:t>Departmental</w:t>
            </w:r>
          </w:p>
        </w:tc>
        <w:tc>
          <w:tcPr>
            <w:tcW w:w="1260" w:type="dxa"/>
            <w:vAlign w:val="bottom"/>
            <w:gridSpan w:val="3"/>
          </w:tcPr>
          <w:p>
            <w:pPr>
              <w:ind w:left="120"/>
              <w:spacing w:after="0" w:line="126" w:lineRule="exact"/>
              <w:rPr>
                <w:sz w:val="20"/>
                <w:szCs w:val="20"/>
                <w:color w:val="auto"/>
              </w:rPr>
            </w:pPr>
            <w:r>
              <w:rPr>
                <w:rFonts w:ascii="Arial" w:cs="Arial" w:eastAsia="Arial" w:hAnsi="Arial"/>
                <w:sz w:val="14"/>
                <w:szCs w:val="14"/>
                <w:color w:val="auto"/>
              </w:rPr>
              <w:t>Marketing Goals</w:t>
            </w:r>
          </w:p>
        </w:tc>
        <w:tc>
          <w:tcPr>
            <w:tcW w:w="740" w:type="dxa"/>
            <w:vAlign w:val="bottom"/>
            <w:gridSpan w:val="2"/>
          </w:tcPr>
          <w:p>
            <w:pPr>
              <w:jc w:val="center"/>
              <w:ind w:left="91"/>
              <w:spacing w:after="0" w:line="126"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720" w:type="dxa"/>
            <w:vAlign w:val="bottom"/>
            <w:gridSpan w:val="2"/>
          </w:tcPr>
          <w:p>
            <w:pPr>
              <w:jc w:val="center"/>
              <w:ind w:left="90"/>
              <w:spacing w:after="0" w:line="126" w:lineRule="exact"/>
              <w:rPr>
                <w:sz w:val="20"/>
                <w:szCs w:val="20"/>
                <w:color w:val="auto"/>
              </w:rPr>
            </w:pPr>
            <w:r>
              <w:rPr>
                <w:rFonts w:ascii="Arial" w:cs="Arial" w:eastAsia="Arial" w:hAnsi="Arial"/>
                <w:sz w:val="14"/>
                <w:szCs w:val="14"/>
                <w:color w:val="auto"/>
                <w:w w:val="90"/>
              </w:rPr>
              <w:t>20.0%</w:t>
            </w:r>
          </w:p>
        </w:tc>
        <w:tc>
          <w:tcPr>
            <w:tcW w:w="160" w:type="dxa"/>
            <w:vAlign w:val="bottom"/>
          </w:tcPr>
          <w:p>
            <w:pPr>
              <w:spacing w:after="0"/>
              <w:rPr>
                <w:sz w:val="10"/>
                <w:szCs w:val="10"/>
                <w:color w:val="auto"/>
              </w:rPr>
            </w:pPr>
          </w:p>
        </w:tc>
        <w:tc>
          <w:tcPr>
            <w:tcW w:w="3520" w:type="dxa"/>
            <w:vAlign w:val="bottom"/>
            <w:gridSpan w:val="5"/>
          </w:tcPr>
          <w:p>
            <w:pPr>
              <w:ind w:left="40"/>
              <w:spacing w:after="0" w:line="126" w:lineRule="exact"/>
              <w:rPr>
                <w:sz w:val="20"/>
                <w:szCs w:val="20"/>
                <w:color w:val="auto"/>
              </w:rPr>
            </w:pPr>
            <w:r>
              <w:rPr>
                <w:rFonts w:ascii="Arial" w:cs="Arial" w:eastAsia="Arial" w:hAnsi="Arial"/>
                <w:sz w:val="14"/>
                <w:szCs w:val="14"/>
                <w:color w:val="auto"/>
              </w:rPr>
              <w:t>10% Customer Count Goal and 10% DXL Store Traffic</w:t>
            </w:r>
          </w:p>
        </w:tc>
        <w:tc>
          <w:tcPr>
            <w:tcW w:w="1440" w:type="dxa"/>
            <w:vAlign w:val="bottom"/>
            <w:gridSpan w:val="4"/>
          </w:tcPr>
          <w:p>
            <w:pPr>
              <w:jc w:val="center"/>
              <w:ind w:right="20"/>
              <w:spacing w:after="0" w:line="126" w:lineRule="exact"/>
              <w:rPr>
                <w:sz w:val="20"/>
                <w:szCs w:val="20"/>
                <w:color w:val="auto"/>
              </w:rPr>
            </w:pPr>
            <w:r>
              <w:rPr>
                <w:rFonts w:ascii="Arial" w:cs="Arial" w:eastAsia="Arial" w:hAnsi="Arial"/>
                <w:sz w:val="14"/>
                <w:szCs w:val="14"/>
                <w:color w:val="auto"/>
                <w:w w:val="90"/>
              </w:rPr>
              <w:t>1,560,000 customers;</w:t>
            </w:r>
          </w:p>
        </w:tc>
        <w:tc>
          <w:tcPr>
            <w:tcW w:w="1420" w:type="dxa"/>
            <w:vAlign w:val="bottom"/>
            <w:gridSpan w:val="3"/>
          </w:tcPr>
          <w:p>
            <w:pPr>
              <w:jc w:val="center"/>
              <w:spacing w:after="0" w:line="126" w:lineRule="exact"/>
              <w:rPr>
                <w:sz w:val="20"/>
                <w:szCs w:val="20"/>
                <w:color w:val="auto"/>
              </w:rPr>
            </w:pPr>
            <w:r>
              <w:rPr>
                <w:rFonts w:ascii="Arial" w:cs="Arial" w:eastAsia="Arial" w:hAnsi="Arial"/>
                <w:sz w:val="14"/>
                <w:szCs w:val="14"/>
                <w:color w:val="auto"/>
                <w:w w:val="92"/>
              </w:rPr>
              <w:t>1,530,297 customers;</w:t>
            </w:r>
          </w:p>
        </w:tc>
        <w:tc>
          <w:tcPr>
            <w:tcW w:w="720" w:type="dxa"/>
            <w:vAlign w:val="bottom"/>
            <w:gridSpan w:val="2"/>
          </w:tcPr>
          <w:p>
            <w:pPr>
              <w:ind w:left="60"/>
              <w:spacing w:after="0" w:line="126" w:lineRule="exact"/>
              <w:rPr>
                <w:sz w:val="20"/>
                <w:szCs w:val="20"/>
                <w:color w:val="auto"/>
              </w:rPr>
            </w:pPr>
            <w:r>
              <w:rPr>
                <w:rFonts w:ascii="Arial" w:cs="Arial" w:eastAsia="Arial" w:hAnsi="Arial"/>
                <w:sz w:val="14"/>
                <w:szCs w:val="14"/>
                <w:color w:val="auto"/>
              </w:rPr>
              <w:t>No payout</w:t>
            </w:r>
          </w:p>
        </w:tc>
        <w:tc>
          <w:tcPr>
            <w:tcW w:w="0" w:type="dxa"/>
            <w:vAlign w:val="bottom"/>
          </w:tcPr>
          <w:p>
            <w:pPr>
              <w:spacing w:after="0"/>
              <w:rPr>
                <w:sz w:val="1"/>
                <w:szCs w:val="1"/>
                <w:color w:val="auto"/>
              </w:rPr>
            </w:pPr>
          </w:p>
        </w:tc>
      </w:tr>
      <w:tr>
        <w:trPr>
          <w:trHeight w:val="149"/>
        </w:trPr>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Goals, if</w:t>
            </w: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Goal</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4"/>
          </w:tcPr>
          <w:p>
            <w:pPr>
              <w:jc w:val="center"/>
              <w:ind w:right="40"/>
              <w:spacing w:after="0" w:line="149" w:lineRule="exact"/>
              <w:rPr>
                <w:sz w:val="20"/>
                <w:szCs w:val="20"/>
                <w:color w:val="auto"/>
              </w:rPr>
            </w:pPr>
            <w:r>
              <w:rPr>
                <w:rFonts w:ascii="Arial" w:cs="Arial" w:eastAsia="Arial" w:hAnsi="Arial"/>
                <w:sz w:val="14"/>
                <w:szCs w:val="14"/>
                <w:color w:val="auto"/>
                <w:w w:val="95"/>
              </w:rPr>
              <w:t>1.0% store traffic</w:t>
            </w: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(1.6%) store traffic</w:t>
            </w: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applicable</w:t>
            </w: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80" w:right="760"/>
        <w:spacing w:after="0" w:line="253" w:lineRule="auto"/>
        <w:rPr>
          <w:sz w:val="20"/>
          <w:szCs w:val="20"/>
          <w:color w:val="auto"/>
        </w:rPr>
      </w:pPr>
      <w:r>
        <w:rPr>
          <w:rFonts w:ascii="Arial" w:cs="Arial" w:eastAsia="Arial" w:hAnsi="Arial"/>
          <w:sz w:val="14"/>
          <w:szCs w:val="14"/>
          <w:color w:val="auto"/>
        </w:rPr>
        <w:t>**For purposes of the 2018 AIP, fiscal 2018 actual results were adjusted to exclude certain revenues, expenses and cash flows, which were not considered in the establishment of the Company’s 2018 targets, including its wholesale business.</w:t>
      </w:r>
    </w:p>
    <w:p>
      <w:pPr>
        <w:spacing w:after="0" w:line="106" w:lineRule="exact"/>
        <w:rPr>
          <w:sz w:val="20"/>
          <w:szCs w:val="20"/>
          <w:color w:val="auto"/>
        </w:rPr>
      </w:pPr>
    </w:p>
    <w:p>
      <w:pPr>
        <w:ind w:left="1280" w:right="220" w:hanging="5"/>
        <w:spacing w:after="0" w:line="264" w:lineRule="auto"/>
        <w:tabs>
          <w:tab w:leader="none" w:pos="1532"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personal goals for Messrs. Reaves, Davey and Molloy consisted of a combination of subjective and quantifiable goals specific to their respective corporate function. The personal goals for our CFO were quantifiable and were primarily tied to managing debt levels and the execution of the corporate restructuring. Our CEO’s personal goals were primarily tied to the overall financial performance of the Company, the CEO transition and the launch of the wholesale business.</w:t>
      </w:r>
    </w:p>
    <w:p>
      <w:pPr>
        <w:spacing w:after="0" w:line="173" w:lineRule="exact"/>
        <w:rPr>
          <w:sz w:val="20"/>
          <w:szCs w:val="20"/>
          <w:color w:val="auto"/>
        </w:rPr>
      </w:pPr>
    </w:p>
    <w:p>
      <w:pPr>
        <w:ind w:left="620" w:right="220"/>
        <w:spacing w:after="0" w:line="288" w:lineRule="auto"/>
        <w:rPr>
          <w:sz w:val="20"/>
          <w:szCs w:val="20"/>
          <w:color w:val="auto"/>
        </w:rPr>
      </w:pPr>
      <w:r>
        <w:rPr>
          <w:rFonts w:ascii="Arial" w:cs="Arial" w:eastAsia="Arial" w:hAnsi="Arial"/>
          <w:sz w:val="16"/>
          <w:szCs w:val="16"/>
          <w:color w:val="auto"/>
        </w:rPr>
        <w:t>The performance targets were derived from the Company’s operating plan for fiscal 2018, and the Compensation Committee believed that it was possible, with an approximate 50% probability, to meet or exceed each of the targets. As a result of achieving the performance targets for fiscal 2018, as shown above, on March 19, 2019 the Compensation Committee approved cash bonus payouts ranging from 80.9% to 114.5%. Messrs.</w:t>
      </w:r>
    </w:p>
    <w:p>
      <w:pPr>
        <w:ind w:left="620" w:right="20"/>
        <w:spacing w:after="0" w:line="323" w:lineRule="auto"/>
        <w:rPr>
          <w:sz w:val="20"/>
          <w:szCs w:val="20"/>
          <w:color w:val="auto"/>
        </w:rPr>
      </w:pPr>
      <w:r>
        <w:rPr>
          <w:rFonts w:ascii="Arial" w:cs="Arial" w:eastAsia="Arial" w:hAnsi="Arial"/>
          <w:sz w:val="16"/>
          <w:szCs w:val="16"/>
          <w:color w:val="auto"/>
        </w:rPr>
        <w:t>Levin, Stratton, Reaves and Molloy each received a cash bonus payout of 106.9% and Mr. Davey received a cash bonus payout of 85.9%. The total cash award paid to 98 participants was approximately $3.9 million, with $1.7 million of that amount being paid to the Named Executive Officers.</w:t>
      </w:r>
    </w:p>
    <w:p>
      <w:pPr>
        <w:spacing w:after="0" w:line="35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400" w:top="449" w:right="239" w:bottom="1440" w:gutter="0" w:footer="0" w:header="0"/>
        </w:sectPr>
      </w:pPr>
    </w:p>
    <w:bookmarkStart w:id="22" w:name="page23"/>
    <w:bookmarkEnd w:id="22"/>
    <w:p>
      <w:pPr>
        <w:jc w:val="center"/>
        <w:ind w:left="780"/>
        <w:spacing w:after="0"/>
        <w:rPr>
          <w:sz w:val="20"/>
          <w:szCs w:val="20"/>
          <w:color w:val="auto"/>
        </w:rPr>
      </w:pPr>
      <w:r>
        <w:rPr>
          <w:rFonts w:ascii="Arial" w:cs="Arial" w:eastAsia="Arial" w:hAnsi="Arial"/>
          <w:sz w:val="18"/>
          <w:szCs w:val="18"/>
          <w:i w:val="1"/>
          <w:iCs w:val="1"/>
          <w:color w:val="auto"/>
        </w:rPr>
        <w:t>2019 Annual Incentive Plan</w:t>
      </w:r>
    </w:p>
    <w:p>
      <w:pPr>
        <w:spacing w:after="0" w:line="225" w:lineRule="exact"/>
        <w:rPr>
          <w:sz w:val="20"/>
          <w:szCs w:val="20"/>
          <w:color w:val="auto"/>
        </w:rPr>
      </w:pPr>
    </w:p>
    <w:p>
      <w:pPr>
        <w:ind w:left="360" w:right="420"/>
        <w:spacing w:after="0" w:line="277" w:lineRule="auto"/>
        <w:rPr>
          <w:sz w:val="20"/>
          <w:szCs w:val="20"/>
          <w:color w:val="auto"/>
        </w:rPr>
      </w:pPr>
      <w:r>
        <w:rPr>
          <w:rFonts w:ascii="Arial" w:cs="Arial" w:eastAsia="Arial" w:hAnsi="Arial"/>
          <w:sz w:val="18"/>
          <w:szCs w:val="18"/>
          <w:color w:val="auto"/>
        </w:rPr>
        <w:t>On May 1, 2019, the Compensation Committee approved the Company’s Fourth Amended and Restated Annual Incentive Plan. The AIP was amended, among other things, to:</w:t>
      </w:r>
    </w:p>
    <w:p>
      <w:pPr>
        <w:spacing w:after="0" w:line="62" w:lineRule="exact"/>
        <w:rPr>
          <w:sz w:val="20"/>
          <w:szCs w:val="20"/>
          <w:color w:val="auto"/>
        </w:rPr>
      </w:pPr>
    </w:p>
    <w:p>
      <w:pPr>
        <w:ind w:left="940" w:hanging="387"/>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the Compensation Committee to set a participant’s maximum payout above 150% of target;</w:t>
      </w:r>
    </w:p>
    <w:p>
      <w:pPr>
        <w:spacing w:after="0" w:line="23" w:lineRule="exact"/>
        <w:rPr>
          <w:rFonts w:ascii="Arial" w:cs="Arial" w:eastAsia="Arial" w:hAnsi="Arial"/>
          <w:sz w:val="18"/>
          <w:szCs w:val="18"/>
          <w:color w:val="auto"/>
        </w:rPr>
      </w:pPr>
    </w:p>
    <w:p>
      <w:pPr>
        <w:ind w:left="940" w:right="280" w:hanging="38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employees, who are hired during the plan year, are eligible to participate in the AIP on a pro-rated basis, so long as they are hired prior to the first day of the fourth quarter of the fiscal year;</w:t>
      </w:r>
    </w:p>
    <w:p>
      <w:pPr>
        <w:ind w:left="940" w:right="520" w:hanging="387"/>
        <w:spacing w:after="0" w:line="250"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modify provisions regarding eligibility to receive an award upon certain qualifying termination events to clarify the methodology for making pro-rata payments to eligible participants and the time of payment;</w:t>
      </w:r>
    </w:p>
    <w:p>
      <w:pPr>
        <w:ind w:left="940" w:right="100" w:hanging="387"/>
        <w:spacing w:after="0" w:line="281" w:lineRule="auto"/>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clarify the Compensation Committee’s ability to exclude from the performance metrics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Compensation Committee at the time the goals are set; and,</w:t>
      </w:r>
    </w:p>
    <w:p>
      <w:pPr>
        <w:spacing w:after="0" w:line="2" w:lineRule="exact"/>
        <w:rPr>
          <w:rFonts w:ascii="Arial" w:cs="Arial" w:eastAsia="Arial" w:hAnsi="Arial"/>
          <w:sz w:val="16"/>
          <w:szCs w:val="16"/>
          <w:color w:val="auto"/>
        </w:rPr>
      </w:pPr>
    </w:p>
    <w:p>
      <w:pPr>
        <w:ind w:left="940" w:right="140" w:hanging="387"/>
        <w:spacing w:after="0" w:line="255"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eliminate the default provision indicating that awards made to Covered Employees are intended to qualify as “performance-based compensation” that is exempt from the deduction limitations imposed by Section 162(m) of the Internal Revenue Code as such exemption for performance-based compensation was eliminated by the Tax Cuts and Jobs Act of 2017.</w:t>
      </w:r>
    </w:p>
    <w:p>
      <w:pPr>
        <w:spacing w:after="0" w:line="190" w:lineRule="exact"/>
        <w:rPr>
          <w:sz w:val="20"/>
          <w:szCs w:val="20"/>
          <w:color w:val="auto"/>
        </w:rPr>
      </w:pPr>
    </w:p>
    <w:p>
      <w:pPr>
        <w:ind w:left="360" w:right="20"/>
        <w:spacing w:after="0" w:line="264" w:lineRule="auto"/>
        <w:rPr>
          <w:sz w:val="20"/>
          <w:szCs w:val="20"/>
          <w:color w:val="auto"/>
        </w:rPr>
      </w:pPr>
      <w:r>
        <w:rPr>
          <w:rFonts w:ascii="Arial" w:cs="Arial" w:eastAsia="Arial" w:hAnsi="Arial"/>
          <w:sz w:val="18"/>
          <w:szCs w:val="18"/>
          <w:color w:val="auto"/>
        </w:rPr>
        <w:t>On May 1, 2019, the Compensation Committee established the financial and operating performance metrics for the 2019 AIP. Similar to fiscal 2018, the performance targets were expanded to include departmental targets for Store Operations, Marketing &amp; Digital, and Merchandise/Planning and Allocation, as well as discretionary personal goals.</w:t>
      </w:r>
    </w:p>
    <w:p>
      <w:pPr>
        <w:spacing w:after="0" w:line="181" w:lineRule="exact"/>
        <w:rPr>
          <w:sz w:val="20"/>
          <w:szCs w:val="20"/>
          <w:color w:val="auto"/>
        </w:rPr>
      </w:pPr>
    </w:p>
    <w:p>
      <w:pPr>
        <w:ind w:left="360"/>
        <w:spacing w:after="0" w:line="270" w:lineRule="auto"/>
        <w:rPr>
          <w:sz w:val="20"/>
          <w:szCs w:val="20"/>
          <w:color w:val="auto"/>
        </w:rPr>
      </w:pPr>
      <w:r>
        <w:rPr>
          <w:rFonts w:ascii="Arial" w:cs="Arial" w:eastAsia="Arial" w:hAnsi="Arial"/>
          <w:sz w:val="17"/>
          <w:szCs w:val="17"/>
          <w:color w:val="auto"/>
        </w:rPr>
        <w:t>The Company’s financial performance metrics for the 2019 AIP include Sales and Adjusted EBITDA and represent 80% of the AIP for Messrs. Kanter, Stratton, Reaves and Molloy and 40% of the AIP for Mr. Davey. With the recent appointment of Mr. Kanter to President and CEO, the Compensation Committee felt it was necessary to decrease the number of financial targets for fiscal 2019 and focus on Sales and Adjusted EBITDA to allow Mr. Kanter the flexibility to implement or modify any business initiatives without making other targets under the 2019 AIP irrelevant. Given that, these two financial targets support the Company’s primary business objective of driving top-line growth and improved profitability. Mr. Davey’s performance metrics include specific marketing and digital targets, and represent 40% of his AIP. Discretionary personal goals represent the remaining 20%. These discretionary goals are pre-established and are an important component to the success of our strategic goals. Pursuant to the terms of the Transition Agreement, Mr. Levin will receive a payout based on the actual performance achieved under the 2019 AIP, see “</w:t>
      </w:r>
      <w:r>
        <w:rPr>
          <w:rFonts w:ascii="Arial" w:cs="Arial" w:eastAsia="Arial" w:hAnsi="Arial"/>
          <w:sz w:val="17"/>
          <w:szCs w:val="17"/>
          <w:i w:val="1"/>
          <w:iCs w:val="1"/>
          <w:color w:val="auto"/>
        </w:rPr>
        <w:t>Employment Agreements - Estimated Potential Payments to Mr. Levin under the Transition Agreement.”</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2019 AIP performance metrics approved by the Compensation Committee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Award %</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6860" w:type="dxa"/>
            <w:vAlign w:val="bottom"/>
            <w:gridSpan w:val="8"/>
          </w:tcPr>
          <w:p>
            <w:pPr>
              <w:jc w:val="center"/>
              <w:ind w:right="5860"/>
              <w:spacing w:after="0" w:line="135" w:lineRule="exact"/>
              <w:rPr>
                <w:sz w:val="20"/>
                <w:szCs w:val="20"/>
                <w:color w:val="auto"/>
              </w:rPr>
            </w:pPr>
            <w:r>
              <w:rPr>
                <w:rFonts w:ascii="Arial" w:cs="Arial" w:eastAsia="Arial" w:hAnsi="Arial"/>
                <w:sz w:val="13"/>
                <w:szCs w:val="13"/>
                <w:b w:val="1"/>
                <w:bCs w:val="1"/>
                <w:color w:val="auto"/>
                <w:w w:val="94"/>
              </w:rPr>
              <w:t>Award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Target for NEO’s other</w:t>
            </w:r>
          </w:p>
        </w:tc>
        <w:tc>
          <w:tcPr>
            <w:tcW w:w="6860" w:type="dxa"/>
            <w:vAlign w:val="bottom"/>
            <w:gridSpan w:val="8"/>
          </w:tcPr>
          <w:p>
            <w:pPr>
              <w:jc w:val="center"/>
              <w:ind w:right="5860"/>
              <w:spacing w:after="0" w:line="135" w:lineRule="exact"/>
              <w:rPr>
                <w:sz w:val="20"/>
                <w:szCs w:val="20"/>
                <w:color w:val="auto"/>
              </w:rPr>
            </w:pPr>
            <w:r>
              <w:rPr>
                <w:rFonts w:ascii="Arial" w:cs="Arial" w:eastAsia="Arial" w:hAnsi="Arial"/>
                <w:sz w:val="13"/>
                <w:szCs w:val="13"/>
                <w:b w:val="1"/>
                <w:bCs w:val="1"/>
                <w:color w:val="auto"/>
                <w:w w:val="90"/>
              </w:rPr>
              <w:t>Attributable to</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60" w:type="dxa"/>
            <w:vAlign w:val="bottom"/>
            <w:gridSpan w:val="3"/>
          </w:tcPr>
          <w:p>
            <w:pPr>
              <w:jc w:val="center"/>
              <w:spacing w:after="0" w:line="140" w:lineRule="exact"/>
              <w:rPr>
                <w:sz w:val="20"/>
                <w:szCs w:val="20"/>
                <w:color w:val="auto"/>
              </w:rPr>
            </w:pPr>
            <w:r>
              <w:rPr>
                <w:rFonts w:ascii="Arial" w:cs="Arial" w:eastAsia="Arial" w:hAnsi="Arial"/>
                <w:sz w:val="13"/>
                <w:szCs w:val="13"/>
                <w:b w:val="1"/>
                <w:bCs w:val="1"/>
                <w:color w:val="auto"/>
                <w:w w:val="90"/>
              </w:rPr>
              <w:t>than Mr. Davey and</w:t>
            </w:r>
          </w:p>
        </w:tc>
        <w:tc>
          <w:tcPr>
            <w:tcW w:w="72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Target for</w:t>
            </w:r>
          </w:p>
        </w:tc>
        <w:tc>
          <w:tcPr>
            <w:tcW w:w="6140" w:type="dxa"/>
            <w:vAlign w:val="bottom"/>
            <w:gridSpan w:val="5"/>
          </w:tcPr>
          <w:p>
            <w:pPr>
              <w:ind w:left="20"/>
              <w:spacing w:after="0" w:line="140" w:lineRule="exact"/>
              <w:rPr>
                <w:sz w:val="20"/>
                <w:szCs w:val="20"/>
                <w:color w:val="auto"/>
              </w:rPr>
            </w:pPr>
            <w:r>
              <w:rPr>
                <w:rFonts w:ascii="Arial" w:cs="Arial" w:eastAsia="Arial" w:hAnsi="Arial"/>
                <w:sz w:val="13"/>
                <w:szCs w:val="13"/>
                <w:b w:val="1"/>
                <w:bCs w:val="1"/>
                <w:color w:val="auto"/>
              </w:rPr>
              <w:t>Mr.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Metric</w:t>
            </w:r>
          </w:p>
        </w:tc>
        <w:tc>
          <w:tcPr>
            <w:tcW w:w="300" w:type="dxa"/>
            <w:vAlign w:val="bottom"/>
          </w:tcPr>
          <w:p>
            <w:pPr>
              <w:spacing w:after="0"/>
              <w:rPr>
                <w:sz w:val="10"/>
                <w:szCs w:val="10"/>
                <w:color w:val="auto"/>
              </w:rPr>
            </w:pPr>
          </w:p>
        </w:tc>
        <w:tc>
          <w:tcPr>
            <w:tcW w:w="1060" w:type="dxa"/>
            <w:vAlign w:val="bottom"/>
            <w:gridSpan w:val="2"/>
          </w:tcPr>
          <w:p>
            <w:pPr>
              <w:ind w:left="260"/>
              <w:spacing w:after="0" w:line="115" w:lineRule="exact"/>
              <w:rPr>
                <w:sz w:val="20"/>
                <w:szCs w:val="20"/>
                <w:color w:val="auto"/>
              </w:rPr>
            </w:pPr>
            <w:r>
              <w:rPr>
                <w:rFonts w:ascii="Arial" w:cs="Arial" w:eastAsia="Arial" w:hAnsi="Arial"/>
                <w:sz w:val="13"/>
                <w:szCs w:val="13"/>
                <w:b w:val="1"/>
                <w:bCs w:val="1"/>
                <w:color w:val="auto"/>
              </w:rPr>
              <w:t>Mr. Levin</w:t>
            </w:r>
          </w:p>
        </w:tc>
        <w:tc>
          <w:tcPr>
            <w:tcW w:w="320" w:type="dxa"/>
            <w:vAlign w:val="bottom"/>
          </w:tcPr>
          <w:p>
            <w:pPr>
              <w:spacing w:after="0"/>
              <w:rPr>
                <w:sz w:val="10"/>
                <w:szCs w:val="10"/>
                <w:color w:val="auto"/>
              </w:rPr>
            </w:pPr>
          </w:p>
        </w:tc>
        <w:tc>
          <w:tcPr>
            <w:tcW w:w="400" w:type="dxa"/>
            <w:vAlign w:val="bottom"/>
            <w:gridSpan w:val="2"/>
          </w:tcPr>
          <w:p>
            <w:pPr>
              <w:jc w:val="center"/>
              <w:ind w:right="60"/>
              <w:spacing w:after="0" w:line="115" w:lineRule="exact"/>
              <w:rPr>
                <w:sz w:val="20"/>
                <w:szCs w:val="20"/>
                <w:color w:val="auto"/>
              </w:rPr>
            </w:pPr>
            <w:r>
              <w:rPr>
                <w:rFonts w:ascii="Arial" w:cs="Arial" w:eastAsia="Arial" w:hAnsi="Arial"/>
                <w:sz w:val="13"/>
                <w:szCs w:val="13"/>
                <w:b w:val="1"/>
                <w:bCs w:val="1"/>
                <w:color w:val="auto"/>
                <w:w w:val="88"/>
              </w:rPr>
              <w:t>Davey</w:t>
            </w:r>
          </w:p>
        </w:tc>
        <w:tc>
          <w:tcPr>
            <w:tcW w:w="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392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Minimum/Maximum Potential Payout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060" w:type="dxa"/>
            <w:vAlign w:val="bottom"/>
            <w:tcBorders>
              <w:top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8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1</w:t>
            </w:r>
          </w:p>
        </w:tc>
        <w:tc>
          <w:tcPr>
            <w:tcW w:w="1720" w:type="dxa"/>
            <w:vAlign w:val="bottom"/>
            <w:gridSpan w:val="3"/>
            <w:shd w:val="clear" w:color="auto" w:fill="CFF0FC"/>
          </w:tcPr>
          <w:p>
            <w:pPr>
              <w:ind w:left="220"/>
              <w:spacing w:after="0" w:line="130" w:lineRule="exact"/>
              <w:rPr>
                <w:sz w:val="20"/>
                <w:szCs w:val="20"/>
                <w:color w:val="auto"/>
              </w:rPr>
            </w:pPr>
            <w:r>
              <w:rPr>
                <w:rFonts w:ascii="Arial" w:cs="Arial" w:eastAsia="Arial" w:hAnsi="Arial"/>
                <w:sz w:val="14"/>
                <w:szCs w:val="14"/>
                <w:color w:val="auto"/>
              </w:rPr>
              <w:t>Sales</w:t>
            </w:r>
          </w:p>
        </w:tc>
        <w:tc>
          <w:tcPr>
            <w:tcW w:w="1100" w:type="dxa"/>
            <w:vAlign w:val="bottom"/>
            <w:gridSpan w:val="2"/>
            <w:shd w:val="clear" w:color="auto" w:fill="CFF0FC"/>
          </w:tcPr>
          <w:p>
            <w:pPr>
              <w:jc w:val="center"/>
              <w:ind w:left="233"/>
              <w:spacing w:after="0" w:line="130" w:lineRule="exact"/>
              <w:rPr>
                <w:sz w:val="20"/>
                <w:szCs w:val="20"/>
                <w:color w:val="auto"/>
              </w:rPr>
            </w:pPr>
            <w:r>
              <w:rPr>
                <w:rFonts w:ascii="Arial" w:cs="Arial" w:eastAsia="Arial" w:hAnsi="Arial"/>
                <w:sz w:val="14"/>
                <w:szCs w:val="14"/>
                <w:color w:val="auto"/>
                <w:w w:val="90"/>
              </w:rPr>
              <w:t>40.0%</w:t>
            </w:r>
          </w:p>
        </w:tc>
        <w:tc>
          <w:tcPr>
            <w:tcW w:w="26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center"/>
              <w:ind w:left="193"/>
              <w:spacing w:after="0" w:line="130" w:lineRule="exact"/>
              <w:rPr>
                <w:sz w:val="20"/>
                <w:szCs w:val="20"/>
                <w:color w:val="auto"/>
              </w:rPr>
            </w:pPr>
            <w:r>
              <w:rPr>
                <w:rFonts w:ascii="Arial" w:cs="Arial" w:eastAsia="Arial" w:hAnsi="Arial"/>
                <w:sz w:val="14"/>
                <w:szCs w:val="14"/>
                <w:color w:val="auto"/>
                <w:w w:val="95"/>
              </w:rPr>
              <w:t>20.0%</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920" w:type="dxa"/>
            <w:vAlign w:val="bottom"/>
            <w:gridSpan w:val="3"/>
            <w:shd w:val="clear" w:color="auto" w:fill="CFF0FC"/>
          </w:tcPr>
          <w:p>
            <w:pPr>
              <w:ind w:left="160"/>
              <w:spacing w:after="0" w:line="130" w:lineRule="exact"/>
              <w:rPr>
                <w:sz w:val="20"/>
                <w:szCs w:val="20"/>
                <w:color w:val="auto"/>
              </w:rPr>
            </w:pPr>
            <w:r>
              <w:rPr>
                <w:rFonts w:ascii="Arial" w:cs="Arial" w:eastAsia="Arial" w:hAnsi="Arial"/>
                <w:sz w:val="14"/>
                <w:szCs w:val="14"/>
                <w:color w:val="auto"/>
                <w:w w:val="95"/>
              </w:rPr>
              <w:t>100% payout at target, with 50% payout at 97.9% of target and 150% payout at 102.1% of target,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92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w w:val="95"/>
              </w:rPr>
              <w:t>with the exception of Mr. Kanter who is eligible for maximum payout of 200% at 102.1% of target.</w:t>
            </w:r>
          </w:p>
        </w:tc>
        <w:tc>
          <w:tcPr>
            <w:tcW w:w="0" w:type="dxa"/>
            <w:vAlign w:val="bottom"/>
          </w:tcPr>
          <w:p>
            <w:pPr>
              <w:spacing w:after="0"/>
              <w:rPr>
                <w:sz w:val="1"/>
                <w:szCs w:val="1"/>
                <w:color w:val="auto"/>
              </w:rPr>
            </w:pPr>
          </w:p>
        </w:tc>
      </w:tr>
      <w:tr>
        <w:trPr>
          <w:trHeight w:val="350"/>
        </w:trPr>
        <w:tc>
          <w:tcPr>
            <w:tcW w:w="20" w:type="dxa"/>
            <w:vAlign w:val="bottom"/>
            <w:vMerge w:val="restart"/>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0" w:type="dxa"/>
            <w:vAlign w:val="bottom"/>
            <w:shd w:val="clear" w:color="auto" w:fill="CFF0FC"/>
          </w:tcPr>
          <w:p>
            <w:pPr>
              <w:spacing w:after="0"/>
              <w:rPr>
                <w:sz w:val="24"/>
                <w:szCs w:val="24"/>
                <w:color w:val="auto"/>
              </w:rPr>
            </w:pPr>
          </w:p>
        </w:tc>
        <w:tc>
          <w:tcPr>
            <w:tcW w:w="2060" w:type="dxa"/>
            <w:vAlign w:val="bottom"/>
            <w:shd w:val="clear" w:color="auto" w:fill="CFF0FC"/>
          </w:tcPr>
          <w:p>
            <w:pPr>
              <w:spacing w:after="0"/>
              <w:rPr>
                <w:sz w:val="24"/>
                <w:szCs w:val="24"/>
                <w:color w:val="auto"/>
              </w:rPr>
            </w:pPr>
          </w:p>
        </w:tc>
        <w:tc>
          <w:tcPr>
            <w:tcW w:w="18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72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Adjusted EBITDA</w:t>
            </w:r>
          </w:p>
        </w:tc>
        <w:tc>
          <w:tcPr>
            <w:tcW w:w="1100" w:type="dxa"/>
            <w:vAlign w:val="bottom"/>
            <w:gridSpan w:val="2"/>
          </w:tcPr>
          <w:p>
            <w:pPr>
              <w:jc w:val="center"/>
              <w:ind w:left="233"/>
              <w:spacing w:after="0" w:line="130" w:lineRule="exact"/>
              <w:rPr>
                <w:sz w:val="20"/>
                <w:szCs w:val="20"/>
                <w:color w:val="auto"/>
              </w:rPr>
            </w:pPr>
            <w:r>
              <w:rPr>
                <w:rFonts w:ascii="Arial" w:cs="Arial" w:eastAsia="Arial" w:hAnsi="Arial"/>
                <w:sz w:val="14"/>
                <w:szCs w:val="14"/>
                <w:color w:val="auto"/>
                <w:w w:val="90"/>
              </w:rPr>
              <w:t>40.0%</w:t>
            </w:r>
          </w:p>
        </w:tc>
        <w:tc>
          <w:tcPr>
            <w:tcW w:w="260" w:type="dxa"/>
            <w:vAlign w:val="bottom"/>
          </w:tcPr>
          <w:p>
            <w:pPr>
              <w:spacing w:after="0"/>
              <w:rPr>
                <w:sz w:val="11"/>
                <w:szCs w:val="11"/>
                <w:color w:val="auto"/>
              </w:rPr>
            </w:pPr>
          </w:p>
        </w:tc>
        <w:tc>
          <w:tcPr>
            <w:tcW w:w="720" w:type="dxa"/>
            <w:vAlign w:val="bottom"/>
            <w:gridSpan w:val="3"/>
          </w:tcPr>
          <w:p>
            <w:pPr>
              <w:jc w:val="center"/>
              <w:ind w:left="193"/>
              <w:spacing w:after="0" w:line="130" w:lineRule="exact"/>
              <w:rPr>
                <w:sz w:val="20"/>
                <w:szCs w:val="20"/>
                <w:color w:val="auto"/>
              </w:rPr>
            </w:pPr>
            <w:r>
              <w:rPr>
                <w:rFonts w:ascii="Arial" w:cs="Arial" w:eastAsia="Arial" w:hAnsi="Arial"/>
                <w:sz w:val="14"/>
                <w:szCs w:val="14"/>
                <w:color w:val="auto"/>
                <w:w w:val="95"/>
              </w:rPr>
              <w:t>20.0%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920" w:type="dxa"/>
            <w:vAlign w:val="bottom"/>
            <w:gridSpan w:val="3"/>
          </w:tcPr>
          <w:p>
            <w:pPr>
              <w:ind w:left="160"/>
              <w:spacing w:after="0" w:line="130" w:lineRule="exact"/>
              <w:rPr>
                <w:sz w:val="20"/>
                <w:szCs w:val="20"/>
                <w:color w:val="auto"/>
              </w:rPr>
            </w:pPr>
            <w:r>
              <w:rPr>
                <w:rFonts w:ascii="Arial" w:cs="Arial" w:eastAsia="Arial" w:hAnsi="Arial"/>
                <w:sz w:val="14"/>
                <w:szCs w:val="14"/>
                <w:color w:val="auto"/>
                <w:w w:val="95"/>
              </w:rPr>
              <w:t>100% payout at target, with 50% payout at 81.4% of target and 150% payout at 118.6% of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9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with the exception of Mr. Kanter who is eligible for a maximum payout of 200% at 118.6%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20" w:type="dxa"/>
            <w:vAlign w:val="bottom"/>
            <w:gridSpan w:val="3"/>
          </w:tcPr>
          <w:p>
            <w:pPr>
              <w:ind w:left="160"/>
              <w:spacing w:after="0"/>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350"/>
        </w:trPr>
        <w:tc>
          <w:tcPr>
            <w:tcW w:w="20" w:type="dxa"/>
            <w:vAlign w:val="bottom"/>
            <w:vMerge w:val="restart"/>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80" w:type="dxa"/>
            <w:vAlign w:val="bottom"/>
            <w:shd w:val="clear" w:color="auto" w:fill="CFF0FC"/>
          </w:tcPr>
          <w:p>
            <w:pPr>
              <w:spacing w:after="0" w:line="130" w:lineRule="exact"/>
              <w:rPr>
                <w:sz w:val="20"/>
                <w:szCs w:val="20"/>
                <w:color w:val="auto"/>
              </w:rPr>
            </w:pPr>
            <w:r>
              <w:rPr>
                <w:rFonts w:ascii="Arial" w:cs="Arial" w:eastAsia="Arial" w:hAnsi="Arial"/>
                <w:sz w:val="14"/>
                <w:szCs w:val="14"/>
                <w:b w:val="1"/>
                <w:bCs w:val="1"/>
                <w:color w:val="auto"/>
              </w:rPr>
              <w:t>Target 3</w:t>
            </w:r>
          </w:p>
        </w:tc>
        <w:tc>
          <w:tcPr>
            <w:tcW w:w="1720" w:type="dxa"/>
            <w:vAlign w:val="bottom"/>
            <w:gridSpan w:val="3"/>
            <w:shd w:val="clear" w:color="auto" w:fill="CFF0FC"/>
          </w:tcPr>
          <w:p>
            <w:pPr>
              <w:ind w:left="220"/>
              <w:spacing w:after="0" w:line="130" w:lineRule="exact"/>
              <w:rPr>
                <w:sz w:val="20"/>
                <w:szCs w:val="20"/>
                <w:color w:val="auto"/>
              </w:rPr>
            </w:pPr>
            <w:r>
              <w:rPr>
                <w:rFonts w:ascii="Arial" w:cs="Arial" w:eastAsia="Arial" w:hAnsi="Arial"/>
                <w:sz w:val="14"/>
                <w:szCs w:val="14"/>
                <w:color w:val="auto"/>
                <w:w w:val="97"/>
              </w:rPr>
              <w:t>Discretionary – Personal</w:t>
            </w:r>
          </w:p>
        </w:tc>
        <w:tc>
          <w:tcPr>
            <w:tcW w:w="1100" w:type="dxa"/>
            <w:vAlign w:val="bottom"/>
            <w:gridSpan w:val="2"/>
            <w:shd w:val="clear" w:color="auto" w:fill="CFF0FC"/>
          </w:tcPr>
          <w:p>
            <w:pPr>
              <w:jc w:val="center"/>
              <w:ind w:left="233"/>
              <w:spacing w:after="0" w:line="130" w:lineRule="exact"/>
              <w:rPr>
                <w:sz w:val="20"/>
                <w:szCs w:val="20"/>
                <w:color w:val="auto"/>
              </w:rPr>
            </w:pPr>
            <w:r>
              <w:rPr>
                <w:rFonts w:ascii="Arial" w:cs="Arial" w:eastAsia="Arial" w:hAnsi="Arial"/>
                <w:sz w:val="14"/>
                <w:szCs w:val="14"/>
                <w:color w:val="auto"/>
                <w:w w:val="90"/>
              </w:rPr>
              <w:t>20.0%</w:t>
            </w:r>
          </w:p>
        </w:tc>
        <w:tc>
          <w:tcPr>
            <w:tcW w:w="260" w:type="dxa"/>
            <w:vAlign w:val="bottom"/>
            <w:shd w:val="clear" w:color="auto" w:fill="CFF0FC"/>
          </w:tcPr>
          <w:p>
            <w:pPr>
              <w:spacing w:after="0"/>
              <w:rPr>
                <w:sz w:val="11"/>
                <w:szCs w:val="11"/>
                <w:color w:val="auto"/>
              </w:rPr>
            </w:pPr>
          </w:p>
        </w:tc>
        <w:tc>
          <w:tcPr>
            <w:tcW w:w="720" w:type="dxa"/>
            <w:vAlign w:val="bottom"/>
            <w:gridSpan w:val="3"/>
            <w:shd w:val="clear" w:color="auto" w:fill="CFF0FC"/>
          </w:tcPr>
          <w:p>
            <w:pPr>
              <w:jc w:val="center"/>
              <w:ind w:left="193"/>
              <w:spacing w:after="0" w:line="130" w:lineRule="exact"/>
              <w:rPr>
                <w:sz w:val="20"/>
                <w:szCs w:val="20"/>
                <w:color w:val="auto"/>
              </w:rPr>
            </w:pPr>
            <w:r>
              <w:rPr>
                <w:rFonts w:ascii="Arial" w:cs="Arial" w:eastAsia="Arial" w:hAnsi="Arial"/>
                <w:sz w:val="14"/>
                <w:szCs w:val="14"/>
                <w:color w:val="auto"/>
                <w:w w:val="95"/>
              </w:rPr>
              <w:t>20.0%</w:t>
            </w:r>
          </w:p>
        </w:tc>
        <w:tc>
          <w:tcPr>
            <w:tcW w:w="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920" w:type="dxa"/>
            <w:vAlign w:val="bottom"/>
            <w:gridSpan w:val="3"/>
            <w:shd w:val="clear" w:color="auto" w:fill="CFF0FC"/>
          </w:tcPr>
          <w:p>
            <w:pPr>
              <w:ind w:left="160"/>
              <w:spacing w:after="0" w:line="130" w:lineRule="exact"/>
              <w:rPr>
                <w:sz w:val="20"/>
                <w:szCs w:val="20"/>
                <w:color w:val="auto"/>
              </w:rPr>
            </w:pPr>
            <w:r>
              <w:rPr>
                <w:rFonts w:ascii="Arial" w:cs="Arial" w:eastAsia="Arial" w:hAnsi="Arial"/>
                <w:sz w:val="14"/>
                <w:szCs w:val="14"/>
                <w:color w:val="auto"/>
                <w:w w:val="94"/>
              </w:rPr>
              <w:t>Discretionary, at target, based upon individual performance, as evaluated by the CEO (except with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720" w:type="dxa"/>
            <w:vAlign w:val="bottom"/>
            <w:gridSpan w:val="3"/>
            <w:shd w:val="clear" w:color="auto" w:fill="CFF0FC"/>
          </w:tcPr>
          <w:p>
            <w:pPr>
              <w:ind w:left="220"/>
              <w:spacing w:after="0" w:line="149" w:lineRule="exact"/>
              <w:rPr>
                <w:sz w:val="20"/>
                <w:szCs w:val="20"/>
                <w:color w:val="auto"/>
              </w:rPr>
            </w:pPr>
            <w:r>
              <w:rPr>
                <w:rFonts w:ascii="Arial" w:cs="Arial" w:eastAsia="Arial" w:hAnsi="Arial"/>
                <w:sz w:val="14"/>
                <w:szCs w:val="14"/>
                <w:color w:val="auto"/>
              </w:rPr>
              <w:t>Goals</w:t>
            </w: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920" w:type="dxa"/>
            <w:vAlign w:val="bottom"/>
            <w:gridSpan w:val="3"/>
            <w:shd w:val="clear" w:color="auto" w:fill="CFF0FC"/>
          </w:tcPr>
          <w:p>
            <w:pPr>
              <w:ind w:left="160"/>
              <w:spacing w:after="0" w:line="149" w:lineRule="exact"/>
              <w:rPr>
                <w:sz w:val="20"/>
                <w:szCs w:val="20"/>
                <w:color w:val="auto"/>
              </w:rPr>
            </w:pPr>
            <w:r>
              <w:rPr>
                <w:rFonts w:ascii="Arial" w:cs="Arial" w:eastAsia="Arial" w:hAnsi="Arial"/>
                <w:sz w:val="14"/>
                <w:szCs w:val="14"/>
                <w:color w:val="auto"/>
              </w:rPr>
              <w:t>respect to the CEO whose individual performance will be evaluated by the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920" w:type="dxa"/>
            <w:vAlign w:val="bottom"/>
            <w:gridSpan w:val="3"/>
            <w:shd w:val="clear" w:color="auto" w:fill="CFF0FC"/>
          </w:tcPr>
          <w:p>
            <w:pPr>
              <w:ind w:left="160"/>
              <w:spacing w:after="0" w:line="149" w:lineRule="exact"/>
              <w:rPr>
                <w:sz w:val="20"/>
                <w:szCs w:val="20"/>
                <w:color w:val="auto"/>
              </w:rPr>
            </w:pPr>
            <w:r>
              <w:rPr>
                <w:rFonts w:ascii="Arial" w:cs="Arial" w:eastAsia="Arial" w:hAnsi="Arial"/>
                <w:sz w:val="14"/>
                <w:szCs w:val="14"/>
                <w:color w:val="auto"/>
              </w:rPr>
              <w:t>Committee). Participants are eligible to receive a discretionary award up to 30%, with the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920" w:type="dxa"/>
            <w:vAlign w:val="bottom"/>
            <w:gridSpan w:val="3"/>
            <w:shd w:val="clear" w:color="auto" w:fill="CFF0FC"/>
          </w:tcPr>
          <w:p>
            <w:pPr>
              <w:ind w:left="160"/>
              <w:spacing w:after="0"/>
              <w:rPr>
                <w:sz w:val="20"/>
                <w:szCs w:val="20"/>
                <w:color w:val="auto"/>
              </w:rPr>
            </w:pPr>
            <w:r>
              <w:rPr>
                <w:rFonts w:ascii="Arial" w:cs="Arial" w:eastAsia="Arial" w:hAnsi="Arial"/>
                <w:sz w:val="14"/>
                <w:szCs w:val="14"/>
                <w:color w:val="auto"/>
              </w:rPr>
              <w:t>exception of Mr. Kanter who is eligible to receive a discretionary award up to 40%.</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78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30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0" w:type="dxa"/>
            <w:vAlign w:val="bottom"/>
            <w:shd w:val="clear" w:color="auto" w:fill="CFF0FC"/>
          </w:tcPr>
          <w:p>
            <w:pPr>
              <w:spacing w:after="0"/>
              <w:rPr>
                <w:sz w:val="24"/>
                <w:szCs w:val="24"/>
                <w:color w:val="auto"/>
              </w:rPr>
            </w:pPr>
          </w:p>
        </w:tc>
        <w:tc>
          <w:tcPr>
            <w:tcW w:w="2060" w:type="dxa"/>
            <w:vAlign w:val="bottom"/>
            <w:shd w:val="clear" w:color="auto" w:fill="CFF0FC"/>
          </w:tcPr>
          <w:p>
            <w:pPr>
              <w:spacing w:after="0"/>
              <w:rPr>
                <w:sz w:val="24"/>
                <w:szCs w:val="24"/>
                <w:color w:val="auto"/>
              </w:rPr>
            </w:pPr>
          </w:p>
        </w:tc>
        <w:tc>
          <w:tcPr>
            <w:tcW w:w="18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640" w:top="557" w:right="239"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61"/>
        </w:trPr>
        <w:tc>
          <w:tcPr>
            <w:tcW w:w="2600" w:type="dxa"/>
            <w:vAlign w:val="bottom"/>
          </w:tcPr>
          <w:p>
            <w:pPr>
              <w:spacing w:after="0"/>
              <w:rPr>
                <w:sz w:val="20"/>
                <w:szCs w:val="20"/>
                <w:color w:val="auto"/>
              </w:rPr>
            </w:pPr>
            <w:r>
              <w:rPr>
                <w:rFonts w:ascii="Arial" w:cs="Arial" w:eastAsia="Arial" w:hAnsi="Arial"/>
                <w:sz w:val="14"/>
                <w:szCs w:val="14"/>
                <w:b w:val="1"/>
                <w:bCs w:val="1"/>
                <w:color w:val="auto"/>
              </w:rPr>
              <w:t xml:space="preserve">Departmental </w:t>
            </w:r>
            <w:r>
              <w:rPr>
                <w:rFonts w:ascii="Arial" w:cs="Arial" w:eastAsia="Arial" w:hAnsi="Arial"/>
                <w:sz w:val="14"/>
                <w:szCs w:val="14"/>
                <w:color w:val="auto"/>
              </w:rPr>
              <w:t>Marketing &amp; Digital</w:t>
            </w:r>
          </w:p>
        </w:tc>
        <w:tc>
          <w:tcPr>
            <w:tcW w:w="102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5600" w:type="dxa"/>
            <w:vAlign w:val="bottom"/>
          </w:tcPr>
          <w:p>
            <w:pPr>
              <w:ind w:left="200"/>
              <w:spacing w:after="0"/>
              <w:rPr>
                <w:sz w:val="20"/>
                <w:szCs w:val="20"/>
                <w:color w:val="auto"/>
              </w:rPr>
            </w:pPr>
            <w:r>
              <w:rPr>
                <w:rFonts w:ascii="Arial" w:cs="Arial" w:eastAsia="Arial" w:hAnsi="Arial"/>
                <w:sz w:val="14"/>
                <w:szCs w:val="14"/>
                <w:color w:val="auto"/>
                <w:w w:val="99"/>
              </w:rPr>
              <w:t>Includes several marketing statistics, including traffic, customer counts, POS markdown</w:t>
            </w:r>
          </w:p>
        </w:tc>
        <w:tc>
          <w:tcPr>
            <w:tcW w:w="0" w:type="dxa"/>
            <w:vAlign w:val="bottom"/>
          </w:tcPr>
          <w:p>
            <w:pPr>
              <w:spacing w:after="0"/>
              <w:rPr>
                <w:sz w:val="1"/>
                <w:szCs w:val="1"/>
                <w:color w:val="auto"/>
              </w:rPr>
            </w:pPr>
          </w:p>
        </w:tc>
      </w:tr>
      <w:tr>
        <w:trPr>
          <w:trHeight w:val="149"/>
        </w:trPr>
        <w:tc>
          <w:tcPr>
            <w:tcW w:w="2600" w:type="dxa"/>
            <w:vAlign w:val="bottom"/>
            <w:vMerge w:val="restart"/>
          </w:tcPr>
          <w:p>
            <w:pPr>
              <w:spacing w:after="0"/>
              <w:rPr>
                <w:sz w:val="20"/>
                <w:szCs w:val="20"/>
                <w:color w:val="auto"/>
              </w:rPr>
            </w:pPr>
            <w:r>
              <w:rPr>
                <w:rFonts w:ascii="Arial" w:cs="Arial" w:eastAsia="Arial" w:hAnsi="Arial"/>
                <w:sz w:val="14"/>
                <w:szCs w:val="14"/>
                <w:b w:val="1"/>
                <w:bCs w:val="1"/>
                <w:color w:val="auto"/>
              </w:rPr>
              <w:t>Targets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Arial" w:cs="Arial" w:eastAsia="Arial" w:hAnsi="Arial"/>
                <w:sz w:val="14"/>
                <w:szCs w:val="14"/>
                <w:color w:val="auto"/>
                <w:w w:val="93"/>
              </w:rPr>
              <w:t>percentage, advertising sales ratio, online conversion and web traffic. The Company does not</w:t>
            </w:r>
          </w:p>
        </w:tc>
        <w:tc>
          <w:tcPr>
            <w:tcW w:w="0" w:type="dxa"/>
            <w:vAlign w:val="bottom"/>
          </w:tcPr>
          <w:p>
            <w:pPr>
              <w:spacing w:after="0"/>
              <w:rPr>
                <w:sz w:val="1"/>
                <w:szCs w:val="1"/>
                <w:color w:val="auto"/>
              </w:rPr>
            </w:pPr>
          </w:p>
        </w:tc>
      </w:tr>
      <w:tr>
        <w:trPr>
          <w:trHeight w:val="182"/>
        </w:trPr>
        <w:tc>
          <w:tcPr>
            <w:tcW w:w="26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0" w:type="dxa"/>
            <w:vAlign w:val="bottom"/>
          </w:tcPr>
          <w:p>
            <w:pPr>
              <w:ind w:left="200"/>
              <w:spacing w:after="0"/>
              <w:rPr>
                <w:sz w:val="20"/>
                <w:szCs w:val="20"/>
                <w:color w:val="auto"/>
              </w:rPr>
            </w:pPr>
            <w:r>
              <w:rPr>
                <w:rFonts w:ascii="Arial" w:cs="Arial" w:eastAsia="Arial" w:hAnsi="Arial"/>
                <w:sz w:val="14"/>
                <w:szCs w:val="14"/>
                <w:color w:val="auto"/>
              </w:rPr>
              <w:t>publicly disclose many of these statistics.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jc w:val="both"/>
        <w:ind w:left="340" w:right="40"/>
        <w:spacing w:after="0" w:line="264" w:lineRule="auto"/>
        <w:rPr>
          <w:sz w:val="20"/>
          <w:szCs w:val="20"/>
          <w:color w:val="auto"/>
        </w:rPr>
      </w:pPr>
      <w:r>
        <w:rPr>
          <w:rFonts w:ascii="Arial" w:cs="Arial" w:eastAsia="Arial" w:hAnsi="Arial"/>
          <w:sz w:val="18"/>
          <w:szCs w:val="18"/>
          <w:color w:val="auto"/>
        </w:rPr>
        <w:t>The target levels for each performance metric are derived from the Company’s annual operating plan and budget for the fiscal year, and are intended to be achievable, with an approximate 50% probability. The likelihood of achieving the 2019 targets reflects the challenges inherent in achieving the goals and objectives of an ambitious operating plan and budget.</w:t>
      </w:r>
    </w:p>
    <w:p>
      <w:pPr>
        <w:spacing w:after="0" w:line="73" w:lineRule="exact"/>
        <w:rPr>
          <w:sz w:val="20"/>
          <w:szCs w:val="20"/>
          <w:color w:val="auto"/>
        </w:rPr>
      </w:pPr>
    </w:p>
    <w:p>
      <w:pPr>
        <w:ind w:left="340" w:right="340"/>
        <w:spacing w:after="0" w:line="342" w:lineRule="auto"/>
        <w:rPr>
          <w:sz w:val="20"/>
          <w:szCs w:val="20"/>
          <w:color w:val="auto"/>
        </w:rPr>
      </w:pPr>
      <w:r>
        <w:rPr>
          <w:rFonts w:ascii="Arial" w:cs="Arial" w:eastAsia="Arial" w:hAnsi="Arial"/>
          <w:sz w:val="16"/>
          <w:szCs w:val="16"/>
          <w:color w:val="auto"/>
        </w:rPr>
        <w:t>For fiscal 2019, Mr. Kanter, as President and CEO, will participate at 100% of his salary; Messrs. Stratton, Reaves and Davey, as Executive Vice Presidents, will participate at 55% of their respective salaries; and Mr. Molloy, as a Senior Vice President, will participate at 40% of his salary.</w:t>
      </w:r>
    </w:p>
    <w:p>
      <w:pPr>
        <w:spacing w:after="0" w:line="232" w:lineRule="exact"/>
        <w:rPr>
          <w:sz w:val="20"/>
          <w:szCs w:val="20"/>
          <w:color w:val="auto"/>
        </w:rPr>
      </w:pPr>
    </w:p>
    <w:p>
      <w:pPr>
        <w:ind w:left="480" w:hanging="259"/>
        <w:spacing w:after="0"/>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Long-term incentive plans</w:t>
      </w:r>
    </w:p>
    <w:p>
      <w:pPr>
        <w:spacing w:after="0" w:line="252"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The Company’s long-term incentive plans are designed to ensure that the interests of our executives are aligned with those of our stockholders to create sustainable shareholder value and to promote executive retention.</w:t>
      </w:r>
    </w:p>
    <w:p>
      <w:pPr>
        <w:spacing w:after="0" w:line="197" w:lineRule="exact"/>
        <w:rPr>
          <w:rFonts w:ascii="Arial" w:cs="Arial" w:eastAsia="Arial" w:hAnsi="Arial"/>
          <w:sz w:val="18"/>
          <w:szCs w:val="18"/>
          <w:color w:val="auto"/>
        </w:rPr>
      </w:pPr>
    </w:p>
    <w:p>
      <w:pPr>
        <w:jc w:val="both"/>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March 2016, the Compensation Committee approved the Destination XL Group, Inc. Long-Term Incentive Plan, as amended (the “LTIP”). Under the outstanding LTIPs, each participant in the plan is entitled to receive an award based on that participant’s “Target Cash Value” which is defined as the participant’s annual base salary (on the participant’s effective date) multiplied by his or her LTIP percentage, which is 100% for the CEO and 70% for the other Named Executive Officers. For each participant, 50% of the Target Cash Value is subject to time-based vesting and 50% is subject to performance-based vesting. The LTIP is a dollar-denominated plan and, therefore, no awards for the performance-based compensation are granted unless the performance metrics are achieved.</w:t>
      </w:r>
    </w:p>
    <w:p>
      <w:pPr>
        <w:spacing w:after="0" w:line="220"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Under the original LTIP, the performance period was two years. However, the LTIP was amended in June 2018 by executing the Second Amended and Restated LTIP, as further amended in October 2018, which among other things, extended the performance period to three years, beginning with grants in fiscal 2018. The following is a summary of the two LTIPs in effect during fiscal 2018 with a separate discussion of each plan’s respective performance period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Summary of LTIPs</w:t>
            </w:r>
          </w:p>
        </w:tc>
        <w:tc>
          <w:tcPr>
            <w:tcW w:w="22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2017-2018</w:t>
            </w:r>
          </w:p>
        </w:tc>
        <w:tc>
          <w:tcPr>
            <w:tcW w:w="1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2018-2020</w:t>
            </w:r>
          </w:p>
        </w:tc>
        <w:tc>
          <w:tcPr>
            <w:tcW w:w="1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Effective date</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80" w:type="dxa"/>
            <w:vAlign w:val="bottom"/>
            <w:gridSpan w:val="5"/>
          </w:tcPr>
          <w:p>
            <w:pPr>
              <w:jc w:val="center"/>
              <w:ind w:right="1700"/>
              <w:spacing w:after="0"/>
              <w:rPr>
                <w:sz w:val="20"/>
                <w:szCs w:val="20"/>
                <w:color w:val="auto"/>
              </w:rPr>
            </w:pPr>
            <w:r>
              <w:rPr>
                <w:rFonts w:ascii="Arial" w:cs="Arial" w:eastAsia="Arial" w:hAnsi="Arial"/>
                <w:sz w:val="16"/>
                <w:szCs w:val="16"/>
                <w:color w:val="auto"/>
                <w:w w:val="93"/>
              </w:rPr>
              <w:t>March 31, 2017</w:t>
            </w:r>
          </w:p>
        </w:tc>
        <w:tc>
          <w:tcPr>
            <w:tcW w:w="560" w:type="dxa"/>
            <w:vAlign w:val="bottom"/>
          </w:tcPr>
          <w:p>
            <w:pPr>
              <w:spacing w:after="0"/>
              <w:rPr>
                <w:sz w:val="18"/>
                <w:szCs w:val="18"/>
                <w:color w:val="auto"/>
              </w:rPr>
            </w:pPr>
          </w:p>
        </w:tc>
        <w:tc>
          <w:tcPr>
            <w:tcW w:w="3340" w:type="dxa"/>
            <w:vAlign w:val="bottom"/>
            <w:gridSpan w:val="6"/>
          </w:tcPr>
          <w:p>
            <w:pPr>
              <w:jc w:val="center"/>
              <w:ind w:right="680"/>
              <w:spacing w:after="0"/>
              <w:rPr>
                <w:sz w:val="20"/>
                <w:szCs w:val="20"/>
                <w:color w:val="auto"/>
              </w:rPr>
            </w:pPr>
            <w:r>
              <w:rPr>
                <w:rFonts w:ascii="Arial" w:cs="Arial" w:eastAsia="Arial" w:hAnsi="Arial"/>
                <w:sz w:val="16"/>
                <w:szCs w:val="16"/>
                <w:color w:val="auto"/>
                <w:w w:val="92"/>
              </w:rPr>
              <w:t>October 24, 2018</w:t>
            </w:r>
          </w:p>
        </w:tc>
        <w:tc>
          <w:tcPr>
            <w:tcW w:w="0" w:type="dxa"/>
            <w:vAlign w:val="bottom"/>
          </w:tcPr>
          <w:p>
            <w:pPr>
              <w:spacing w:after="0"/>
              <w:rPr>
                <w:sz w:val="1"/>
                <w:szCs w:val="1"/>
                <w:color w:val="auto"/>
              </w:rPr>
            </w:pPr>
          </w:p>
        </w:tc>
      </w:tr>
      <w:tr>
        <w:trPr>
          <w:trHeight w:val="219"/>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w:t>
            </w:r>
          </w:p>
        </w:tc>
        <w:tc>
          <w:tcPr>
            <w:tcW w:w="5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20" w:type="dxa"/>
            <w:vAlign w:val="bottom"/>
            <w:gridSpan w:val="4"/>
            <w:shd w:val="clear" w:color="auto" w:fill="CFF0FC"/>
          </w:tcPr>
          <w:p>
            <w:pPr>
              <w:jc w:val="center"/>
              <w:ind w:right="2060"/>
              <w:spacing w:after="0"/>
              <w:rPr>
                <w:sz w:val="20"/>
                <w:szCs w:val="20"/>
                <w:color w:val="auto"/>
              </w:rPr>
            </w:pPr>
            <w:r>
              <w:rPr>
                <w:rFonts w:ascii="Arial" w:cs="Arial" w:eastAsia="Arial" w:hAnsi="Arial"/>
                <w:sz w:val="16"/>
                <w:szCs w:val="16"/>
                <w:color w:val="auto"/>
                <w:w w:val="92"/>
              </w:rPr>
              <w:t>2yrs</w:t>
            </w:r>
          </w:p>
        </w:tc>
        <w:tc>
          <w:tcPr>
            <w:tcW w:w="5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180" w:type="dxa"/>
            <w:vAlign w:val="bottom"/>
            <w:gridSpan w:val="4"/>
            <w:shd w:val="clear" w:color="auto" w:fill="CFF0FC"/>
          </w:tcPr>
          <w:p>
            <w:pPr>
              <w:jc w:val="center"/>
              <w:ind w:right="1820"/>
              <w:spacing w:after="0"/>
              <w:rPr>
                <w:sz w:val="20"/>
                <w:szCs w:val="20"/>
                <w:color w:val="auto"/>
              </w:rPr>
            </w:pPr>
            <w:r>
              <w:rPr>
                <w:rFonts w:ascii="Arial" w:cs="Arial" w:eastAsia="Arial" w:hAnsi="Arial"/>
                <w:sz w:val="16"/>
                <w:szCs w:val="16"/>
                <w:color w:val="auto"/>
                <w:w w:val="92"/>
              </w:rPr>
              <w:t>3yrs</w:t>
            </w: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End of Performance Period</w:t>
            </w:r>
          </w:p>
        </w:tc>
        <w:tc>
          <w:tcPr>
            <w:tcW w:w="540" w:type="dxa"/>
            <w:vAlign w:val="bottom"/>
          </w:tcPr>
          <w:p>
            <w:pPr>
              <w:spacing w:after="0"/>
              <w:rPr>
                <w:sz w:val="18"/>
                <w:szCs w:val="18"/>
                <w:color w:val="auto"/>
              </w:rPr>
            </w:pPr>
          </w:p>
        </w:tc>
        <w:tc>
          <w:tcPr>
            <w:tcW w:w="3580" w:type="dxa"/>
            <w:vAlign w:val="bottom"/>
            <w:gridSpan w:val="6"/>
          </w:tcPr>
          <w:p>
            <w:pPr>
              <w:jc w:val="center"/>
              <w:ind w:right="900"/>
              <w:spacing w:after="0"/>
              <w:rPr>
                <w:sz w:val="20"/>
                <w:szCs w:val="20"/>
                <w:color w:val="auto"/>
              </w:rPr>
            </w:pPr>
            <w:r>
              <w:rPr>
                <w:rFonts w:ascii="Arial" w:cs="Arial" w:eastAsia="Arial" w:hAnsi="Arial"/>
                <w:sz w:val="16"/>
                <w:szCs w:val="16"/>
                <w:color w:val="auto"/>
                <w:w w:val="91"/>
              </w:rPr>
              <w:t>February 2, 2019</w:t>
            </w:r>
          </w:p>
        </w:tc>
        <w:tc>
          <w:tcPr>
            <w:tcW w:w="560" w:type="dxa"/>
            <w:vAlign w:val="bottom"/>
          </w:tcPr>
          <w:p>
            <w:pPr>
              <w:spacing w:after="0"/>
              <w:rPr>
                <w:sz w:val="18"/>
                <w:szCs w:val="18"/>
                <w:color w:val="auto"/>
              </w:rPr>
            </w:pPr>
          </w:p>
        </w:tc>
        <w:tc>
          <w:tcPr>
            <w:tcW w:w="3340" w:type="dxa"/>
            <w:vAlign w:val="bottom"/>
            <w:gridSpan w:val="6"/>
          </w:tcPr>
          <w:p>
            <w:pPr>
              <w:jc w:val="center"/>
              <w:ind w:right="680"/>
              <w:spacing w:after="0"/>
              <w:rPr>
                <w:sz w:val="20"/>
                <w:szCs w:val="20"/>
                <w:color w:val="auto"/>
              </w:rPr>
            </w:pPr>
            <w:r>
              <w:rPr>
                <w:rFonts w:ascii="Arial" w:cs="Arial" w:eastAsia="Arial" w:hAnsi="Arial"/>
                <w:sz w:val="16"/>
                <w:szCs w:val="16"/>
                <w:color w:val="auto"/>
                <w:w w:val="88"/>
              </w:rPr>
              <w:t>January 30, 2021</w:t>
            </w:r>
          </w:p>
        </w:tc>
        <w:tc>
          <w:tcPr>
            <w:tcW w:w="0" w:type="dxa"/>
            <w:vAlign w:val="bottom"/>
          </w:tcPr>
          <w:p>
            <w:pPr>
              <w:spacing w:after="0"/>
              <w:rPr>
                <w:sz w:val="1"/>
                <w:szCs w:val="1"/>
                <w:color w:val="auto"/>
              </w:rPr>
            </w:pPr>
          </w:p>
        </w:tc>
      </w:tr>
      <w:tr>
        <w:trPr>
          <w:trHeight w:val="219"/>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Target cash value</w:t>
            </w:r>
          </w:p>
        </w:tc>
        <w:tc>
          <w:tcPr>
            <w:tcW w:w="540" w:type="dxa"/>
            <w:vAlign w:val="bottom"/>
            <w:shd w:val="clear" w:color="auto" w:fill="CFF0FC"/>
          </w:tcPr>
          <w:p>
            <w:pPr>
              <w:spacing w:after="0"/>
              <w:rPr>
                <w:sz w:val="19"/>
                <w:szCs w:val="19"/>
                <w:color w:val="auto"/>
              </w:rPr>
            </w:pPr>
          </w:p>
        </w:tc>
        <w:tc>
          <w:tcPr>
            <w:tcW w:w="3580" w:type="dxa"/>
            <w:vAlign w:val="bottom"/>
            <w:gridSpan w:val="6"/>
            <w:shd w:val="clear" w:color="auto" w:fill="CFF0FC"/>
          </w:tcPr>
          <w:p>
            <w:pPr>
              <w:jc w:val="center"/>
              <w:ind w:right="920"/>
              <w:spacing w:after="0"/>
              <w:rPr>
                <w:sz w:val="20"/>
                <w:szCs w:val="20"/>
                <w:color w:val="auto"/>
              </w:rPr>
            </w:pPr>
            <w:r>
              <w:rPr>
                <w:rFonts w:ascii="Arial" w:cs="Arial" w:eastAsia="Arial" w:hAnsi="Arial"/>
                <w:sz w:val="16"/>
                <w:szCs w:val="16"/>
                <w:color w:val="auto"/>
                <w:w w:val="93"/>
              </w:rPr>
              <w:t>Annual Salary * Participation Rate</w:t>
            </w:r>
          </w:p>
        </w:tc>
        <w:tc>
          <w:tcPr>
            <w:tcW w:w="560" w:type="dxa"/>
            <w:vAlign w:val="bottom"/>
            <w:shd w:val="clear" w:color="auto" w:fill="CFF0FC"/>
          </w:tcPr>
          <w:p>
            <w:pPr>
              <w:spacing w:after="0"/>
              <w:rPr>
                <w:sz w:val="19"/>
                <w:szCs w:val="19"/>
                <w:color w:val="auto"/>
              </w:rPr>
            </w:pPr>
          </w:p>
        </w:tc>
        <w:tc>
          <w:tcPr>
            <w:tcW w:w="3340" w:type="dxa"/>
            <w:vAlign w:val="bottom"/>
            <w:gridSpan w:val="6"/>
            <w:shd w:val="clear" w:color="auto" w:fill="CFF0FC"/>
          </w:tcPr>
          <w:p>
            <w:pPr>
              <w:jc w:val="center"/>
              <w:ind w:right="680"/>
              <w:spacing w:after="0"/>
              <w:rPr>
                <w:sz w:val="20"/>
                <w:szCs w:val="20"/>
                <w:color w:val="auto"/>
              </w:rPr>
            </w:pPr>
            <w:r>
              <w:rPr>
                <w:rFonts w:ascii="Arial" w:cs="Arial" w:eastAsia="Arial" w:hAnsi="Arial"/>
                <w:sz w:val="16"/>
                <w:szCs w:val="16"/>
                <w:color w:val="auto"/>
                <w:w w:val="93"/>
              </w:rPr>
              <w:t>Annual Salary * Participation Rate</w:t>
            </w: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700" w:type="dxa"/>
            <w:vAlign w:val="bottom"/>
            <w:gridSpan w:val="3"/>
          </w:tcPr>
          <w:p>
            <w:pPr>
              <w:jc w:val="center"/>
              <w:ind w:left="99"/>
              <w:spacing w:after="0" w:line="176" w:lineRule="exact"/>
              <w:rPr>
                <w:sz w:val="20"/>
                <w:szCs w:val="20"/>
                <w:color w:val="auto"/>
              </w:rPr>
            </w:pPr>
            <w:r>
              <w:rPr>
                <w:rFonts w:ascii="Arial" w:cs="Arial" w:eastAsia="Arial" w:hAnsi="Arial"/>
                <w:sz w:val="16"/>
                <w:szCs w:val="16"/>
                <w:color w:val="auto"/>
                <w:w w:val="92"/>
              </w:rPr>
              <w:t>Time-Based</w:t>
            </w:r>
          </w:p>
        </w:tc>
        <w:tc>
          <w:tcPr>
            <w:tcW w:w="540" w:type="dxa"/>
            <w:vAlign w:val="bottom"/>
          </w:tcPr>
          <w:p>
            <w:pPr>
              <w:spacing w:after="0"/>
              <w:rPr>
                <w:sz w:val="15"/>
                <w:szCs w:val="15"/>
                <w:color w:val="auto"/>
              </w:rPr>
            </w:pPr>
          </w:p>
        </w:tc>
        <w:tc>
          <w:tcPr>
            <w:tcW w:w="1880" w:type="dxa"/>
            <w:vAlign w:val="bottom"/>
            <w:gridSpan w:val="3"/>
          </w:tcPr>
          <w:p>
            <w:pPr>
              <w:jc w:val="center"/>
              <w:ind w:right="600"/>
              <w:spacing w:after="0" w:line="176" w:lineRule="exact"/>
              <w:rPr>
                <w:sz w:val="20"/>
                <w:szCs w:val="20"/>
                <w:color w:val="auto"/>
              </w:rPr>
            </w:pPr>
            <w:r>
              <w:rPr>
                <w:rFonts w:ascii="Arial" w:cs="Arial" w:eastAsia="Arial" w:hAnsi="Arial"/>
                <w:sz w:val="16"/>
                <w:szCs w:val="16"/>
                <w:color w:val="auto"/>
                <w:w w:val="89"/>
              </w:rPr>
              <w:t>Performance-Based</w:t>
            </w:r>
          </w:p>
        </w:tc>
        <w:tc>
          <w:tcPr>
            <w:tcW w:w="1720" w:type="dxa"/>
            <w:vAlign w:val="bottom"/>
            <w:gridSpan w:val="3"/>
          </w:tcPr>
          <w:p>
            <w:pPr>
              <w:jc w:val="center"/>
              <w:ind w:left="99"/>
              <w:spacing w:after="0" w:line="176" w:lineRule="exact"/>
              <w:rPr>
                <w:sz w:val="20"/>
                <w:szCs w:val="20"/>
                <w:color w:val="auto"/>
              </w:rPr>
            </w:pPr>
            <w:r>
              <w:rPr>
                <w:rFonts w:ascii="Arial" w:cs="Arial" w:eastAsia="Arial" w:hAnsi="Arial"/>
                <w:sz w:val="16"/>
                <w:szCs w:val="16"/>
                <w:color w:val="auto"/>
                <w:w w:val="90"/>
              </w:rPr>
              <w:t>Time-Based</w:t>
            </w:r>
          </w:p>
        </w:tc>
        <w:tc>
          <w:tcPr>
            <w:tcW w:w="540" w:type="dxa"/>
            <w:vAlign w:val="bottom"/>
          </w:tcPr>
          <w:p>
            <w:pPr>
              <w:spacing w:after="0"/>
              <w:rPr>
                <w:sz w:val="15"/>
                <w:szCs w:val="15"/>
                <w:color w:val="auto"/>
              </w:rPr>
            </w:pPr>
          </w:p>
        </w:tc>
        <w:tc>
          <w:tcPr>
            <w:tcW w:w="1640" w:type="dxa"/>
            <w:vAlign w:val="bottom"/>
            <w:gridSpan w:val="3"/>
          </w:tcPr>
          <w:p>
            <w:pPr>
              <w:jc w:val="center"/>
              <w:ind w:right="360"/>
              <w:spacing w:after="0" w:line="176" w:lineRule="exact"/>
              <w:rPr>
                <w:sz w:val="20"/>
                <w:szCs w:val="20"/>
                <w:color w:val="auto"/>
              </w:rPr>
            </w:pPr>
            <w:r>
              <w:rPr>
                <w:rFonts w:ascii="Arial" w:cs="Arial" w:eastAsia="Arial" w:hAnsi="Arial"/>
                <w:sz w:val="16"/>
                <w:szCs w:val="16"/>
                <w:color w:val="auto"/>
                <w:w w:val="89"/>
              </w:rPr>
              <w:t>Performance-Based</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shd w:val="clear" w:color="auto" w:fill="CFF0FC"/>
          </w:tcPr>
          <w:p>
            <w:pPr>
              <w:spacing w:after="0"/>
              <w:rPr>
                <w:sz w:val="20"/>
                <w:szCs w:val="20"/>
                <w:color w:val="auto"/>
              </w:rPr>
            </w:pPr>
            <w:r>
              <w:rPr>
                <w:rFonts w:ascii="Arial" w:cs="Arial" w:eastAsia="Arial" w:hAnsi="Arial"/>
                <w:sz w:val="16"/>
                <w:szCs w:val="16"/>
                <w:color w:val="auto"/>
              </w:rPr>
              <w:t>Allocation of Target Cash Value</w:t>
            </w:r>
          </w:p>
        </w:tc>
        <w:tc>
          <w:tcPr>
            <w:tcW w:w="1340" w:type="dxa"/>
            <w:vAlign w:val="bottom"/>
            <w:gridSpan w:val="2"/>
            <w:shd w:val="clear" w:color="auto" w:fill="CFF0FC"/>
          </w:tcPr>
          <w:p>
            <w:pPr>
              <w:jc w:val="center"/>
              <w:ind w:left="459"/>
              <w:spacing w:after="0"/>
              <w:rPr>
                <w:sz w:val="20"/>
                <w:szCs w:val="20"/>
                <w:color w:val="auto"/>
              </w:rPr>
            </w:pPr>
            <w:r>
              <w:rPr>
                <w:rFonts w:ascii="Arial" w:cs="Arial" w:eastAsia="Arial" w:hAnsi="Arial"/>
                <w:sz w:val="16"/>
                <w:szCs w:val="16"/>
                <w:color w:val="auto"/>
                <w:w w:val="87"/>
              </w:rPr>
              <w:t>50%</w:t>
            </w:r>
          </w:p>
        </w:tc>
        <w:tc>
          <w:tcPr>
            <w:tcW w:w="3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center"/>
              <w:ind w:left="479"/>
              <w:spacing w:after="0"/>
              <w:rPr>
                <w:sz w:val="20"/>
                <w:szCs w:val="20"/>
                <w:color w:val="auto"/>
              </w:rPr>
            </w:pPr>
            <w:r>
              <w:rPr>
                <w:rFonts w:ascii="Arial" w:cs="Arial" w:eastAsia="Arial" w:hAnsi="Arial"/>
                <w:sz w:val="16"/>
                <w:szCs w:val="16"/>
                <w:color w:val="auto"/>
                <w:w w:val="93"/>
              </w:rPr>
              <w:t>50%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center"/>
              <w:ind w:left="479"/>
              <w:spacing w:after="0"/>
              <w:rPr>
                <w:sz w:val="20"/>
                <w:szCs w:val="20"/>
                <w:color w:val="auto"/>
              </w:rPr>
            </w:pPr>
            <w:r>
              <w:rPr>
                <w:rFonts w:ascii="Arial" w:cs="Arial" w:eastAsia="Arial" w:hAnsi="Arial"/>
                <w:sz w:val="16"/>
                <w:szCs w:val="16"/>
                <w:color w:val="auto"/>
                <w:w w:val="93"/>
              </w:rPr>
              <w:t>50%</w:t>
            </w:r>
          </w:p>
        </w:tc>
        <w:tc>
          <w:tcPr>
            <w:tcW w:w="38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center"/>
              <w:ind w:left="439"/>
              <w:spacing w:after="0"/>
              <w:rPr>
                <w:sz w:val="20"/>
                <w:szCs w:val="20"/>
                <w:color w:val="auto"/>
              </w:rPr>
            </w:pPr>
            <w:r>
              <w:rPr>
                <w:rFonts w:ascii="Arial" w:cs="Arial" w:eastAsia="Arial" w:hAnsi="Arial"/>
                <w:sz w:val="16"/>
                <w:szCs w:val="16"/>
                <w:color w:val="auto"/>
                <w:w w:val="93"/>
              </w:rPr>
              <w:t>50%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0" w:type="dxa"/>
            <w:vAlign w:val="bottom"/>
          </w:tcPr>
          <w:p>
            <w:pPr>
              <w:spacing w:after="0"/>
              <w:rPr>
                <w:sz w:val="20"/>
                <w:szCs w:val="20"/>
                <w:color w:val="auto"/>
              </w:rPr>
            </w:pPr>
            <w:r>
              <w:rPr>
                <w:rFonts w:ascii="Arial" w:cs="Arial" w:eastAsia="Arial" w:hAnsi="Arial"/>
                <w:sz w:val="16"/>
                <w:szCs w:val="16"/>
                <w:color w:val="auto"/>
              </w:rPr>
              <w:t>Award type</w:t>
            </w:r>
          </w:p>
        </w:tc>
        <w:tc>
          <w:tcPr>
            <w:tcW w:w="1700" w:type="dxa"/>
            <w:vAlign w:val="bottom"/>
            <w:gridSpan w:val="3"/>
          </w:tcPr>
          <w:p>
            <w:pPr>
              <w:jc w:val="center"/>
              <w:ind w:left="99"/>
              <w:spacing w:after="0"/>
              <w:rPr>
                <w:sz w:val="20"/>
                <w:szCs w:val="20"/>
                <w:color w:val="auto"/>
              </w:rPr>
            </w:pPr>
            <w:r>
              <w:rPr>
                <w:rFonts w:ascii="Arial" w:cs="Arial" w:eastAsia="Arial" w:hAnsi="Arial"/>
                <w:sz w:val="16"/>
                <w:szCs w:val="16"/>
                <w:color w:val="auto"/>
                <w:w w:val="90"/>
              </w:rPr>
              <w:t>RSUs at effective date</w:t>
            </w:r>
          </w:p>
        </w:tc>
        <w:tc>
          <w:tcPr>
            <w:tcW w:w="2420" w:type="dxa"/>
            <w:vAlign w:val="bottom"/>
            <w:gridSpan w:val="4"/>
          </w:tcPr>
          <w:p>
            <w:pPr>
              <w:jc w:val="center"/>
              <w:ind w:right="60"/>
              <w:spacing w:after="0"/>
              <w:rPr>
                <w:sz w:val="20"/>
                <w:szCs w:val="20"/>
                <w:color w:val="auto"/>
              </w:rPr>
            </w:pPr>
            <w:r>
              <w:rPr>
                <w:rFonts w:ascii="Arial" w:cs="Arial" w:eastAsia="Arial" w:hAnsi="Arial"/>
                <w:sz w:val="16"/>
                <w:szCs w:val="16"/>
                <w:color w:val="auto"/>
                <w:w w:val="89"/>
              </w:rPr>
              <w:t>RSUs, when earned</w:t>
            </w:r>
          </w:p>
        </w:tc>
        <w:tc>
          <w:tcPr>
            <w:tcW w:w="1720" w:type="dxa"/>
            <w:vAlign w:val="bottom"/>
            <w:gridSpan w:val="3"/>
          </w:tcPr>
          <w:p>
            <w:pPr>
              <w:jc w:val="center"/>
              <w:ind w:left="99"/>
              <w:spacing w:after="0"/>
              <w:rPr>
                <w:sz w:val="20"/>
                <w:szCs w:val="20"/>
                <w:color w:val="auto"/>
              </w:rPr>
            </w:pPr>
            <w:r>
              <w:rPr>
                <w:rFonts w:ascii="Arial" w:cs="Arial" w:eastAsia="Arial" w:hAnsi="Arial"/>
                <w:sz w:val="16"/>
                <w:szCs w:val="16"/>
                <w:color w:val="auto"/>
                <w:w w:val="91"/>
              </w:rPr>
              <w:t>RSUs at effective date</w:t>
            </w:r>
          </w:p>
        </w:tc>
        <w:tc>
          <w:tcPr>
            <w:tcW w:w="2180" w:type="dxa"/>
            <w:vAlign w:val="bottom"/>
            <w:gridSpan w:val="4"/>
          </w:tcPr>
          <w:p>
            <w:pPr>
              <w:jc w:val="center"/>
              <w:ind w:left="99"/>
              <w:spacing w:after="0"/>
              <w:rPr>
                <w:sz w:val="20"/>
                <w:szCs w:val="20"/>
                <w:color w:val="auto"/>
              </w:rPr>
            </w:pPr>
            <w:r>
              <w:rPr>
                <w:rFonts w:ascii="Arial" w:cs="Arial" w:eastAsia="Arial" w:hAnsi="Arial"/>
                <w:sz w:val="16"/>
                <w:szCs w:val="16"/>
                <w:color w:val="auto"/>
                <w:w w:val="89"/>
              </w:rPr>
              <w:t>RSUs, when earned</w:t>
            </w:r>
          </w:p>
        </w:tc>
        <w:tc>
          <w:tcPr>
            <w:tcW w:w="0" w:type="dxa"/>
            <w:vAlign w:val="bottom"/>
          </w:tcPr>
          <w:p>
            <w:pPr>
              <w:spacing w:after="0"/>
              <w:rPr>
                <w:sz w:val="1"/>
                <w:szCs w:val="1"/>
                <w:color w:val="auto"/>
              </w:rPr>
            </w:pPr>
          </w:p>
        </w:tc>
      </w:tr>
      <w:tr>
        <w:trPr>
          <w:trHeight w:val="209"/>
        </w:trPr>
        <w:tc>
          <w:tcPr>
            <w:tcW w:w="28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720" w:type="dxa"/>
            <w:vAlign w:val="bottom"/>
            <w:gridSpan w:val="3"/>
            <w:shd w:val="clear" w:color="auto" w:fill="CFF0FC"/>
          </w:tcPr>
          <w:p>
            <w:pPr>
              <w:jc w:val="center"/>
              <w:ind w:left="99"/>
              <w:spacing w:after="0"/>
              <w:rPr>
                <w:sz w:val="20"/>
                <w:szCs w:val="20"/>
                <w:color w:val="auto"/>
              </w:rPr>
            </w:pPr>
            <w:r>
              <w:rPr>
                <w:rFonts w:ascii="Arial" w:cs="Arial" w:eastAsia="Arial" w:hAnsi="Arial"/>
                <w:sz w:val="16"/>
                <w:szCs w:val="16"/>
                <w:color w:val="auto"/>
                <w:w w:val="91"/>
              </w:rPr>
              <w:t>25% October 24, 2019</w:t>
            </w:r>
          </w:p>
        </w:tc>
        <w:tc>
          <w:tcPr>
            <w:tcW w:w="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Vesting period</w:t>
            </w:r>
          </w:p>
        </w:tc>
        <w:tc>
          <w:tcPr>
            <w:tcW w:w="5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20" w:type="dxa"/>
            <w:vAlign w:val="bottom"/>
            <w:gridSpan w:val="4"/>
            <w:shd w:val="clear" w:color="auto" w:fill="CFF0FC"/>
          </w:tcPr>
          <w:p>
            <w:pPr>
              <w:jc w:val="center"/>
              <w:ind w:right="60"/>
              <w:spacing w:after="0"/>
              <w:rPr>
                <w:sz w:val="20"/>
                <w:szCs w:val="20"/>
                <w:color w:val="auto"/>
              </w:rPr>
            </w:pPr>
            <w:r>
              <w:rPr>
                <w:rFonts w:ascii="Arial" w:cs="Arial" w:eastAsia="Arial" w:hAnsi="Arial"/>
                <w:sz w:val="16"/>
                <w:szCs w:val="16"/>
                <w:color w:val="auto"/>
                <w:w w:val="89"/>
              </w:rPr>
              <w:t>any award earned subject</w:t>
            </w:r>
          </w:p>
        </w:tc>
        <w:tc>
          <w:tcPr>
            <w:tcW w:w="1720" w:type="dxa"/>
            <w:vAlign w:val="bottom"/>
            <w:gridSpan w:val="3"/>
            <w:shd w:val="clear" w:color="auto" w:fill="CFF0FC"/>
          </w:tcPr>
          <w:p>
            <w:pPr>
              <w:jc w:val="center"/>
              <w:ind w:left="79"/>
              <w:spacing w:after="0"/>
              <w:rPr>
                <w:sz w:val="20"/>
                <w:szCs w:val="20"/>
                <w:color w:val="auto"/>
              </w:rPr>
            </w:pPr>
            <w:r>
              <w:rPr>
                <w:rFonts w:ascii="Arial" w:cs="Arial" w:eastAsia="Arial" w:hAnsi="Arial"/>
                <w:sz w:val="16"/>
                <w:szCs w:val="16"/>
                <w:color w:val="auto"/>
                <w:w w:val="94"/>
              </w:rPr>
              <w:t>25% April 1, 2020</w:t>
            </w:r>
          </w:p>
        </w:tc>
        <w:tc>
          <w:tcPr>
            <w:tcW w:w="2180" w:type="dxa"/>
            <w:vAlign w:val="bottom"/>
            <w:gridSpan w:val="4"/>
            <w:shd w:val="clear" w:color="auto" w:fill="CFF0FC"/>
          </w:tcPr>
          <w:p>
            <w:pPr>
              <w:jc w:val="center"/>
              <w:ind w:left="99"/>
              <w:spacing w:after="0"/>
              <w:rPr>
                <w:sz w:val="20"/>
                <w:szCs w:val="20"/>
                <w:color w:val="auto"/>
              </w:rPr>
            </w:pPr>
            <w:r>
              <w:rPr>
                <w:rFonts w:ascii="Arial" w:cs="Arial" w:eastAsia="Arial" w:hAnsi="Arial"/>
                <w:sz w:val="16"/>
                <w:szCs w:val="16"/>
                <w:color w:val="auto"/>
                <w:w w:val="89"/>
              </w:rPr>
              <w:t>any award earned subject</w:t>
            </w:r>
          </w:p>
        </w:tc>
        <w:tc>
          <w:tcPr>
            <w:tcW w:w="0" w:type="dxa"/>
            <w:vAlign w:val="bottom"/>
          </w:tcPr>
          <w:p>
            <w:pPr>
              <w:spacing w:after="0"/>
              <w:rPr>
                <w:sz w:val="1"/>
                <w:szCs w:val="1"/>
                <w:color w:val="auto"/>
              </w:rPr>
            </w:pPr>
          </w:p>
        </w:tc>
      </w:tr>
      <w:tr>
        <w:trPr>
          <w:trHeight w:val="98"/>
        </w:trPr>
        <w:tc>
          <w:tcPr>
            <w:tcW w:w="2800" w:type="dxa"/>
            <w:vAlign w:val="bottom"/>
            <w:vMerge w:val="continue"/>
            <w:shd w:val="clear" w:color="auto" w:fill="CFF0FC"/>
          </w:tcPr>
          <w:p>
            <w:pPr>
              <w:spacing w:after="0"/>
              <w:rPr>
                <w:sz w:val="8"/>
                <w:szCs w:val="8"/>
                <w:color w:val="auto"/>
              </w:rPr>
            </w:pPr>
          </w:p>
        </w:tc>
        <w:tc>
          <w:tcPr>
            <w:tcW w:w="1700" w:type="dxa"/>
            <w:vAlign w:val="bottom"/>
            <w:gridSpan w:val="3"/>
            <w:vMerge w:val="restart"/>
            <w:shd w:val="clear" w:color="auto" w:fill="CFF0FC"/>
          </w:tcPr>
          <w:p>
            <w:pPr>
              <w:jc w:val="center"/>
              <w:ind w:left="99"/>
              <w:spacing w:after="0"/>
              <w:rPr>
                <w:sz w:val="20"/>
                <w:szCs w:val="20"/>
                <w:color w:val="auto"/>
              </w:rPr>
            </w:pPr>
            <w:r>
              <w:rPr>
                <w:rFonts w:ascii="Arial" w:cs="Arial" w:eastAsia="Arial" w:hAnsi="Arial"/>
                <w:sz w:val="16"/>
                <w:szCs w:val="16"/>
                <w:color w:val="auto"/>
                <w:w w:val="94"/>
              </w:rPr>
              <w:t>50% April 1, 2019</w:t>
            </w:r>
          </w:p>
        </w:tc>
        <w:tc>
          <w:tcPr>
            <w:tcW w:w="2420" w:type="dxa"/>
            <w:vAlign w:val="bottom"/>
            <w:gridSpan w:val="4"/>
            <w:vMerge w:val="restart"/>
            <w:shd w:val="clear" w:color="auto" w:fill="CFF0FC"/>
          </w:tcPr>
          <w:p>
            <w:pPr>
              <w:jc w:val="center"/>
              <w:ind w:right="60"/>
              <w:spacing w:after="0"/>
              <w:rPr>
                <w:sz w:val="20"/>
                <w:szCs w:val="20"/>
                <w:color w:val="auto"/>
              </w:rPr>
            </w:pPr>
            <w:r>
              <w:rPr>
                <w:rFonts w:ascii="Arial" w:cs="Arial" w:eastAsia="Arial" w:hAnsi="Arial"/>
                <w:sz w:val="16"/>
                <w:szCs w:val="16"/>
                <w:color w:val="auto"/>
                <w:w w:val="93"/>
              </w:rPr>
              <w:t>to additional vesting</w:t>
            </w:r>
          </w:p>
        </w:tc>
        <w:tc>
          <w:tcPr>
            <w:tcW w:w="1720" w:type="dxa"/>
            <w:vAlign w:val="bottom"/>
            <w:gridSpan w:val="3"/>
            <w:vMerge w:val="restart"/>
            <w:shd w:val="clear" w:color="auto" w:fill="CFF0FC"/>
          </w:tcPr>
          <w:p>
            <w:pPr>
              <w:jc w:val="center"/>
              <w:ind w:left="79"/>
              <w:spacing w:after="0"/>
              <w:rPr>
                <w:sz w:val="20"/>
                <w:szCs w:val="20"/>
                <w:color w:val="auto"/>
              </w:rPr>
            </w:pPr>
            <w:r>
              <w:rPr>
                <w:rFonts w:ascii="Arial" w:cs="Arial" w:eastAsia="Arial" w:hAnsi="Arial"/>
                <w:sz w:val="16"/>
                <w:szCs w:val="16"/>
                <w:color w:val="auto"/>
                <w:w w:val="94"/>
              </w:rPr>
              <w:t>25% April 1, 2021</w:t>
            </w:r>
          </w:p>
        </w:tc>
        <w:tc>
          <w:tcPr>
            <w:tcW w:w="2180" w:type="dxa"/>
            <w:vAlign w:val="bottom"/>
            <w:gridSpan w:val="4"/>
            <w:vMerge w:val="restart"/>
            <w:shd w:val="clear" w:color="auto" w:fill="CFF0FC"/>
          </w:tcPr>
          <w:p>
            <w:pPr>
              <w:jc w:val="center"/>
              <w:ind w:left="99"/>
              <w:spacing w:after="0"/>
              <w:rPr>
                <w:sz w:val="20"/>
                <w:szCs w:val="20"/>
                <w:color w:val="auto"/>
              </w:rPr>
            </w:pPr>
            <w:r>
              <w:rPr>
                <w:rFonts w:ascii="Arial" w:cs="Arial" w:eastAsia="Arial" w:hAnsi="Arial"/>
                <w:sz w:val="16"/>
                <w:szCs w:val="16"/>
                <w:color w:val="auto"/>
                <w:w w:val="93"/>
              </w:rPr>
              <w:t>to additional vesting</w:t>
            </w:r>
          </w:p>
        </w:tc>
        <w:tc>
          <w:tcPr>
            <w:tcW w:w="0" w:type="dxa"/>
            <w:vAlign w:val="bottom"/>
          </w:tcPr>
          <w:p>
            <w:pPr>
              <w:spacing w:after="0"/>
              <w:rPr>
                <w:sz w:val="1"/>
                <w:szCs w:val="1"/>
                <w:color w:val="auto"/>
              </w:rPr>
            </w:pPr>
          </w:p>
        </w:tc>
      </w:tr>
      <w:tr>
        <w:trPr>
          <w:trHeight w:val="104"/>
        </w:trPr>
        <w:tc>
          <w:tcPr>
            <w:tcW w:w="2800" w:type="dxa"/>
            <w:vAlign w:val="bottom"/>
            <w:shd w:val="clear" w:color="auto" w:fill="CFF0FC"/>
          </w:tcPr>
          <w:p>
            <w:pPr>
              <w:spacing w:after="0"/>
              <w:rPr>
                <w:sz w:val="9"/>
                <w:szCs w:val="9"/>
                <w:color w:val="auto"/>
              </w:rPr>
            </w:pPr>
          </w:p>
        </w:tc>
        <w:tc>
          <w:tcPr>
            <w:tcW w:w="1700" w:type="dxa"/>
            <w:vAlign w:val="bottom"/>
            <w:gridSpan w:val="3"/>
            <w:vMerge w:val="continue"/>
            <w:shd w:val="clear" w:color="auto" w:fill="CFF0FC"/>
          </w:tcPr>
          <w:p>
            <w:pPr>
              <w:spacing w:after="0"/>
              <w:rPr>
                <w:sz w:val="9"/>
                <w:szCs w:val="9"/>
                <w:color w:val="auto"/>
              </w:rPr>
            </w:pPr>
          </w:p>
        </w:tc>
        <w:tc>
          <w:tcPr>
            <w:tcW w:w="2420" w:type="dxa"/>
            <w:vAlign w:val="bottom"/>
            <w:gridSpan w:val="4"/>
            <w:vMerge w:val="continue"/>
            <w:shd w:val="clear" w:color="auto" w:fill="CFF0FC"/>
          </w:tcPr>
          <w:p>
            <w:pPr>
              <w:spacing w:after="0"/>
              <w:rPr>
                <w:sz w:val="9"/>
                <w:szCs w:val="9"/>
                <w:color w:val="auto"/>
              </w:rPr>
            </w:pPr>
          </w:p>
        </w:tc>
        <w:tc>
          <w:tcPr>
            <w:tcW w:w="1720" w:type="dxa"/>
            <w:vAlign w:val="bottom"/>
            <w:gridSpan w:val="3"/>
            <w:vMerge w:val="continue"/>
            <w:shd w:val="clear" w:color="auto" w:fill="CFF0FC"/>
          </w:tcPr>
          <w:p>
            <w:pPr>
              <w:spacing w:after="0"/>
              <w:rPr>
                <w:sz w:val="9"/>
                <w:szCs w:val="9"/>
                <w:color w:val="auto"/>
              </w:rPr>
            </w:pPr>
          </w:p>
        </w:tc>
        <w:tc>
          <w:tcPr>
            <w:tcW w:w="2180" w:type="dxa"/>
            <w:vAlign w:val="bottom"/>
            <w:gridSpan w:val="4"/>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800" w:type="dxa"/>
            <w:vAlign w:val="bottom"/>
            <w:shd w:val="clear" w:color="auto" w:fill="CFF0FC"/>
          </w:tcPr>
          <w:p>
            <w:pPr>
              <w:spacing w:after="0"/>
              <w:rPr>
                <w:sz w:val="18"/>
                <w:szCs w:val="18"/>
                <w:color w:val="auto"/>
              </w:rPr>
            </w:pPr>
          </w:p>
        </w:tc>
        <w:tc>
          <w:tcPr>
            <w:tcW w:w="1700" w:type="dxa"/>
            <w:vAlign w:val="bottom"/>
            <w:gridSpan w:val="3"/>
            <w:shd w:val="clear" w:color="auto" w:fill="CFF0FC"/>
          </w:tcPr>
          <w:p>
            <w:pPr>
              <w:jc w:val="center"/>
              <w:ind w:left="99"/>
              <w:spacing w:after="0"/>
              <w:rPr>
                <w:sz w:val="20"/>
                <w:szCs w:val="20"/>
                <w:color w:val="auto"/>
              </w:rPr>
            </w:pPr>
            <w:r>
              <w:rPr>
                <w:rFonts w:ascii="Arial" w:cs="Arial" w:eastAsia="Arial" w:hAnsi="Arial"/>
                <w:sz w:val="16"/>
                <w:szCs w:val="16"/>
                <w:color w:val="auto"/>
                <w:w w:val="94"/>
              </w:rPr>
              <w:t>50% April 1, 2020</w:t>
            </w:r>
          </w:p>
        </w:tc>
        <w:tc>
          <w:tcPr>
            <w:tcW w:w="2420" w:type="dxa"/>
            <w:vAlign w:val="bottom"/>
            <w:gridSpan w:val="4"/>
            <w:shd w:val="clear" w:color="auto" w:fill="CFF0FC"/>
          </w:tcPr>
          <w:p>
            <w:pPr>
              <w:jc w:val="center"/>
              <w:ind w:right="40"/>
              <w:spacing w:after="0"/>
              <w:rPr>
                <w:sz w:val="20"/>
                <w:szCs w:val="20"/>
                <w:color w:val="auto"/>
              </w:rPr>
            </w:pPr>
            <w:r>
              <w:rPr>
                <w:rFonts w:ascii="Arial" w:cs="Arial" w:eastAsia="Arial" w:hAnsi="Arial"/>
                <w:sz w:val="16"/>
                <w:szCs w:val="16"/>
                <w:color w:val="auto"/>
                <w:w w:val="92"/>
              </w:rPr>
              <w:t>through August 31, 2019</w:t>
            </w:r>
          </w:p>
        </w:tc>
        <w:tc>
          <w:tcPr>
            <w:tcW w:w="1720" w:type="dxa"/>
            <w:vAlign w:val="bottom"/>
            <w:gridSpan w:val="3"/>
            <w:shd w:val="clear" w:color="auto" w:fill="CFF0FC"/>
          </w:tcPr>
          <w:p>
            <w:pPr>
              <w:jc w:val="center"/>
              <w:ind w:left="79"/>
              <w:spacing w:after="0"/>
              <w:rPr>
                <w:sz w:val="20"/>
                <w:szCs w:val="20"/>
                <w:color w:val="auto"/>
              </w:rPr>
            </w:pPr>
            <w:r>
              <w:rPr>
                <w:rFonts w:ascii="Arial" w:cs="Arial" w:eastAsia="Arial" w:hAnsi="Arial"/>
                <w:sz w:val="16"/>
                <w:szCs w:val="16"/>
                <w:color w:val="auto"/>
                <w:w w:val="94"/>
              </w:rPr>
              <w:t>25% April 1, 2022</w:t>
            </w:r>
          </w:p>
        </w:tc>
        <w:tc>
          <w:tcPr>
            <w:tcW w:w="2180" w:type="dxa"/>
            <w:vAlign w:val="bottom"/>
            <w:gridSpan w:val="4"/>
            <w:shd w:val="clear" w:color="auto" w:fill="CFF0FC"/>
          </w:tcPr>
          <w:p>
            <w:pPr>
              <w:jc w:val="center"/>
              <w:ind w:left="79"/>
              <w:spacing w:after="0"/>
              <w:rPr>
                <w:sz w:val="20"/>
                <w:szCs w:val="20"/>
                <w:color w:val="auto"/>
              </w:rPr>
            </w:pPr>
            <w:r>
              <w:rPr>
                <w:rFonts w:ascii="Arial" w:cs="Arial" w:eastAsia="Arial" w:hAnsi="Arial"/>
                <w:sz w:val="16"/>
                <w:szCs w:val="16"/>
                <w:color w:val="auto"/>
                <w:w w:val="92"/>
              </w:rPr>
              <w:t>through August 31, 2021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540" w:top="324"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i w:val="1"/>
          <w:iCs w:val="1"/>
          <w:color w:val="auto"/>
        </w:rPr>
        <w:t>2017-2018 Performance Period</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2017, the Compensation Committee established two performance targets for the 2017-2018 Performance Period under the LTIP (the “2017-2018 LTIP”), each weighted 50%, and further approved that all awards would be issued in restricted stock units (“RSUs”). The following is a summary of the performance targets under the 2017-2018 Performance Period and actual performance achieved:</w:t>
      </w:r>
    </w:p>
    <w:p>
      <w:pPr>
        <w:spacing w:after="0" w:line="3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gridSpan w:val="3"/>
          </w:tcPr>
          <w:p>
            <w:pPr>
              <w:jc w:val="center"/>
              <w:ind w:left="108"/>
              <w:spacing w:after="0"/>
              <w:rPr>
                <w:sz w:val="20"/>
                <w:szCs w:val="20"/>
                <w:color w:val="auto"/>
              </w:rPr>
            </w:pPr>
            <w:r>
              <w:rPr>
                <w:rFonts w:ascii="Arial" w:cs="Arial" w:eastAsia="Arial" w:hAnsi="Arial"/>
                <w:sz w:val="14"/>
                <w:szCs w:val="14"/>
                <w:b w:val="1"/>
                <w:bCs w:val="1"/>
                <w:color w:val="auto"/>
                <w:w w:val="98"/>
              </w:rPr>
              <w:t>Award %</w:t>
            </w:r>
          </w:p>
        </w:tc>
        <w:tc>
          <w:tcPr>
            <w:tcW w:w="25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Minimum/Maximum</w:t>
            </w: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580" w:type="dxa"/>
            <w:vAlign w:val="bottom"/>
            <w:vMerge w:val="restart"/>
          </w:tcPr>
          <w:p>
            <w:pPr>
              <w:spacing w:after="0"/>
              <w:rPr>
                <w:sz w:val="12"/>
                <w:szCs w:val="12"/>
                <w:color w:val="auto"/>
              </w:rPr>
            </w:pPr>
          </w:p>
        </w:tc>
        <w:tc>
          <w:tcPr>
            <w:tcW w:w="104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9"/>
              </w:rPr>
              <w:t>Attributable</w:t>
            </w:r>
          </w:p>
        </w:tc>
        <w:tc>
          <w:tcPr>
            <w:tcW w:w="2520" w:type="dxa"/>
            <w:vAlign w:val="bottom"/>
            <w:gridSpan w:val="3"/>
            <w:vMerge w:val="continue"/>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2018 Target</w:t>
            </w:r>
          </w:p>
        </w:tc>
        <w:tc>
          <w:tcPr>
            <w:tcW w:w="13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2018 Actual</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Payout %</w:t>
            </w:r>
          </w:p>
        </w:tc>
        <w:tc>
          <w:tcPr>
            <w:tcW w:w="0" w:type="dxa"/>
            <w:vAlign w:val="bottom"/>
          </w:tcPr>
          <w:p>
            <w:pPr>
              <w:spacing w:after="0"/>
              <w:rPr>
                <w:sz w:val="1"/>
                <w:szCs w:val="1"/>
                <w:color w:val="auto"/>
              </w:rPr>
            </w:pPr>
          </w:p>
        </w:tc>
      </w:tr>
      <w:tr>
        <w:trPr>
          <w:trHeight w:val="158"/>
        </w:trPr>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2520" w:type="dxa"/>
            <w:vAlign w:val="bottom"/>
            <w:gridSpan w:val="3"/>
          </w:tcPr>
          <w:p>
            <w:pPr>
              <w:ind w:left="580"/>
              <w:spacing w:after="0" w:line="158" w:lineRule="exact"/>
              <w:rPr>
                <w:sz w:val="20"/>
                <w:szCs w:val="20"/>
                <w:color w:val="auto"/>
              </w:rPr>
            </w:pPr>
            <w:r>
              <w:rPr>
                <w:rFonts w:ascii="Arial" w:cs="Arial" w:eastAsia="Arial" w:hAnsi="Arial"/>
                <w:sz w:val="14"/>
                <w:szCs w:val="14"/>
                <w:b w:val="1"/>
                <w:bCs w:val="1"/>
                <w:color w:val="auto"/>
              </w:rPr>
              <w:t>Potential Payout</w:t>
            </w:r>
          </w:p>
        </w:tc>
        <w:tc>
          <w:tcPr>
            <w:tcW w:w="1000" w:type="dxa"/>
            <w:vAlign w:val="bottom"/>
            <w:gridSpan w:val="2"/>
            <w:vMerge w:val="continue"/>
          </w:tcPr>
          <w:p>
            <w:pPr>
              <w:spacing w:after="0"/>
              <w:rPr>
                <w:sz w:val="13"/>
                <w:szCs w:val="13"/>
                <w:color w:val="auto"/>
              </w:rPr>
            </w:pPr>
          </w:p>
        </w:tc>
        <w:tc>
          <w:tcPr>
            <w:tcW w:w="13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6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1820" w:type="dxa"/>
            <w:vAlign w:val="bottom"/>
            <w:gridSpan w:val="3"/>
            <w:shd w:val="clear" w:color="auto" w:fill="CFF0FC"/>
          </w:tcPr>
          <w:p>
            <w:pPr>
              <w:ind w:left="140"/>
              <w:spacing w:after="0" w:line="123" w:lineRule="exact"/>
              <w:rPr>
                <w:sz w:val="20"/>
                <w:szCs w:val="20"/>
                <w:color w:val="auto"/>
              </w:rPr>
            </w:pPr>
            <w:r>
              <w:rPr>
                <w:rFonts w:ascii="Arial" w:cs="Arial" w:eastAsia="Arial" w:hAnsi="Arial"/>
                <w:sz w:val="14"/>
                <w:szCs w:val="14"/>
                <w:color w:val="auto"/>
              </w:rPr>
              <w:t>Total Comparable Sales*</w:t>
            </w:r>
          </w:p>
        </w:tc>
        <w:tc>
          <w:tcPr>
            <w:tcW w:w="880" w:type="dxa"/>
            <w:vAlign w:val="bottom"/>
            <w:gridSpan w:val="2"/>
            <w:shd w:val="clear" w:color="auto" w:fill="CFF0FC"/>
          </w:tcPr>
          <w:p>
            <w:pPr>
              <w:jc w:val="center"/>
              <w:ind w:left="268"/>
              <w:spacing w:after="0" w:line="123" w:lineRule="exact"/>
              <w:rPr>
                <w:sz w:val="20"/>
                <w:szCs w:val="20"/>
                <w:color w:val="auto"/>
              </w:rPr>
            </w:pPr>
            <w:r>
              <w:rPr>
                <w:rFonts w:ascii="Arial" w:cs="Arial" w:eastAsia="Arial" w:hAnsi="Arial"/>
                <w:sz w:val="14"/>
                <w:szCs w:val="14"/>
                <w:color w:val="auto"/>
                <w:w w:val="95"/>
              </w:rPr>
              <w:t>50.0%</w:t>
            </w:r>
          </w:p>
        </w:tc>
        <w:tc>
          <w:tcPr>
            <w:tcW w:w="160" w:type="dxa"/>
            <w:vAlign w:val="bottom"/>
            <w:shd w:val="clear" w:color="auto" w:fill="CFF0FC"/>
          </w:tcPr>
          <w:p>
            <w:pPr>
              <w:spacing w:after="0"/>
              <w:rPr>
                <w:sz w:val="10"/>
                <w:szCs w:val="10"/>
                <w:color w:val="auto"/>
              </w:rPr>
            </w:pPr>
          </w:p>
        </w:tc>
        <w:tc>
          <w:tcPr>
            <w:tcW w:w="252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target, with 50%</w:t>
            </w:r>
          </w:p>
        </w:tc>
        <w:tc>
          <w:tcPr>
            <w:tcW w:w="720" w:type="dxa"/>
            <w:vAlign w:val="bottom"/>
            <w:shd w:val="clear" w:color="auto" w:fill="CFF0FC"/>
          </w:tcPr>
          <w:p>
            <w:pPr>
              <w:jc w:val="center"/>
              <w:spacing w:after="0" w:line="123" w:lineRule="exact"/>
              <w:rPr>
                <w:sz w:val="20"/>
                <w:szCs w:val="20"/>
                <w:color w:val="auto"/>
              </w:rPr>
            </w:pPr>
            <w:r>
              <w:rPr>
                <w:rFonts w:ascii="Arial" w:cs="Arial" w:eastAsia="Arial" w:hAnsi="Arial"/>
                <w:sz w:val="14"/>
                <w:szCs w:val="14"/>
                <w:color w:val="auto"/>
                <w:w w:val="93"/>
              </w:rPr>
              <w:t>6.6%</w:t>
            </w:r>
          </w:p>
        </w:tc>
        <w:tc>
          <w:tcPr>
            <w:tcW w:w="2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ind w:right="200"/>
              <w:spacing w:after="0" w:line="123" w:lineRule="exact"/>
              <w:rPr>
                <w:sz w:val="20"/>
                <w:szCs w:val="20"/>
                <w:color w:val="auto"/>
              </w:rPr>
            </w:pPr>
            <w:r>
              <w:rPr>
                <w:rFonts w:ascii="Arial" w:cs="Arial" w:eastAsia="Arial" w:hAnsi="Arial"/>
                <w:sz w:val="14"/>
                <w:szCs w:val="14"/>
                <w:color w:val="auto"/>
              </w:rPr>
              <w:t>4.0%</w:t>
            </w:r>
          </w:p>
        </w:tc>
        <w:tc>
          <w:tcPr>
            <w:tcW w:w="360" w:type="dxa"/>
            <w:vAlign w:val="bottom"/>
            <w:shd w:val="clear" w:color="auto" w:fill="CFF0FC"/>
          </w:tcPr>
          <w:p>
            <w:pPr>
              <w:spacing w:after="0"/>
              <w:rPr>
                <w:sz w:val="10"/>
                <w:szCs w:val="10"/>
                <w:color w:val="auto"/>
              </w:rPr>
            </w:pPr>
          </w:p>
        </w:tc>
        <w:tc>
          <w:tcPr>
            <w:tcW w:w="620" w:type="dxa"/>
            <w:vAlign w:val="bottom"/>
            <w:shd w:val="clear" w:color="auto" w:fill="CFF0FC"/>
          </w:tcPr>
          <w:p>
            <w:pPr>
              <w:jc w:val="right"/>
              <w:ind w:right="48"/>
              <w:spacing w:after="0" w:line="123" w:lineRule="exact"/>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520" w:type="dxa"/>
            <w:vAlign w:val="bottom"/>
            <w:gridSpan w:val="3"/>
            <w:shd w:val="clear" w:color="auto" w:fill="CFF0FC"/>
          </w:tcPr>
          <w:p>
            <w:pPr>
              <w:ind w:left="60"/>
              <w:spacing w:after="0" w:line="149" w:lineRule="exact"/>
              <w:rPr>
                <w:sz w:val="20"/>
                <w:szCs w:val="20"/>
                <w:color w:val="auto"/>
              </w:rPr>
            </w:pPr>
            <w:r>
              <w:rPr>
                <w:rFonts w:ascii="Arial" w:cs="Arial" w:eastAsia="Arial" w:hAnsi="Arial"/>
                <w:sz w:val="14"/>
                <w:szCs w:val="14"/>
                <w:color w:val="auto"/>
              </w:rPr>
              <w:t>payout at 60.6% of target and</w:t>
            </w:r>
          </w:p>
        </w:tc>
        <w:tc>
          <w:tcPr>
            <w:tcW w:w="7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52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150% payout at 136.4% of target.</w:t>
            </w: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6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1820" w:type="dxa"/>
            <w:vAlign w:val="bottom"/>
            <w:gridSpan w:val="3"/>
          </w:tcPr>
          <w:p>
            <w:pPr>
              <w:ind w:left="140"/>
              <w:spacing w:after="0" w:line="130" w:lineRule="exact"/>
              <w:rPr>
                <w:sz w:val="20"/>
                <w:szCs w:val="20"/>
                <w:color w:val="auto"/>
              </w:rPr>
            </w:pPr>
            <w:r>
              <w:rPr>
                <w:rFonts w:ascii="Arial" w:cs="Arial" w:eastAsia="Arial" w:hAnsi="Arial"/>
                <w:sz w:val="14"/>
                <w:szCs w:val="14"/>
                <w:color w:val="auto"/>
              </w:rPr>
              <w:t>Modified ROIC**</w:t>
            </w:r>
          </w:p>
        </w:tc>
        <w:tc>
          <w:tcPr>
            <w:tcW w:w="880" w:type="dxa"/>
            <w:vAlign w:val="bottom"/>
            <w:gridSpan w:val="2"/>
          </w:tcPr>
          <w:p>
            <w:pPr>
              <w:jc w:val="center"/>
              <w:ind w:left="268"/>
              <w:spacing w:after="0" w:line="130" w:lineRule="exact"/>
              <w:rPr>
                <w:sz w:val="20"/>
                <w:szCs w:val="20"/>
                <w:color w:val="auto"/>
              </w:rPr>
            </w:pPr>
            <w:r>
              <w:rPr>
                <w:rFonts w:ascii="Arial" w:cs="Arial" w:eastAsia="Arial" w:hAnsi="Arial"/>
                <w:sz w:val="14"/>
                <w:szCs w:val="14"/>
                <w:color w:val="auto"/>
                <w:w w:val="95"/>
              </w:rPr>
              <w:t>50.0%</w:t>
            </w:r>
          </w:p>
        </w:tc>
        <w:tc>
          <w:tcPr>
            <w:tcW w:w="160" w:type="dxa"/>
            <w:vAlign w:val="bottom"/>
          </w:tcPr>
          <w:p>
            <w:pPr>
              <w:spacing w:after="0"/>
              <w:rPr>
                <w:sz w:val="11"/>
                <w:szCs w:val="11"/>
                <w:color w:val="auto"/>
              </w:rPr>
            </w:pPr>
          </w:p>
        </w:tc>
        <w:tc>
          <w:tcPr>
            <w:tcW w:w="25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out at target, with</w:t>
            </w:r>
          </w:p>
        </w:tc>
        <w:tc>
          <w:tcPr>
            <w:tcW w:w="720" w:type="dxa"/>
            <w:vAlign w:val="bottom"/>
          </w:tcPr>
          <w:p>
            <w:pPr>
              <w:jc w:val="center"/>
              <w:spacing w:after="0" w:line="130" w:lineRule="exact"/>
              <w:rPr>
                <w:sz w:val="20"/>
                <w:szCs w:val="20"/>
                <w:color w:val="auto"/>
              </w:rPr>
            </w:pPr>
            <w:r>
              <w:rPr>
                <w:rFonts w:ascii="Arial" w:cs="Arial" w:eastAsia="Arial" w:hAnsi="Arial"/>
                <w:sz w:val="14"/>
                <w:szCs w:val="14"/>
                <w:color w:val="auto"/>
                <w:w w:val="93"/>
              </w:rPr>
              <w:t>3.2%</w:t>
            </w:r>
          </w:p>
        </w:tc>
        <w:tc>
          <w:tcPr>
            <w:tcW w:w="280" w:type="dxa"/>
            <w:vAlign w:val="bottom"/>
          </w:tcPr>
          <w:p>
            <w:pPr>
              <w:spacing w:after="0"/>
              <w:rPr>
                <w:sz w:val="11"/>
                <w:szCs w:val="11"/>
                <w:color w:val="auto"/>
              </w:rPr>
            </w:pPr>
          </w:p>
        </w:tc>
        <w:tc>
          <w:tcPr>
            <w:tcW w:w="1000" w:type="dxa"/>
            <w:vAlign w:val="bottom"/>
            <w:gridSpan w:val="2"/>
          </w:tcPr>
          <w:p>
            <w:pPr>
              <w:jc w:val="right"/>
              <w:ind w:right="160"/>
              <w:spacing w:after="0" w:line="130" w:lineRule="exact"/>
              <w:rPr>
                <w:sz w:val="20"/>
                <w:szCs w:val="20"/>
                <w:color w:val="auto"/>
              </w:rPr>
            </w:pPr>
            <w:r>
              <w:rPr>
                <w:rFonts w:ascii="Arial" w:cs="Arial" w:eastAsia="Arial" w:hAnsi="Arial"/>
                <w:sz w:val="14"/>
                <w:szCs w:val="14"/>
                <w:color w:val="auto"/>
              </w:rPr>
              <w:t>(9.1)%</w:t>
            </w:r>
          </w:p>
        </w:tc>
        <w:tc>
          <w:tcPr>
            <w:tcW w:w="360" w:type="dxa"/>
            <w:vAlign w:val="bottom"/>
          </w:tcPr>
          <w:p>
            <w:pPr>
              <w:spacing w:after="0"/>
              <w:rPr>
                <w:sz w:val="11"/>
                <w:szCs w:val="11"/>
                <w:color w:val="auto"/>
              </w:rPr>
            </w:pPr>
          </w:p>
        </w:tc>
        <w:tc>
          <w:tcPr>
            <w:tcW w:w="78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50% payout at 31.3% of target and</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gridSpan w:val="3"/>
          </w:tcPr>
          <w:p>
            <w:pPr>
              <w:ind w:left="60"/>
              <w:spacing w:after="0"/>
              <w:rPr>
                <w:sz w:val="20"/>
                <w:szCs w:val="20"/>
                <w:color w:val="auto"/>
              </w:rPr>
            </w:pPr>
            <w:r>
              <w:rPr>
                <w:rFonts w:ascii="Arial" w:cs="Arial" w:eastAsia="Arial" w:hAnsi="Arial"/>
                <w:sz w:val="14"/>
                <w:szCs w:val="14"/>
                <w:color w:val="auto"/>
              </w:rPr>
              <w:t>150% payout at 171.9% of target.</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60" w:firstLine="8"/>
        <w:spacing w:after="0" w:line="230" w:lineRule="auto"/>
        <w:tabs>
          <w:tab w:leader="none" w:pos="38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Comparable Sales is defined as two-year stack, which is the sum of total Company comparable sales for fiscal 2017 and fiscal 2018, with an annual minimum comp requirement of 2.0% in fiscal 2018.</w:t>
      </w:r>
    </w:p>
    <w:p>
      <w:pPr>
        <w:ind w:left="260"/>
        <w:spacing w:after="0"/>
        <w:rPr>
          <w:rFonts w:ascii="Arial" w:cs="Arial" w:eastAsia="Arial" w:hAnsi="Arial"/>
          <w:sz w:val="14"/>
          <w:szCs w:val="14"/>
          <w:color w:val="auto"/>
        </w:rPr>
      </w:pPr>
      <w:r>
        <w:rPr>
          <w:rFonts w:ascii="Arial" w:cs="Arial" w:eastAsia="Arial" w:hAnsi="Arial"/>
          <w:sz w:val="14"/>
          <w:szCs w:val="14"/>
          <w:color w:val="auto"/>
        </w:rPr>
        <w:t>** Modified ROIC is defined as operating income divided by invested capital (defined as total debt plus stockholders’ equity and excludes any deduction of cash).</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minimum threshold for the Modified ROIC target was not achieved, but the Company did achieve, at threshold, its Total Comparable Sales target, resulting in a blended payout of performance-based compensation of 25.0% of target. Accordingly, subsequent to the end of fiscal 2018, on March 19, 2019, the Compensation Committee approved the grant of RSU awards totaling $0.5 million, with a grant date of March 19, 2019, with $0.2 million of that amount being awarded to the Named Executive Officers. The awards are subject to further vesting through August 31, 2019.</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2018-2020 Performance Period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24, 2018, the Compensation Committee established two performance targets under the 2018-2020 LTIP and further approved that all awards would be issued in RSUs. The performance targets for the 2018-2020 Performance Period are:</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Award %</w:t>
            </w:r>
          </w:p>
        </w:tc>
        <w:tc>
          <w:tcPr>
            <w:tcW w:w="4220" w:type="dxa"/>
            <w:vAlign w:val="bottom"/>
            <w:gridSpan w:val="3"/>
            <w:vMerge w:val="restart"/>
          </w:tcPr>
          <w:p>
            <w:pPr>
              <w:ind w:left="1080"/>
              <w:spacing w:after="0"/>
              <w:rPr>
                <w:sz w:val="20"/>
                <w:szCs w:val="20"/>
                <w:color w:val="auto"/>
              </w:rPr>
            </w:pPr>
            <w:r>
              <w:rPr>
                <w:rFonts w:ascii="Arial" w:cs="Arial" w:eastAsia="Arial" w:hAnsi="Arial"/>
                <w:sz w:val="14"/>
                <w:szCs w:val="14"/>
                <w:b w:val="1"/>
                <w:bCs w:val="1"/>
                <w:color w:val="auto"/>
              </w:rPr>
              <w:t>Minimum/Maximum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80" w:type="dxa"/>
            <w:vAlign w:val="bottom"/>
            <w:gridSpan w:val="3"/>
            <w:vMerge w:val="restart"/>
          </w:tcPr>
          <w:p>
            <w:pPr>
              <w:ind w:left="1820"/>
              <w:spacing w:after="0"/>
              <w:rPr>
                <w:sz w:val="20"/>
                <w:szCs w:val="20"/>
                <w:color w:val="auto"/>
              </w:rPr>
            </w:pPr>
            <w:r>
              <w:rPr>
                <w:rFonts w:ascii="Arial" w:cs="Arial" w:eastAsia="Arial" w:hAnsi="Arial"/>
                <w:sz w:val="14"/>
                <w:szCs w:val="14"/>
                <w:b w:val="1"/>
                <w:bCs w:val="1"/>
                <w:color w:val="auto"/>
              </w:rPr>
              <w:t>Metric</w:t>
            </w:r>
          </w:p>
        </w:tc>
        <w:tc>
          <w:tcPr>
            <w:tcW w:w="980" w:type="dxa"/>
            <w:vAlign w:val="bottom"/>
            <w:gridSpan w:val="3"/>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Attributable</w:t>
            </w:r>
          </w:p>
        </w:tc>
        <w:tc>
          <w:tcPr>
            <w:tcW w:w="4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to Target</w:t>
            </w:r>
          </w:p>
        </w:tc>
        <w:tc>
          <w:tcPr>
            <w:tcW w:w="4220" w:type="dxa"/>
            <w:vAlign w:val="bottom"/>
            <w:gridSpan w:val="3"/>
          </w:tcPr>
          <w:p>
            <w:pPr>
              <w:ind w:left="1220"/>
              <w:spacing w:after="0" w:line="158" w:lineRule="exact"/>
              <w:rPr>
                <w:sz w:val="20"/>
                <w:szCs w:val="20"/>
                <w:color w:val="auto"/>
              </w:rPr>
            </w:pPr>
            <w:r>
              <w:rPr>
                <w:rFonts w:ascii="Arial" w:cs="Arial" w:eastAsia="Arial" w:hAnsi="Arial"/>
                <w:sz w:val="14"/>
                <w:szCs w:val="14"/>
                <w:b w:val="1"/>
                <w:bCs w:val="1"/>
                <w:color w:val="auto"/>
              </w:rPr>
              <w:t>Potential Payout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00" w:type="dxa"/>
            <w:vAlign w:val="bottom"/>
            <w:shd w:val="clear" w:color="auto" w:fill="CFF0FC"/>
          </w:tcPr>
          <w:p>
            <w:pPr>
              <w:spacing w:after="0" w:line="123" w:lineRule="exact"/>
              <w:rPr>
                <w:sz w:val="20"/>
                <w:szCs w:val="20"/>
                <w:color w:val="auto"/>
              </w:rPr>
            </w:pPr>
            <w:r>
              <w:rPr>
                <w:rFonts w:ascii="Arial" w:cs="Arial" w:eastAsia="Arial" w:hAnsi="Arial"/>
                <w:sz w:val="14"/>
                <w:szCs w:val="14"/>
                <w:b w:val="1"/>
                <w:bCs w:val="1"/>
                <w:color w:val="auto"/>
              </w:rPr>
              <w:t>Target 1</w:t>
            </w:r>
          </w:p>
        </w:tc>
        <w:tc>
          <w:tcPr>
            <w:tcW w:w="3880" w:type="dxa"/>
            <w:vAlign w:val="bottom"/>
            <w:gridSpan w:val="3"/>
            <w:shd w:val="clear" w:color="auto" w:fill="CFF0FC"/>
          </w:tcPr>
          <w:p>
            <w:pPr>
              <w:ind w:left="120"/>
              <w:spacing w:after="0" w:line="123" w:lineRule="exact"/>
              <w:rPr>
                <w:sz w:val="20"/>
                <w:szCs w:val="20"/>
                <w:color w:val="auto"/>
              </w:rPr>
            </w:pPr>
            <w:r>
              <w:rPr>
                <w:rFonts w:ascii="Arial" w:cs="Arial" w:eastAsia="Arial" w:hAnsi="Arial"/>
                <w:sz w:val="14"/>
                <w:szCs w:val="14"/>
                <w:color w:val="auto"/>
              </w:rPr>
              <w:t>Three-year average Adjusted EBITDA margin</w:t>
            </w:r>
          </w:p>
        </w:tc>
        <w:tc>
          <w:tcPr>
            <w:tcW w:w="820" w:type="dxa"/>
            <w:vAlign w:val="bottom"/>
            <w:gridSpan w:val="2"/>
            <w:shd w:val="clear" w:color="auto" w:fill="CFF0FC"/>
          </w:tcPr>
          <w:p>
            <w:pPr>
              <w:jc w:val="center"/>
              <w:ind w:left="188"/>
              <w:spacing w:after="0" w:line="123" w:lineRule="exact"/>
              <w:rPr>
                <w:sz w:val="20"/>
                <w:szCs w:val="20"/>
                <w:color w:val="auto"/>
              </w:rPr>
            </w:pPr>
            <w:r>
              <w:rPr>
                <w:rFonts w:ascii="Arial" w:cs="Arial" w:eastAsia="Arial" w:hAnsi="Arial"/>
                <w:sz w:val="14"/>
                <w:szCs w:val="14"/>
                <w:color w:val="auto"/>
                <w:w w:val="90"/>
              </w:rPr>
              <w:t>75.0%</w:t>
            </w:r>
          </w:p>
        </w:tc>
        <w:tc>
          <w:tcPr>
            <w:tcW w:w="160" w:type="dxa"/>
            <w:vAlign w:val="bottom"/>
            <w:shd w:val="clear" w:color="auto" w:fill="CFF0FC"/>
          </w:tcPr>
          <w:p>
            <w:pPr>
              <w:spacing w:after="0"/>
              <w:rPr>
                <w:sz w:val="10"/>
                <w:szCs w:val="10"/>
                <w:color w:val="auto"/>
              </w:rPr>
            </w:pPr>
          </w:p>
        </w:tc>
        <w:tc>
          <w:tcPr>
            <w:tcW w:w="4220" w:type="dxa"/>
            <w:vAlign w:val="bottom"/>
            <w:gridSpan w:val="3"/>
            <w:shd w:val="clear" w:color="auto" w:fill="CFF0FC"/>
          </w:tcPr>
          <w:p>
            <w:pPr>
              <w:ind w:left="60"/>
              <w:spacing w:after="0" w:line="123" w:lineRule="exact"/>
              <w:rPr>
                <w:sz w:val="20"/>
                <w:szCs w:val="20"/>
                <w:color w:val="auto"/>
              </w:rPr>
            </w:pPr>
            <w:r>
              <w:rPr>
                <w:rFonts w:ascii="Arial" w:cs="Arial" w:eastAsia="Arial" w:hAnsi="Arial"/>
                <w:sz w:val="14"/>
                <w:szCs w:val="14"/>
                <w:color w:val="auto"/>
              </w:rPr>
              <w:t>100% payout at target, with 50% payout at 85.7% of</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20" w:type="dxa"/>
            <w:vAlign w:val="bottom"/>
            <w:gridSpan w:val="3"/>
            <w:shd w:val="clear" w:color="auto" w:fill="CFF0FC"/>
          </w:tcPr>
          <w:p>
            <w:pPr>
              <w:ind w:left="60"/>
              <w:spacing w:after="0"/>
              <w:rPr>
                <w:sz w:val="20"/>
                <w:szCs w:val="20"/>
                <w:color w:val="auto"/>
              </w:rPr>
            </w:pPr>
            <w:r>
              <w:rPr>
                <w:rFonts w:ascii="Arial" w:cs="Arial" w:eastAsia="Arial" w:hAnsi="Arial"/>
                <w:sz w:val="14"/>
                <w:szCs w:val="14"/>
                <w:color w:val="auto"/>
              </w:rPr>
              <w:t>target and 150% payout at 114.3% of target.</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82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1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9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4"/>
                <w:szCs w:val="14"/>
                <w:b w:val="1"/>
                <w:bCs w:val="1"/>
                <w:color w:val="auto"/>
              </w:rPr>
              <w:t>Target 2</w:t>
            </w:r>
          </w:p>
        </w:tc>
        <w:tc>
          <w:tcPr>
            <w:tcW w:w="3880" w:type="dxa"/>
            <w:vAlign w:val="bottom"/>
            <w:gridSpan w:val="3"/>
          </w:tcPr>
          <w:p>
            <w:pPr>
              <w:ind w:left="120"/>
              <w:spacing w:after="0" w:line="130" w:lineRule="exact"/>
              <w:rPr>
                <w:sz w:val="20"/>
                <w:szCs w:val="20"/>
                <w:color w:val="auto"/>
              </w:rPr>
            </w:pPr>
            <w:r>
              <w:rPr>
                <w:rFonts w:ascii="Arial" w:cs="Arial" w:eastAsia="Arial" w:hAnsi="Arial"/>
                <w:sz w:val="14"/>
                <w:szCs w:val="14"/>
                <w:color w:val="auto"/>
                <w:w w:val="95"/>
              </w:rPr>
              <w:t>Three-year relative total shareholder return as compared to the</w:t>
            </w:r>
          </w:p>
        </w:tc>
        <w:tc>
          <w:tcPr>
            <w:tcW w:w="820" w:type="dxa"/>
            <w:vAlign w:val="bottom"/>
            <w:gridSpan w:val="2"/>
          </w:tcPr>
          <w:p>
            <w:pPr>
              <w:jc w:val="center"/>
              <w:ind w:left="188"/>
              <w:spacing w:after="0" w:line="130" w:lineRule="exact"/>
              <w:rPr>
                <w:sz w:val="20"/>
                <w:szCs w:val="20"/>
                <w:color w:val="auto"/>
              </w:rPr>
            </w:pPr>
            <w:r>
              <w:rPr>
                <w:rFonts w:ascii="Arial" w:cs="Arial" w:eastAsia="Arial" w:hAnsi="Arial"/>
                <w:sz w:val="14"/>
                <w:szCs w:val="14"/>
                <w:color w:val="auto"/>
                <w:w w:val="90"/>
              </w:rPr>
              <w:t>25.0%</w:t>
            </w:r>
          </w:p>
        </w:tc>
        <w:tc>
          <w:tcPr>
            <w:tcW w:w="160" w:type="dxa"/>
            <w:vAlign w:val="bottom"/>
          </w:tcPr>
          <w:p>
            <w:pPr>
              <w:spacing w:after="0"/>
              <w:rPr>
                <w:sz w:val="11"/>
                <w:szCs w:val="11"/>
                <w:color w:val="auto"/>
              </w:rPr>
            </w:pPr>
          </w:p>
        </w:tc>
        <w:tc>
          <w:tcPr>
            <w:tcW w:w="422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100% payout at target (2</w:t>
            </w:r>
            <w:r>
              <w:rPr>
                <w:rFonts w:ascii="Arial" w:cs="Arial" w:eastAsia="Arial" w:hAnsi="Arial"/>
                <w:sz w:val="12"/>
                <w:szCs w:val="12"/>
                <w:color w:val="auto"/>
              </w:rPr>
              <w:t>nd</w:t>
            </w:r>
            <w:r>
              <w:rPr>
                <w:rFonts w:ascii="Arial" w:cs="Arial" w:eastAsia="Arial" w:hAnsi="Arial"/>
                <w:sz w:val="14"/>
                <w:szCs w:val="14"/>
                <w:color w:val="auto"/>
              </w:rPr>
              <w:t xml:space="preserve"> quartile), with 50%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8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Company’s 2018 disclosed proxy peer group*</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2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2"/>
                <w:szCs w:val="12"/>
                <w:color w:val="auto"/>
              </w:rPr>
              <w:t>rd</w:t>
            </w:r>
            <w:r>
              <w:rPr>
                <w:rFonts w:ascii="Arial" w:cs="Arial" w:eastAsia="Arial" w:hAnsi="Arial"/>
                <w:sz w:val="14"/>
                <w:szCs w:val="14"/>
                <w:color w:val="auto"/>
              </w:rPr>
              <w:t xml:space="preserve"> quartile) and 150% payout (1</w:t>
            </w:r>
            <w:r>
              <w:rPr>
                <w:rFonts w:ascii="Arial" w:cs="Arial" w:eastAsia="Arial" w:hAnsi="Arial"/>
                <w:sz w:val="12"/>
                <w:szCs w:val="12"/>
                <w:color w:val="auto"/>
              </w:rPr>
              <w:t>st</w:t>
            </w:r>
            <w:r>
              <w:rPr>
                <w:rFonts w:ascii="Arial" w:cs="Arial" w:eastAsia="Arial" w:hAnsi="Arial"/>
                <w:sz w:val="14"/>
                <w:szCs w:val="14"/>
                <w:color w:val="auto"/>
              </w:rPr>
              <w:t xml:space="preserve"> quartile). No payout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20" w:type="dxa"/>
            <w:vAlign w:val="bottom"/>
            <w:gridSpan w:val="3"/>
          </w:tcPr>
          <w:p>
            <w:pPr>
              <w:ind w:left="60"/>
              <w:spacing w:after="0"/>
              <w:rPr>
                <w:sz w:val="20"/>
                <w:szCs w:val="20"/>
                <w:color w:val="auto"/>
              </w:rPr>
            </w:pPr>
            <w:r>
              <w:rPr>
                <w:rFonts w:ascii="Arial" w:cs="Arial" w:eastAsia="Arial" w:hAnsi="Arial"/>
                <w:sz w:val="14"/>
                <w:szCs w:val="14"/>
                <w:color w:val="auto"/>
              </w:rPr>
              <w:t>in the 4</w:t>
            </w:r>
            <w:r>
              <w:rPr>
                <w:rFonts w:ascii="Arial" w:cs="Arial" w:eastAsia="Arial" w:hAnsi="Arial"/>
                <w:sz w:val="12"/>
                <w:szCs w:val="12"/>
                <w:color w:val="auto"/>
              </w:rPr>
              <w:t>th</w:t>
            </w:r>
            <w:r>
              <w:rPr>
                <w:rFonts w:ascii="Arial" w:cs="Arial" w:eastAsia="Arial" w:hAnsi="Arial"/>
                <w:sz w:val="14"/>
                <w:szCs w:val="14"/>
                <w:color w:val="auto"/>
              </w:rPr>
              <w:t xml:space="preserve"> quartile.</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20"/>
        <w:spacing w:after="0" w:line="253" w:lineRule="auto"/>
        <w:rPr>
          <w:sz w:val="20"/>
          <w:szCs w:val="20"/>
          <w:color w:val="auto"/>
        </w:rPr>
      </w:pPr>
      <w:r>
        <w:rPr>
          <w:rFonts w:ascii="Arial" w:cs="Arial" w:eastAsia="Arial" w:hAnsi="Arial"/>
          <w:sz w:val="14"/>
          <w:szCs w:val="14"/>
          <w:color w:val="auto"/>
        </w:rPr>
        <w:t>*For the Company and each of its 2018 disclosed proxy peers, the three-year relative total shareholder return will be calculated as the percentage change in the 30-day trailing volume-weighted average closing stock price at February 2, 2018 and January 29, 2021, adjusted for any dividends received.</w:t>
      </w:r>
    </w:p>
    <w:p>
      <w:pPr>
        <w:spacing w:after="0" w:line="70"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color w:val="auto"/>
        </w:rPr>
        <w:t>For the 2018-2020 Performance Period, the metrics reflect the Company’s primary objective of returning to profitability and driving shareholder return. As with our 2018 AIP and 2017-2018 LTIP, we will disclose our targets under the 2018-2020 LTIP once the performance period has ended.</w:t>
      </w:r>
    </w:p>
    <w:p>
      <w:pPr>
        <w:spacing w:after="0" w:line="34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60"/>
          </w:cols>
          <w:pgMar w:left="1000" w:top="341" w:right="239" w:bottom="1440" w:gutter="0" w:footer="0" w:header="0"/>
        </w:sectPr>
      </w:pPr>
    </w:p>
    <w:bookmarkStart w:id="25" w:name="page26"/>
    <w:bookmarkEnd w:id="25"/>
    <w:p>
      <w:pPr>
        <w:ind w:left="780" w:right="20"/>
        <w:spacing w:after="0" w:line="277" w:lineRule="auto"/>
        <w:rPr>
          <w:sz w:val="20"/>
          <w:szCs w:val="20"/>
          <w:color w:val="auto"/>
        </w:rPr>
      </w:pPr>
      <w:r>
        <w:rPr>
          <w:rFonts w:ascii="Arial" w:cs="Arial" w:eastAsia="Arial" w:hAnsi="Arial"/>
          <w:sz w:val="18"/>
          <w:szCs w:val="18"/>
          <w:color w:val="auto"/>
        </w:rPr>
        <w:t>The following table illustrates the components of the LTIP with the respective vesting dates, illustrating that the time-based portion of the LTIP acts as a retention tool:</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gridSpan w:val="6"/>
          </w:tcPr>
          <w:p>
            <w:pPr>
              <w:jc w:val="right"/>
              <w:ind w:right="100"/>
              <w:spacing w:after="0"/>
              <w:rPr>
                <w:sz w:val="20"/>
                <w:szCs w:val="20"/>
                <w:color w:val="auto"/>
              </w:rPr>
            </w:pPr>
            <w:r>
              <w:rPr>
                <w:rFonts w:ascii="Arial" w:cs="Arial" w:eastAsia="Arial" w:hAnsi="Arial"/>
                <w:sz w:val="16"/>
                <w:szCs w:val="16"/>
                <w:color w:val="auto"/>
                <w:w w:val="91"/>
              </w:rPr>
              <w:t>Vesting of Awards by Fiscal Year:</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2"/>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 of</w:t>
            </w:r>
          </w:p>
        </w:tc>
        <w:tc>
          <w:tcPr>
            <w:tcW w:w="660" w:type="dxa"/>
            <w:vAlign w:val="bottom"/>
            <w:gridSpan w:val="2"/>
          </w:tcPr>
          <w:p>
            <w:pPr>
              <w:ind w:left="80"/>
              <w:spacing w:after="0"/>
              <w:rPr>
                <w:sz w:val="20"/>
                <w:szCs w:val="20"/>
                <w:color w:val="auto"/>
              </w:rPr>
            </w:pPr>
            <w:r>
              <w:rPr>
                <w:rFonts w:ascii="Arial" w:cs="Arial" w:eastAsia="Arial" w:hAnsi="Arial"/>
                <w:sz w:val="16"/>
                <w:szCs w:val="16"/>
                <w:color w:val="auto"/>
              </w:rPr>
              <w:t>Fiscal</w:t>
            </w:r>
          </w:p>
        </w:tc>
        <w:tc>
          <w:tcPr>
            <w:tcW w:w="760" w:type="dxa"/>
            <w:vAlign w:val="bottom"/>
            <w:gridSpan w:val="2"/>
          </w:tcPr>
          <w:p>
            <w:pPr>
              <w:jc w:val="right"/>
              <w:ind w:right="280"/>
              <w:spacing w:after="0"/>
              <w:rPr>
                <w:sz w:val="20"/>
                <w:szCs w:val="20"/>
                <w:color w:val="auto"/>
              </w:rPr>
            </w:pPr>
            <w:r>
              <w:rPr>
                <w:rFonts w:ascii="Arial" w:cs="Arial" w:eastAsia="Arial" w:hAnsi="Arial"/>
                <w:sz w:val="16"/>
                <w:szCs w:val="16"/>
                <w:color w:val="auto"/>
              </w:rPr>
              <w:t>Fiscal</w:t>
            </w:r>
          </w:p>
        </w:tc>
        <w:tc>
          <w:tcPr>
            <w:tcW w:w="780" w:type="dxa"/>
            <w:vAlign w:val="bottom"/>
            <w:gridSpan w:val="2"/>
          </w:tcPr>
          <w:p>
            <w:pPr>
              <w:jc w:val="right"/>
              <w:ind w:right="320"/>
              <w:spacing w:after="0"/>
              <w:rPr>
                <w:sz w:val="20"/>
                <w:szCs w:val="20"/>
                <w:color w:val="auto"/>
              </w:rPr>
            </w:pPr>
            <w:r>
              <w:rPr>
                <w:rFonts w:ascii="Arial" w:cs="Arial" w:eastAsia="Arial" w:hAnsi="Arial"/>
                <w:sz w:val="16"/>
                <w:szCs w:val="16"/>
                <w:color w:val="auto"/>
              </w:rPr>
              <w:t>Fiscal</w:t>
            </w:r>
          </w:p>
        </w:tc>
        <w:tc>
          <w:tcPr>
            <w:tcW w:w="780" w:type="dxa"/>
            <w:vAlign w:val="bottom"/>
            <w:gridSpan w:val="2"/>
          </w:tcPr>
          <w:p>
            <w:pPr>
              <w:jc w:val="right"/>
              <w:ind w:right="300"/>
              <w:spacing w:after="0"/>
              <w:rPr>
                <w:sz w:val="20"/>
                <w:szCs w:val="20"/>
                <w:color w:val="auto"/>
              </w:rPr>
            </w:pPr>
            <w:r>
              <w:rPr>
                <w:rFonts w:ascii="Arial" w:cs="Arial" w:eastAsia="Arial" w:hAnsi="Arial"/>
                <w:sz w:val="16"/>
                <w:szCs w:val="16"/>
                <w:color w:val="auto"/>
              </w:rPr>
              <w:t>Fiscal</w:t>
            </w:r>
          </w:p>
        </w:tc>
        <w:tc>
          <w:tcPr>
            <w:tcW w:w="7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Fiscal</w:t>
            </w:r>
          </w:p>
        </w:tc>
      </w:tr>
      <w:tr>
        <w:trPr>
          <w:trHeight w:val="209"/>
        </w:trPr>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Approval date</w:t>
            </w:r>
          </w:p>
        </w:tc>
        <w:tc>
          <w:tcPr>
            <w:tcW w:w="60" w:type="dxa"/>
            <w:vAlign w:val="bottom"/>
            <w:tcBorders>
              <w:bottom w:val="single" w:sz="8" w:color="CFF0FC"/>
            </w:tcBorders>
          </w:tcPr>
          <w:p>
            <w:pPr>
              <w:spacing w:after="0"/>
              <w:rPr>
                <w:sz w:val="18"/>
                <w:szCs w:val="18"/>
                <w:color w:val="auto"/>
              </w:rPr>
            </w:pPr>
          </w:p>
        </w:tc>
        <w:tc>
          <w:tcPr>
            <w:tcW w:w="5340" w:type="dxa"/>
            <w:vAlign w:val="bottom"/>
            <w:tcBorders>
              <w:bottom w:val="single" w:sz="8" w:color="auto"/>
            </w:tcBorders>
          </w:tcPr>
          <w:p>
            <w:pPr>
              <w:ind w:left="2020"/>
              <w:spacing w:after="0"/>
              <w:rPr>
                <w:sz w:val="20"/>
                <w:szCs w:val="20"/>
                <w:color w:val="auto"/>
              </w:rPr>
            </w:pPr>
            <w:r>
              <w:rPr>
                <w:rFonts w:ascii="Arial" w:cs="Arial" w:eastAsia="Arial" w:hAnsi="Arial"/>
                <w:sz w:val="16"/>
                <w:szCs w:val="16"/>
                <w:color w:val="auto"/>
              </w:rPr>
              <w:t>Performance Period</w:t>
            </w:r>
          </w:p>
        </w:tc>
        <w:tc>
          <w:tcPr>
            <w:tcW w:w="8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total award</w:t>
            </w:r>
          </w:p>
        </w:tc>
        <w:tc>
          <w:tcPr>
            <w:tcW w:w="24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2018</w:t>
            </w:r>
          </w:p>
        </w:tc>
        <w:tc>
          <w:tcPr>
            <w:tcW w:w="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FF0FC"/>
            </w:tcBorders>
          </w:tcPr>
          <w:p>
            <w:pPr>
              <w:spacing w:after="0"/>
              <w:rPr>
                <w:sz w:val="18"/>
                <w:szCs w:val="18"/>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2021</w:t>
            </w:r>
          </w:p>
        </w:tc>
        <w:tc>
          <w:tcPr>
            <w:tcW w:w="16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2022</w:t>
            </w:r>
          </w:p>
        </w:tc>
        <w:tc>
          <w:tcPr>
            <w:tcW w:w="180" w:type="dxa"/>
            <w:vAlign w:val="bottom"/>
            <w:tcBorders>
              <w:bottom w:val="single" w:sz="8" w:color="CFF0FC"/>
            </w:tcBorders>
          </w:tcPr>
          <w:p>
            <w:pPr>
              <w:spacing w:after="0"/>
              <w:rPr>
                <w:sz w:val="18"/>
                <w:szCs w:val="18"/>
                <w:color w:val="auto"/>
              </w:rPr>
            </w:pPr>
          </w:p>
        </w:tc>
      </w:tr>
      <w:tr>
        <w:trPr>
          <w:trHeight w:val="213"/>
        </w:trPr>
        <w:tc>
          <w:tcPr>
            <w:tcW w:w="1100" w:type="dxa"/>
            <w:vAlign w:val="bottom"/>
            <w:shd w:val="clear" w:color="auto" w:fill="CFF0FC"/>
          </w:tcPr>
          <w:p>
            <w:pPr>
              <w:spacing w:after="0"/>
              <w:rPr>
                <w:sz w:val="20"/>
                <w:szCs w:val="20"/>
                <w:color w:val="auto"/>
              </w:rPr>
            </w:pPr>
            <w:r>
              <w:rPr>
                <w:rFonts w:ascii="Arial" w:cs="Arial" w:eastAsia="Arial" w:hAnsi="Arial"/>
                <w:sz w:val="16"/>
                <w:szCs w:val="16"/>
                <w:color w:val="auto"/>
              </w:rPr>
              <w:t>3/31/2017</w:t>
            </w:r>
          </w:p>
        </w:tc>
        <w:tc>
          <w:tcPr>
            <w:tcW w:w="60" w:type="dxa"/>
            <w:vAlign w:val="bottom"/>
            <w:shd w:val="clear" w:color="auto" w:fill="CFF0FC"/>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2017-2018 LTIP</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2"/>
          </w:tcPr>
          <w:p>
            <w:pPr>
              <w:ind w:left="120"/>
              <w:spacing w:after="0"/>
              <w:rPr>
                <w:sz w:val="20"/>
                <w:szCs w:val="20"/>
                <w:color w:val="auto"/>
              </w:rPr>
            </w:pPr>
            <w:r>
              <w:rPr>
                <w:rFonts w:ascii="Arial" w:cs="Arial" w:eastAsia="Arial" w:hAnsi="Arial"/>
                <w:sz w:val="16"/>
                <w:szCs w:val="16"/>
                <w:color w:val="auto"/>
              </w:rPr>
              <w:t>Time-Based Awards - vest April 1, subject to forfeiture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tcPr>
          <w:p>
            <w:pPr>
              <w:ind w:left="260"/>
              <w:spacing w:after="0"/>
              <w:rPr>
                <w:sz w:val="20"/>
                <w:szCs w:val="20"/>
                <w:color w:val="auto"/>
              </w:rPr>
            </w:pPr>
            <w:r>
              <w:rPr>
                <w:rFonts w:ascii="Arial" w:cs="Arial" w:eastAsia="Arial" w:hAnsi="Arial"/>
                <w:sz w:val="16"/>
                <w:szCs w:val="16"/>
                <w:color w:val="auto"/>
              </w:rPr>
              <w:t>—</w:t>
            </w:r>
          </w:p>
        </w:tc>
      </w:tr>
      <w:tr>
        <w:trPr>
          <w:trHeight w:val="219"/>
        </w:trPr>
        <w:tc>
          <w:tcPr>
            <w:tcW w:w="1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4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Performance-Based Awards - vest August 31, if achieved</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100" w:type="dxa"/>
            <w:vAlign w:val="bottom"/>
            <w:shd w:val="clear" w:color="auto" w:fill="CFF0FC"/>
          </w:tcPr>
          <w:p>
            <w:pPr>
              <w:spacing w:after="0"/>
              <w:rPr>
                <w:sz w:val="20"/>
                <w:szCs w:val="20"/>
                <w:color w:val="auto"/>
              </w:rPr>
            </w:pPr>
            <w:r>
              <w:rPr>
                <w:rFonts w:ascii="Arial" w:cs="Arial" w:eastAsia="Arial" w:hAnsi="Arial"/>
                <w:sz w:val="16"/>
                <w:szCs w:val="16"/>
                <w:color w:val="auto"/>
              </w:rPr>
              <w:t>10/24/2018</w:t>
            </w:r>
          </w:p>
        </w:tc>
        <w:tc>
          <w:tcPr>
            <w:tcW w:w="60" w:type="dxa"/>
            <w:vAlign w:val="bottom"/>
            <w:shd w:val="clear" w:color="auto" w:fill="CFF0FC"/>
          </w:tcPr>
          <w:p>
            <w:pPr>
              <w:spacing w:after="0"/>
              <w:rPr>
                <w:sz w:val="18"/>
                <w:szCs w:val="18"/>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2018-2020 LTIP</w:t>
            </w: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2"/>
          </w:tcPr>
          <w:p>
            <w:pPr>
              <w:ind w:left="120"/>
              <w:spacing w:after="0" w:line="216" w:lineRule="exact"/>
              <w:rPr>
                <w:sz w:val="20"/>
                <w:szCs w:val="20"/>
                <w:color w:val="auto"/>
              </w:rPr>
            </w:pPr>
            <w:r>
              <w:rPr>
                <w:rFonts w:ascii="Arial" w:cs="Arial" w:eastAsia="Arial" w:hAnsi="Arial"/>
                <w:sz w:val="15"/>
                <w:szCs w:val="15"/>
                <w:color w:val="auto"/>
              </w:rPr>
              <w:t>Time-Based Awards - vest April 1</w:t>
            </w:r>
            <w:r>
              <w:rPr>
                <w:rFonts w:ascii="Arial" w:cs="Arial" w:eastAsia="Arial" w:hAnsi="Arial"/>
                <w:sz w:val="25"/>
                <w:szCs w:val="25"/>
                <w:color w:val="auto"/>
                <w:vertAlign w:val="superscript"/>
              </w:rPr>
              <w:t>(1)</w:t>
            </w:r>
            <w:r>
              <w:rPr>
                <w:rFonts w:ascii="Arial" w:cs="Arial" w:eastAsia="Arial" w:hAnsi="Arial"/>
                <w:sz w:val="15"/>
                <w:szCs w:val="15"/>
                <w:color w:val="auto"/>
              </w:rPr>
              <w:t>, subject to forfeiture</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50%</w:t>
            </w:r>
          </w:p>
        </w:tc>
        <w:tc>
          <w:tcPr>
            <w:tcW w:w="66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r>
      <w:tr>
        <w:trPr>
          <w:trHeight w:val="216"/>
        </w:trPr>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42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Performance-Based Awards - vest August 31, if achieved</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w:t>
            </w:r>
          </w:p>
        </w:tc>
        <w:tc>
          <w:tcPr>
            <w:tcW w:w="66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w:t>
            </w:r>
          </w:p>
        </w:tc>
        <w:tc>
          <w:tcPr>
            <w:tcW w:w="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160" w:hanging="382"/>
        <w:spacing w:after="0"/>
        <w:tabs>
          <w:tab w:leader="none" w:pos="1160" w:val="left"/>
        </w:tabs>
        <w:numPr>
          <w:ilvl w:val="1"/>
          <w:numId w:val="23"/>
        </w:numPr>
        <w:rPr>
          <w:rFonts w:ascii="Arial" w:cs="Arial" w:eastAsia="Arial" w:hAnsi="Arial"/>
          <w:sz w:val="14"/>
          <w:szCs w:val="14"/>
          <w:color w:val="auto"/>
        </w:rPr>
      </w:pPr>
      <w:r>
        <w:rPr>
          <w:rFonts w:ascii="Arial" w:cs="Arial" w:eastAsia="Arial" w:hAnsi="Arial"/>
          <w:sz w:val="14"/>
          <w:szCs w:val="14"/>
          <w:color w:val="auto"/>
        </w:rPr>
        <w:t>The first tranche of time-based awards vest on the later of April 1 following the end of the first year of the performance period or one year from the date of grant.</w:t>
      </w:r>
    </w:p>
    <w:p>
      <w:pPr>
        <w:spacing w:after="0" w:line="208" w:lineRule="exact"/>
        <w:rPr>
          <w:rFonts w:ascii="Arial" w:cs="Arial" w:eastAsia="Arial" w:hAnsi="Arial"/>
          <w:sz w:val="14"/>
          <w:szCs w:val="14"/>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117"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In particular circumstances, we may utilize cash signing bonuses and equity-based awards when certain employees join the Company.</w:t>
      </w:r>
    </w:p>
    <w:p>
      <w:pPr>
        <w:spacing w:after="0" w:line="128" w:lineRule="exact"/>
        <w:rPr>
          <w:rFonts w:ascii="Arial" w:cs="Arial" w:eastAsia="Arial" w:hAnsi="Arial"/>
          <w:sz w:val="18"/>
          <w:szCs w:val="18"/>
          <w:color w:val="auto"/>
        </w:rPr>
      </w:pPr>
    </w:p>
    <w:p>
      <w:pPr>
        <w:ind w:left="780" w:right="380"/>
        <w:spacing w:after="0" w:line="277" w:lineRule="auto"/>
        <w:rPr>
          <w:rFonts w:ascii="Arial" w:cs="Arial" w:eastAsia="Arial" w:hAnsi="Arial"/>
          <w:sz w:val="18"/>
          <w:szCs w:val="18"/>
          <w:color w:val="auto"/>
        </w:rPr>
      </w:pPr>
      <w:r>
        <w:rPr>
          <w:rFonts w:ascii="Arial" w:cs="Arial" w:eastAsia="Arial" w:hAnsi="Arial"/>
          <w:sz w:val="18"/>
          <w:szCs w:val="18"/>
          <w:color w:val="auto"/>
        </w:rPr>
        <w:t>With the exception of the grant of equity awards to Mr. Davey in connection with his hiring, there were no discretionary cash or equity awards granted to our Named Executive Officers in fiscal 2018.</w:t>
      </w:r>
    </w:p>
    <w:p>
      <w:pPr>
        <w:spacing w:after="0" w:line="62"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117" w:lineRule="exact"/>
        <w:rPr>
          <w:rFonts w:ascii="Arial" w:cs="Arial" w:eastAsia="Arial" w:hAnsi="Arial"/>
          <w:sz w:val="18"/>
          <w:szCs w:val="18"/>
          <w:color w:val="auto"/>
        </w:rPr>
      </w:pPr>
    </w:p>
    <w:p>
      <w:pPr>
        <w:ind w:left="780" w:right="100"/>
        <w:spacing w:after="0" w:line="277" w:lineRule="auto"/>
        <w:rPr>
          <w:rFonts w:ascii="Arial" w:cs="Arial" w:eastAsia="Arial" w:hAnsi="Arial"/>
          <w:sz w:val="18"/>
          <w:szCs w:val="18"/>
          <w:color w:val="auto"/>
        </w:rPr>
      </w:pPr>
      <w:r>
        <w:rPr>
          <w:rFonts w:ascii="Arial" w:cs="Arial" w:eastAsia="Arial" w:hAnsi="Arial"/>
          <w:sz w:val="18"/>
          <w:szCs w:val="18"/>
          <w:color w:val="auto"/>
        </w:rPr>
        <w:t>In addition to our life insurance programs available to all of our employees, we also paid the insurance premium for an additional $2.0 million life insurance policy for Mr. Levin to the benefit of his designated beneficiaries.</w:t>
      </w:r>
    </w:p>
    <w:p>
      <w:pPr>
        <w:spacing w:after="0" w:line="62" w:lineRule="exact"/>
        <w:rPr>
          <w:rFonts w:ascii="Arial" w:cs="Arial" w:eastAsia="Arial" w:hAnsi="Arial"/>
          <w:sz w:val="18"/>
          <w:szCs w:val="18"/>
          <w:color w:val="auto"/>
        </w:rPr>
      </w:pPr>
    </w:p>
    <w:p>
      <w:pPr>
        <w:ind w:left="780" w:right="20"/>
        <w:spacing w:after="0" w:line="277" w:lineRule="auto"/>
        <w:rPr>
          <w:rFonts w:ascii="Arial" w:cs="Arial" w:eastAsia="Arial" w:hAnsi="Arial"/>
          <w:sz w:val="18"/>
          <w:szCs w:val="18"/>
          <w:color w:val="auto"/>
        </w:rPr>
      </w:pPr>
      <w:r>
        <w:rPr>
          <w:rFonts w:ascii="Arial" w:cs="Arial" w:eastAsia="Arial" w:hAnsi="Arial"/>
          <w:sz w:val="18"/>
          <w:szCs w:val="18"/>
          <w:color w:val="auto"/>
        </w:rPr>
        <w:t>We offer our senior executives, including our Named Executive Officers, supplemental disability insurance and long-term care and pay a portion of the premiums, which we do not do for our other employees.</w:t>
      </w:r>
    </w:p>
    <w:p>
      <w:pPr>
        <w:spacing w:after="0" w:line="62" w:lineRule="exact"/>
        <w:rPr>
          <w:rFonts w:ascii="Arial" w:cs="Arial" w:eastAsia="Arial" w:hAnsi="Arial"/>
          <w:sz w:val="18"/>
          <w:szCs w:val="18"/>
          <w:color w:val="auto"/>
        </w:rPr>
      </w:pPr>
    </w:p>
    <w:p>
      <w:pPr>
        <w:ind w:left="780" w:right="160"/>
        <w:spacing w:after="0" w:line="277" w:lineRule="auto"/>
        <w:rPr>
          <w:rFonts w:ascii="Arial" w:cs="Arial" w:eastAsia="Arial" w:hAnsi="Arial"/>
          <w:sz w:val="18"/>
          <w:szCs w:val="18"/>
          <w:color w:val="auto"/>
        </w:rPr>
      </w:pPr>
      <w:r>
        <w:rPr>
          <w:rFonts w:ascii="Arial" w:cs="Arial" w:eastAsia="Arial" w:hAnsi="Arial"/>
          <w:sz w:val="18"/>
          <w:szCs w:val="18"/>
          <w:color w:val="auto"/>
        </w:rPr>
        <w:t>Our Named Executive Officers also receive benefits under certain group health, long-term disability and life insurance plans, which are generally available to all of our eligible employees.</w:t>
      </w:r>
    </w:p>
    <w:p>
      <w:pPr>
        <w:spacing w:after="0" w:line="62" w:lineRule="exact"/>
        <w:rPr>
          <w:rFonts w:ascii="Arial" w:cs="Arial" w:eastAsia="Arial" w:hAnsi="Arial"/>
          <w:sz w:val="18"/>
          <w:szCs w:val="18"/>
          <w:color w:val="auto"/>
        </w:rPr>
      </w:pPr>
    </w:p>
    <w:p>
      <w:pPr>
        <w:ind w:left="780" w:right="120"/>
        <w:spacing w:after="0" w:line="255" w:lineRule="auto"/>
        <w:rPr>
          <w:rFonts w:ascii="Arial" w:cs="Arial" w:eastAsia="Arial" w:hAnsi="Arial"/>
          <w:sz w:val="18"/>
          <w:szCs w:val="18"/>
          <w:color w:val="auto"/>
        </w:rPr>
      </w:pPr>
      <w:r>
        <w:rPr>
          <w:rFonts w:ascii="Arial" w:cs="Arial" w:eastAsia="Arial" w:hAnsi="Arial"/>
          <w:sz w:val="18"/>
          <w:szCs w:val="18"/>
          <w:color w:val="auto"/>
        </w:rPr>
        <w:t>After six months of service with us, all of our employees, including our Named Executive Officers, are eligible to participate in our 401(k) Plan, and after one year of employment are eligible for a Company match. Historically, our employees have been eligible to receive a Company match, which matched 100% of the first 1% of deferred compensation and 50% of the next 5% (with a maximum contribution of 3.5% of eligible compensation). In May 2018, in connection with our cost reduction initiatives, the Board of Directors ratified and approved the recommendation of our management team to suspend any further employer contributions to the 401(k) Plan, effective July 1, 2018, until the end of calendar year 2019 at the latest.</w:t>
      </w:r>
    </w:p>
    <w:p>
      <w:pPr>
        <w:spacing w:after="0" w:line="85" w:lineRule="exact"/>
        <w:rPr>
          <w:rFonts w:ascii="Arial" w:cs="Arial" w:eastAsia="Arial" w:hAnsi="Arial"/>
          <w:sz w:val="18"/>
          <w:szCs w:val="18"/>
          <w:color w:val="auto"/>
        </w:rPr>
      </w:pPr>
    </w:p>
    <w:p>
      <w:pPr>
        <w:ind w:left="780" w:right="60"/>
        <w:spacing w:after="0" w:line="276" w:lineRule="auto"/>
        <w:rPr>
          <w:rFonts w:ascii="Arial" w:cs="Arial" w:eastAsia="Arial" w:hAnsi="Arial"/>
          <w:sz w:val="18"/>
          <w:szCs w:val="18"/>
          <w:color w:val="auto"/>
        </w:rPr>
      </w:pPr>
      <w:r>
        <w:rPr>
          <w:rFonts w:ascii="Arial" w:cs="Arial" w:eastAsia="Arial" w:hAnsi="Arial"/>
          <w:sz w:val="17"/>
          <w:szCs w:val="17"/>
          <w:color w:val="auto"/>
        </w:rPr>
        <w:t>We have employment agreements with our CEO and all of our other Named Executive Officers. Upon termination of employment, each executive is entitled to receive severance payments under his or her employment agreement(s) and under the Company’s incentive programs in the event of a termination without justifiable cause. These employment agreements and incentive programs, as they relate to terminations, are discussed in detail below in the section “</w:t>
      </w:r>
      <w:r>
        <w:rPr>
          <w:rFonts w:ascii="Arial" w:cs="Arial" w:eastAsia="Arial" w:hAnsi="Arial"/>
          <w:sz w:val="17"/>
          <w:szCs w:val="17"/>
          <w:i w:val="1"/>
          <w:iCs w:val="1"/>
          <w:color w:val="auto"/>
        </w:rPr>
        <w:t>Employment Agreements</w:t>
      </w:r>
      <w:r>
        <w:rPr>
          <w:rFonts w:ascii="Arial" w:cs="Arial" w:eastAsia="Arial" w:hAnsi="Arial"/>
          <w:sz w:val="17"/>
          <w:szCs w:val="17"/>
          <w:color w:val="auto"/>
        </w:rPr>
        <w:t>” following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Our employment agreements do not contain any tax gross-ups pursuant to Section 280(g) of the Internal Revenue Code.</w:t>
      </w:r>
    </w:p>
    <w:p>
      <w:pPr>
        <w:spacing w:after="0" w:line="64" w:lineRule="exact"/>
        <w:rPr>
          <w:rFonts w:ascii="Arial" w:cs="Arial" w:eastAsia="Arial" w:hAnsi="Arial"/>
          <w:sz w:val="18"/>
          <w:szCs w:val="18"/>
          <w:color w:val="auto"/>
        </w:rPr>
      </w:pPr>
    </w:p>
    <w:p>
      <w:pPr>
        <w:ind w:left="780" w:hanging="259"/>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117" w:lineRule="exact"/>
        <w:rPr>
          <w:rFonts w:ascii="Arial" w:cs="Arial" w:eastAsia="Arial" w:hAnsi="Arial"/>
          <w:sz w:val="18"/>
          <w:szCs w:val="18"/>
          <w:color w:val="auto"/>
        </w:rPr>
      </w:pPr>
    </w:p>
    <w:p>
      <w:pPr>
        <w:ind w:left="780"/>
        <w:spacing w:after="0" w:line="288" w:lineRule="auto"/>
        <w:rPr>
          <w:rFonts w:ascii="Arial" w:cs="Arial" w:eastAsia="Arial" w:hAnsi="Arial"/>
          <w:sz w:val="18"/>
          <w:szCs w:val="18"/>
          <w:color w:val="auto"/>
        </w:rPr>
      </w:pPr>
      <w:r>
        <w:rPr>
          <w:rFonts w:ascii="Arial" w:cs="Arial" w:eastAsia="Arial" w:hAnsi="Arial"/>
          <w:sz w:val="16"/>
          <w:szCs w:val="16"/>
          <w:color w:val="auto"/>
        </w:rPr>
        <w:t>Prior to the passage of the Tax Cut and Jobs Act of 2017 (“Tax Act”), Section 162(m) of the Internal Revenue Code of 1986, as amended, generally disallowed a tax deduction for compensation in excess of $1.0 million a year to certain officers, including the Chief Executive Officer, unless such excess compensation qualified as “performance-based compensation.” The Tax Act, among other things, repealed the performance-based compensation exemption with respect to taxable years beginning after December 31, 2017, subject to certain transition rules. In addition, the Tax Act expanded the group of officers whose compensation is subject to the Section 162(m) deduction limitations. Accordingly, other than with respect to certain grandfathered compensation, the $1.0 million deduction limitation now applies to (i) anyone serving as the Company’s Chief Executive Officer or Chief Financial Officer at any time during the taxable year, (ii) the top three other highest compensated executive officers of the Company serving at the end of the taxable year and (iii) any individual who had been a covered employee for any taxable year of the Company that started after December 31, 2016. We previously considered the effect of Section 162(m) when structuring our executive compensation and, when feasible, complied with exemptions in Section 162(m) so that the compensation remained tax deductible to us.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p>
      <w:pPr>
        <w:ind w:left="3980"/>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289"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The Compensation Committee</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Willem Mesdag, Chairman</w:t>
      </w:r>
    </w:p>
    <w:p>
      <w:pPr>
        <w:spacing w:after="0" w:line="22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Lionel F. Conacher</w:t>
      </w:r>
    </w:p>
    <w:p>
      <w:pPr>
        <w:spacing w:after="0" w:line="225"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Mitchell S. Presser</w:t>
      </w:r>
    </w:p>
    <w:p>
      <w:pPr>
        <w:spacing w:after="0" w:line="200" w:lineRule="exact"/>
        <w:rPr>
          <w:sz w:val="20"/>
          <w:szCs w:val="20"/>
          <w:color w:val="auto"/>
        </w:rPr>
      </w:pPr>
    </w:p>
    <w:p>
      <w:pPr>
        <w:spacing w:after="0" w:line="24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Ward K. Mooney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20"/>
          </w:cols>
          <w:pgMar w:left="240" w:top="553" w:right="639" w:bottom="1440" w:gutter="0" w:footer="0" w:header="0"/>
        </w:sectPr>
      </w:pPr>
    </w:p>
    <w:bookmarkStart w:id="27" w:name="page28"/>
    <w:bookmarkEnd w:id="27"/>
    <w:p>
      <w:pPr>
        <w:ind w:right="280"/>
        <w:spacing w:after="0" w:line="277" w:lineRule="auto"/>
        <w:rPr>
          <w:sz w:val="20"/>
          <w:szCs w:val="20"/>
          <w:color w:val="auto"/>
        </w:rPr>
      </w:pPr>
      <w:r>
        <w:rPr>
          <w:rFonts w:ascii="Arial" w:cs="Arial" w:eastAsia="Arial" w:hAnsi="Arial"/>
          <w:sz w:val="18"/>
          <w:szCs w:val="18"/>
          <w:i w:val="1"/>
          <w:iCs w:val="1"/>
          <w:color w:val="auto"/>
        </w:rPr>
        <w:t xml:space="preserve">Summary Compensation Table. </w:t>
      </w:r>
      <w:r>
        <w:rPr>
          <w:rFonts w:ascii="Arial" w:cs="Arial" w:eastAsia="Arial" w:hAnsi="Arial"/>
          <w:sz w:val="18"/>
          <w:szCs w:val="18"/>
          <w:color w:val="auto"/>
        </w:rPr>
        <w:t>The following Summary Compensation Table sets forth certain information regarding compensation paid or accrued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our "Named Executive Officers" for fiscal 2018.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Stock</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6"/>
              </w:rPr>
              <w:t>Option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All Other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Awards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3"/>
              </w:rPr>
              <w:t>Awards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Year</w:t>
            </w:r>
          </w:p>
        </w:tc>
        <w:tc>
          <w:tcPr>
            <w:tcW w:w="240" w:type="dxa"/>
            <w:vAlign w:val="bottom"/>
            <w:tcBorders>
              <w:bottom w:val="single" w:sz="8" w:color="CFF0FC"/>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 xml:space="preserve">Salary </w:t>
            </w:r>
            <w:r>
              <w:rPr>
                <w:rFonts w:ascii="Arial" w:cs="Arial" w:eastAsia="Arial" w:hAnsi="Arial"/>
                <w:sz w:val="16"/>
                <w:szCs w:val="16"/>
                <w:b w:val="1"/>
                <w:bCs w:val="1"/>
                <w:u w:val="single" w:color="auto"/>
                <w:color w:val="auto"/>
                <w:w w:val="97"/>
              </w:rPr>
              <w:t>($</w:t>
            </w:r>
            <w:r>
              <w:rPr>
                <w:rFonts w:ascii="Arial" w:cs="Arial" w:eastAsia="Arial" w:hAnsi="Arial"/>
                <w:sz w:val="16"/>
                <w:szCs w:val="16"/>
                <w:b w:val="1"/>
                <w:bCs w:val="1"/>
                <w:color w:val="auto"/>
                <w:w w:val="97"/>
              </w:rPr>
              <w:t>)</w:t>
            </w:r>
          </w:p>
        </w:tc>
        <w:tc>
          <w:tcPr>
            <w:tcW w:w="10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4"/>
              </w:rPr>
              <w:t>Bonus ($)</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 (1) (2)</w:t>
            </w:r>
          </w:p>
        </w:tc>
        <w:tc>
          <w:tcPr>
            <w:tcW w:w="12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(1) (2)</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($)(3)</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7"/>
              </w:rPr>
              <w:t>($)(4)</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6"/>
              </w:rPr>
              <w:t>Total ($)</w:t>
            </w:r>
          </w:p>
        </w:tc>
        <w:tc>
          <w:tcPr>
            <w:tcW w:w="100" w:type="dxa"/>
            <w:vAlign w:val="bottom"/>
            <w:tcBorders>
              <w:bottom w:val="single" w:sz="8" w:color="CFF0FC"/>
            </w:tcBorders>
          </w:tcPr>
          <w:p>
            <w:pPr>
              <w:spacing w:after="0"/>
              <w:rPr>
                <w:sz w:val="18"/>
                <w:szCs w:val="18"/>
                <w:color w:val="auto"/>
              </w:rPr>
            </w:pPr>
          </w:p>
        </w:tc>
      </w:tr>
      <w:tr>
        <w:trPr>
          <w:trHeight w:val="207"/>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David A. Levin</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2018</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811,200</w:t>
            </w: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506,998</w:t>
            </w: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867,173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258,418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2,443,789</w:t>
            </w:r>
          </w:p>
        </w:tc>
        <w:tc>
          <w:tcPr>
            <w:tcW w:w="100" w:type="dxa"/>
            <w:vAlign w:val="bottom"/>
            <w:shd w:val="clear" w:color="auto" w:fill="CFF0FC"/>
          </w:tcPr>
          <w:p>
            <w:pPr>
              <w:spacing w:after="0"/>
              <w:rPr>
                <w:sz w:val="17"/>
                <w:szCs w:val="17"/>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Former President and Chief Executive</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826,800</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515,923</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285,246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37,351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1,665,320</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Officer and former Acting CEO</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811,200</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610,834</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670,052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39,915</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2,132,001</w:t>
            </w:r>
          </w:p>
        </w:tc>
        <w:tc>
          <w:tcPr>
            <w:tcW w:w="100" w:type="dxa"/>
            <w:vAlign w:val="bottom"/>
            <w:shd w:val="clear" w:color="auto" w:fill="CFF0FC"/>
          </w:tcPr>
          <w:p>
            <w:pPr>
              <w:spacing w:after="0"/>
              <w:rPr>
                <w:sz w:val="18"/>
                <w:szCs w:val="18"/>
                <w:color w:val="auto"/>
              </w:rPr>
            </w:pPr>
          </w:p>
        </w:tc>
      </w:tr>
      <w:tr>
        <w:trPr>
          <w:trHeight w:val="222"/>
        </w:trPr>
        <w:tc>
          <w:tcPr>
            <w:tcW w:w="3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6"/>
                <w:szCs w:val="16"/>
                <w:color w:val="auto"/>
              </w:rPr>
              <w:t>Peter H. Stratton, Jr.</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395,000</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169,307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232,240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25,122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821,669</w:t>
            </w:r>
          </w:p>
        </w:tc>
        <w:tc>
          <w:tcPr>
            <w:tcW w:w="100" w:type="dxa"/>
            <w:vAlign w:val="bottom"/>
          </w:tcPr>
          <w:p>
            <w:pPr>
              <w:spacing w:after="0"/>
              <w:rPr>
                <w:sz w:val="18"/>
                <w:szCs w:val="18"/>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6"/>
                <w:szCs w:val="16"/>
                <w:color w:val="auto"/>
              </w:rPr>
              <w:t>Executive Vice President, Chief</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2017</w:t>
            </w:r>
          </w:p>
        </w:tc>
        <w:tc>
          <w:tcPr>
            <w:tcW w:w="24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384,038</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158,496</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52,997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24,722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620,253</w:t>
            </w:r>
          </w:p>
        </w:tc>
        <w:tc>
          <w:tcPr>
            <w:tcW w:w="100" w:type="dxa"/>
            <w:vAlign w:val="bottom"/>
          </w:tcPr>
          <w:p>
            <w:pPr>
              <w:spacing w:after="0"/>
              <w:rPr>
                <w:sz w:val="18"/>
                <w:szCs w:val="18"/>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6"/>
                <w:szCs w:val="16"/>
                <w:color w:val="auto"/>
              </w:rPr>
              <w:t>Financial Officer and Treasurer</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333,462</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157,649</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113,574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25,305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629,989</w:t>
            </w:r>
          </w:p>
        </w:tc>
        <w:tc>
          <w:tcPr>
            <w:tcW w:w="100" w:type="dxa"/>
            <w:vAlign w:val="bottom"/>
          </w:tcPr>
          <w:p>
            <w:pPr>
              <w:spacing w:after="0"/>
              <w:rPr>
                <w:sz w:val="18"/>
                <w:szCs w:val="18"/>
                <w:color w:val="auto"/>
              </w:rPr>
            </w:pPr>
          </w:p>
        </w:tc>
      </w:tr>
      <w:tr>
        <w:trPr>
          <w:trHeight w:val="222"/>
        </w:trPr>
        <w:tc>
          <w:tcPr>
            <w:tcW w:w="36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2018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432,692</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201,248</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254,401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100,648</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988,989</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Executive Vice President and</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325,000</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133,560</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26,702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530,112</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Chief Operating Officer</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153,703</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131,963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27,452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613,118</w:t>
            </w:r>
          </w:p>
        </w:tc>
        <w:tc>
          <w:tcPr>
            <w:tcW w:w="100" w:type="dxa"/>
            <w:vAlign w:val="bottom"/>
            <w:shd w:val="clear" w:color="auto" w:fill="CFF0FC"/>
          </w:tcPr>
          <w:p>
            <w:pPr>
              <w:spacing w:after="0"/>
              <w:rPr>
                <w:sz w:val="18"/>
                <w:szCs w:val="18"/>
                <w:color w:val="auto"/>
              </w:rPr>
            </w:pPr>
          </w:p>
        </w:tc>
      </w:tr>
      <w:tr>
        <w:trPr>
          <w:trHeight w:val="222"/>
        </w:trPr>
        <w:tc>
          <w:tcPr>
            <w:tcW w:w="3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6"/>
                <w:szCs w:val="16"/>
                <w:color w:val="auto"/>
              </w:rPr>
              <w:t>James S. Davey</w:t>
            </w: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403,269</w:t>
            </w:r>
          </w:p>
        </w:tc>
        <w:tc>
          <w:tcPr>
            <w:tcW w:w="10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328,147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  150,000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190,303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11,888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1,083,607</w:t>
            </w:r>
          </w:p>
        </w:tc>
        <w:tc>
          <w:tcPr>
            <w:tcW w:w="100" w:type="dxa"/>
            <w:vAlign w:val="bottom"/>
          </w:tcPr>
          <w:p>
            <w:pPr>
              <w:spacing w:after="0"/>
              <w:rPr>
                <w:sz w:val="18"/>
                <w:szCs w:val="18"/>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6"/>
                <w:szCs w:val="16"/>
                <w:color w:val="auto"/>
              </w:rPr>
              <w:t>Executive Vice President and</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tcPr>
          <w:p>
            <w:pPr>
              <w:ind w:left="260"/>
              <w:spacing w:after="0"/>
              <w:rPr>
                <w:sz w:val="20"/>
                <w:szCs w:val="20"/>
                <w:color w:val="auto"/>
              </w:rPr>
            </w:pPr>
            <w:r>
              <w:rPr>
                <w:rFonts w:ascii="Arial" w:cs="Arial" w:eastAsia="Arial" w:hAnsi="Arial"/>
                <w:sz w:val="16"/>
                <w:szCs w:val="16"/>
                <w:color w:val="auto"/>
              </w:rPr>
              <w:t>Chief Marketing Officer</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66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5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2018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366,346</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161,434</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156,650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26,639</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711,069</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Senior Vice President, Chief Administrative</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351,635</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152,642</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48,526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579,696</w:t>
            </w:r>
          </w:p>
        </w:tc>
        <w:tc>
          <w:tcPr>
            <w:tcW w:w="100" w:type="dxa"/>
            <w:vAlign w:val="bottom"/>
            <w:shd w:val="clear" w:color="auto" w:fill="CFF0FC"/>
          </w:tcPr>
          <w:p>
            <w:pPr>
              <w:spacing w:after="0"/>
              <w:rPr>
                <w:sz w:val="18"/>
                <w:szCs w:val="18"/>
                <w:color w:val="auto"/>
              </w:rPr>
            </w:pPr>
          </w:p>
        </w:tc>
      </w:tr>
      <w:tr>
        <w:trPr>
          <w:trHeight w:val="216"/>
        </w:trPr>
        <w:tc>
          <w:tcPr>
            <w:tcW w:w="36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Officer, General Counsel and Secretary</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ind w:left="40"/>
              <w:spacing w:after="0"/>
              <w:rPr>
                <w:sz w:val="20"/>
                <w:szCs w:val="20"/>
                <w:color w:val="auto"/>
              </w:rPr>
            </w:pPr>
            <w:r>
              <w:rPr>
                <w:rFonts w:ascii="Arial" w:cs="Arial" w:eastAsia="Arial" w:hAnsi="Arial"/>
                <w:sz w:val="16"/>
                <w:szCs w:val="16"/>
                <w:color w:val="auto"/>
              </w:rPr>
              <w:t>2016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341,923</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ind w:left="600"/>
              <w:spacing w:after="0"/>
              <w:rPr>
                <w:sz w:val="20"/>
                <w:szCs w:val="20"/>
                <w:color w:val="auto"/>
              </w:rPr>
            </w:pPr>
            <w:r>
              <w:rPr>
                <w:rFonts w:ascii="Arial" w:cs="Arial" w:eastAsia="Arial" w:hAnsi="Arial"/>
                <w:sz w:val="16"/>
                <w:szCs w:val="16"/>
                <w:color w:val="auto"/>
                <w:w w:val="99"/>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174,808</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154,130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27,661</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698,522</w:t>
            </w:r>
          </w:p>
        </w:tc>
        <w:tc>
          <w:tcPr>
            <w:tcW w:w="100" w:type="dxa"/>
            <w:vAlign w:val="bottom"/>
            <w:shd w:val="clear" w:color="auto" w:fill="CFF0FC"/>
          </w:tcPr>
          <w:p>
            <w:pPr>
              <w:spacing w:after="0"/>
              <w:rPr>
                <w:sz w:val="18"/>
                <w:szCs w:val="18"/>
                <w:color w:val="auto"/>
              </w:rPr>
            </w:pPr>
          </w:p>
        </w:tc>
      </w:tr>
      <w:tr>
        <w:trPr>
          <w:trHeight w:val="222"/>
        </w:trPr>
        <w:tc>
          <w:tcPr>
            <w:tcW w:w="36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660" w:right="100" w:hanging="368"/>
        <w:spacing w:after="0" w:line="273"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reflect the fair value, as of grant date, of awards computed in accordance with FASB ASC Topic 718, and not the actual amounts paid to or realized by the Named Executive Officers during the applicable fiscal year. The fair value of each stock option award is estimated as of the date of grant using a Black-Scholes valuation model. Additional information regarding the assumptions used to estimate the fair value of all awards is included in Note A to Consolidated Financial Statements contained in our Annual Report on Form 10-K for the fiscal year ended February 2, 2019.</w:t>
      </w:r>
    </w:p>
    <w:p>
      <w:pPr>
        <w:spacing w:after="0" w:line="81" w:lineRule="exact"/>
        <w:rPr>
          <w:rFonts w:ascii="Arial" w:cs="Arial" w:eastAsia="Arial" w:hAnsi="Arial"/>
          <w:sz w:val="16"/>
          <w:szCs w:val="16"/>
          <w:color w:val="auto"/>
        </w:rPr>
      </w:pPr>
    </w:p>
    <w:p>
      <w:pPr>
        <w:ind w:left="660" w:right="140" w:hanging="368"/>
        <w:spacing w:after="0" w:line="335"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amounts shown in the Stock Award column for fiscal 2018 represent the fair value, as of grant date, of (a) time-based restricted stock units (RSUs) granted pursuant to the 2018-2020 LTIP and (b) RSUs earned for the partial achievement of performance targets under the 2017-2018 LTIP. The amount for Mr. Davey also includes a grant of time-based restricted stock pursuant to the 2017-2018 LTIP and a sign-on grant of restricted stock. See below for a breakdown of stock awards.</w:t>
      </w:r>
    </w:p>
    <w:p>
      <w:pPr>
        <w:spacing w:after="0" w:line="41" w:lineRule="exact"/>
        <w:rPr>
          <w:rFonts w:ascii="Arial" w:cs="Arial" w:eastAsia="Arial" w:hAnsi="Arial"/>
          <w:sz w:val="14"/>
          <w:szCs w:val="14"/>
          <w:color w:val="auto"/>
        </w:rPr>
      </w:pPr>
    </w:p>
    <w:p>
      <w:pPr>
        <w:ind w:left="680" w:right="400"/>
        <w:spacing w:after="0" w:line="293" w:lineRule="auto"/>
        <w:rPr>
          <w:rFonts w:ascii="Arial" w:cs="Arial" w:eastAsia="Arial" w:hAnsi="Arial"/>
          <w:sz w:val="14"/>
          <w:szCs w:val="14"/>
          <w:color w:val="auto"/>
        </w:rPr>
      </w:pPr>
      <w:r>
        <w:rPr>
          <w:rFonts w:ascii="Arial" w:cs="Arial" w:eastAsia="Arial" w:hAnsi="Arial"/>
          <w:sz w:val="16"/>
          <w:szCs w:val="16"/>
          <w:color w:val="auto"/>
        </w:rPr>
        <w:t>The amount shown in the Option Award column for fiscal 2018 represents the fair value, as of grant date, of a sign-on grant of stock options to Mr. Davey. See “</w:t>
      </w:r>
      <w:r>
        <w:rPr>
          <w:rFonts w:ascii="Arial" w:cs="Arial" w:eastAsia="Arial" w:hAnsi="Arial"/>
          <w:sz w:val="16"/>
          <w:szCs w:val="16"/>
          <w:i w:val="1"/>
          <w:iCs w:val="1"/>
          <w:color w:val="auto"/>
        </w:rPr>
        <w:t>Grants of Plan-Based Awards</w:t>
      </w:r>
      <w:r>
        <w:rPr>
          <w:rFonts w:ascii="Arial" w:cs="Arial" w:eastAsia="Arial" w:hAnsi="Arial"/>
          <w:sz w:val="16"/>
          <w:szCs w:val="16"/>
          <w:color w:val="auto"/>
        </w:rPr>
        <w:t>” for more information regarding equity awards granted in fiscal 2018.</w:t>
      </w:r>
    </w:p>
    <w:p>
      <w:pPr>
        <w:spacing w:after="0" w:line="63" w:lineRule="exact"/>
        <w:rPr>
          <w:rFonts w:ascii="Arial" w:cs="Arial" w:eastAsia="Arial" w:hAnsi="Arial"/>
          <w:sz w:val="14"/>
          <w:szCs w:val="14"/>
          <w:color w:val="auto"/>
        </w:rPr>
      </w:pPr>
    </w:p>
    <w:p>
      <w:pPr>
        <w:ind w:left="680" w:right="60"/>
        <w:spacing w:after="0" w:line="324" w:lineRule="auto"/>
        <w:rPr>
          <w:rFonts w:ascii="Arial" w:cs="Arial" w:eastAsia="Arial" w:hAnsi="Arial"/>
          <w:sz w:val="14"/>
          <w:szCs w:val="14"/>
          <w:color w:val="auto"/>
        </w:rPr>
      </w:pPr>
      <w:r>
        <w:rPr>
          <w:rFonts w:ascii="Arial" w:cs="Arial" w:eastAsia="Arial" w:hAnsi="Arial"/>
          <w:sz w:val="14"/>
          <w:szCs w:val="14"/>
          <w:color w:val="auto"/>
        </w:rPr>
        <w:t>The fair value associated with the performance-based component of the equity awards under the 2018-2020 LTIP was determined based on the probable outcome of the performance conditions as of the service-inception date. Because the achievement of the performance targets under the 2018-2020 LTIP was not deemed probable as of the service-inception date, no value was attributed to the performance-based portion of these awards. The following reflects the fair values of the performance-based portion of the 2018-2020 LTIP assuming the highest level of performance conditions will be achieved for each of the Named Executive Officers:</w:t>
      </w:r>
    </w:p>
    <w:p>
      <w:pPr>
        <w:spacing w:after="0" w:line="93" w:lineRule="exact"/>
        <w:rPr>
          <w:sz w:val="20"/>
          <w:szCs w:val="20"/>
          <w:color w:val="auto"/>
        </w:rPr>
      </w:pPr>
    </w:p>
    <w:tbl>
      <w:tblPr>
        <w:tblLayout w:type="fixed"/>
        <w:tblInd w:w="3240" w:type="dxa"/>
        <w:tblCellMar>
          <w:top w:w="0" w:type="dxa"/>
          <w:left w:w="0" w:type="dxa"/>
          <w:bottom w:w="0" w:type="dxa"/>
          <w:right w:w="0" w:type="dxa"/>
        </w:tblCellMar>
      </w:tblPr>
      <w:tr>
        <w:trPr>
          <w:trHeight w:val="176"/>
        </w:trPr>
        <w:tc>
          <w:tcPr>
            <w:tcW w:w="1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David A. Levin</w:t>
            </w:r>
          </w:p>
        </w:tc>
        <w:tc>
          <w:tcPr>
            <w:tcW w:w="900" w:type="dxa"/>
            <w:vAlign w:val="bottom"/>
            <w:tcBorders>
              <w:top w:val="single" w:sz="8" w:color="auto"/>
            </w:tcBorders>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Borders>
              <w:top w:val="single" w:sz="8" w:color="auto"/>
            </w:tcBorders>
            <w:shd w:val="clear" w:color="auto" w:fill="CFF0FC"/>
          </w:tcPr>
          <w:p>
            <w:pPr>
              <w:jc w:val="right"/>
              <w:ind w:right="1148"/>
              <w:spacing w:after="0"/>
              <w:rPr>
                <w:sz w:val="20"/>
                <w:szCs w:val="20"/>
                <w:color w:val="auto"/>
              </w:rPr>
            </w:pPr>
            <w:r>
              <w:rPr>
                <w:rFonts w:ascii="Arial" w:cs="Arial" w:eastAsia="Arial" w:hAnsi="Arial"/>
                <w:sz w:val="14"/>
                <w:szCs w:val="14"/>
                <w:color w:val="auto"/>
              </w:rPr>
              <w:t>608,400</w:t>
            </w:r>
          </w:p>
        </w:tc>
      </w:tr>
      <w:tr>
        <w:trPr>
          <w:trHeight w:val="162"/>
        </w:trPr>
        <w:tc>
          <w:tcPr>
            <w:tcW w:w="1220" w:type="dxa"/>
            <w:vAlign w:val="bottom"/>
          </w:tcPr>
          <w:p>
            <w:pPr>
              <w:spacing w:after="0"/>
              <w:rPr>
                <w:sz w:val="20"/>
                <w:szCs w:val="20"/>
                <w:color w:val="auto"/>
              </w:rPr>
            </w:pPr>
            <w:r>
              <w:rPr>
                <w:rFonts w:ascii="Arial" w:cs="Arial" w:eastAsia="Arial" w:hAnsi="Arial"/>
                <w:sz w:val="14"/>
                <w:szCs w:val="14"/>
                <w:color w:val="auto"/>
                <w:w w:val="93"/>
              </w:rPr>
              <w:t>Peter H. Stratton, Jr.</w:t>
            </w:r>
          </w:p>
        </w:tc>
        <w:tc>
          <w:tcPr>
            <w:tcW w:w="9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148"/>
              <w:spacing w:after="0"/>
              <w:rPr>
                <w:sz w:val="20"/>
                <w:szCs w:val="20"/>
                <w:color w:val="auto"/>
              </w:rPr>
            </w:pPr>
            <w:r>
              <w:rPr>
                <w:rFonts w:ascii="Arial" w:cs="Arial" w:eastAsia="Arial" w:hAnsi="Arial"/>
                <w:sz w:val="14"/>
                <w:szCs w:val="14"/>
                <w:color w:val="auto"/>
              </w:rPr>
              <w:t>207,375</w:t>
            </w:r>
          </w:p>
        </w:tc>
      </w:tr>
      <w:tr>
        <w:trPr>
          <w:trHeight w:val="162"/>
        </w:trPr>
        <w:tc>
          <w:tcPr>
            <w:tcW w:w="1220" w:type="dxa"/>
            <w:vAlign w:val="bottom"/>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9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262,500</w:t>
            </w:r>
          </w:p>
        </w:tc>
      </w:tr>
      <w:tr>
        <w:trPr>
          <w:trHeight w:val="162"/>
        </w:trPr>
        <w:tc>
          <w:tcPr>
            <w:tcW w:w="1220" w:type="dxa"/>
            <w:vAlign w:val="bottom"/>
          </w:tcPr>
          <w:p>
            <w:pPr>
              <w:spacing w:after="0"/>
              <w:rPr>
                <w:sz w:val="20"/>
                <w:szCs w:val="20"/>
                <w:color w:val="auto"/>
              </w:rPr>
            </w:pPr>
            <w:r>
              <w:rPr>
                <w:rFonts w:ascii="Arial" w:cs="Arial" w:eastAsia="Arial" w:hAnsi="Arial"/>
                <w:sz w:val="14"/>
                <w:szCs w:val="14"/>
                <w:color w:val="auto"/>
              </w:rPr>
              <w:t>James S. Davey</w:t>
            </w:r>
          </w:p>
        </w:tc>
        <w:tc>
          <w:tcPr>
            <w:tcW w:w="90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tcPr>
          <w:p>
            <w:pPr>
              <w:jc w:val="right"/>
              <w:ind w:right="1148"/>
              <w:spacing w:after="0"/>
              <w:rPr>
                <w:sz w:val="20"/>
                <w:szCs w:val="20"/>
                <w:color w:val="auto"/>
              </w:rPr>
            </w:pPr>
            <w:r>
              <w:rPr>
                <w:rFonts w:ascii="Arial" w:cs="Arial" w:eastAsia="Arial" w:hAnsi="Arial"/>
                <w:sz w:val="14"/>
                <w:szCs w:val="14"/>
                <w:color w:val="auto"/>
              </w:rPr>
              <w:t>236,250</w:t>
            </w:r>
          </w:p>
        </w:tc>
      </w:tr>
      <w:tr>
        <w:trPr>
          <w:trHeight w:val="162"/>
        </w:trPr>
        <w:tc>
          <w:tcPr>
            <w:tcW w:w="1220" w:type="dxa"/>
            <w:vAlign w:val="bottom"/>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900" w:type="dxa"/>
            <w:vAlign w:val="bottom"/>
            <w:shd w:val="clear" w:color="auto" w:fill="CFF0FC"/>
          </w:tcPr>
          <w:p>
            <w:pPr>
              <w:jc w:val="right"/>
              <w:ind w:right="388"/>
              <w:spacing w:after="0"/>
              <w:rPr>
                <w:sz w:val="20"/>
                <w:szCs w:val="20"/>
                <w:color w:val="auto"/>
              </w:rPr>
            </w:pPr>
            <w:r>
              <w:rPr>
                <w:rFonts w:ascii="Arial" w:cs="Arial" w:eastAsia="Arial" w:hAnsi="Arial"/>
                <w:sz w:val="14"/>
                <w:szCs w:val="14"/>
                <w:color w:val="auto"/>
              </w:rPr>
              <w:t>$</w:t>
            </w:r>
          </w:p>
        </w:tc>
        <w:tc>
          <w:tcPr>
            <w:tcW w:w="2140" w:type="dxa"/>
            <w:vAlign w:val="bottom"/>
            <w:shd w:val="clear" w:color="auto" w:fill="CFF0FC"/>
          </w:tcPr>
          <w:p>
            <w:pPr>
              <w:jc w:val="right"/>
              <w:ind w:right="1148"/>
              <w:spacing w:after="0"/>
              <w:rPr>
                <w:sz w:val="20"/>
                <w:szCs w:val="20"/>
                <w:color w:val="auto"/>
              </w:rPr>
            </w:pPr>
            <w:r>
              <w:rPr>
                <w:rFonts w:ascii="Arial" w:cs="Arial" w:eastAsia="Arial" w:hAnsi="Arial"/>
                <w:sz w:val="14"/>
                <w:szCs w:val="14"/>
                <w:color w:val="auto"/>
              </w:rPr>
              <w:t>196,875</w:t>
            </w:r>
          </w:p>
        </w:tc>
      </w:tr>
    </w:tbl>
    <w:p>
      <w:pPr>
        <w:spacing w:after="0" w:line="98" w:lineRule="exact"/>
        <w:rPr>
          <w:sz w:val="20"/>
          <w:szCs w:val="20"/>
          <w:color w:val="auto"/>
        </w:rPr>
      </w:pPr>
    </w:p>
    <w:p>
      <w:pPr>
        <w:ind w:left="660" w:right="220" w:hanging="368"/>
        <w:spacing w:after="0" w:line="293"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cash awards earned under the Company’s AIPs for each respective year. Fiscal 2016 also included the cash awards earned under the Company’s 2013-2016 LTIP and its 2016 Wrap-Around Plan.</w:t>
      </w:r>
    </w:p>
    <w:p>
      <w:pPr>
        <w:spacing w:after="0" w:line="63" w:lineRule="exact"/>
        <w:rPr>
          <w:rFonts w:ascii="Arial" w:cs="Arial" w:eastAsia="Arial" w:hAnsi="Arial"/>
          <w:sz w:val="16"/>
          <w:szCs w:val="16"/>
          <w:color w:val="auto"/>
        </w:rPr>
      </w:pPr>
    </w:p>
    <w:p>
      <w:pPr>
        <w:ind w:left="660" w:hanging="36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See table “All Other Compensation” below for a breakdown of 2018 amounts reflected in this column</w:t>
      </w:r>
    </w:p>
    <w:p>
      <w:pPr>
        <w:spacing w:after="0" w:line="126" w:lineRule="exact"/>
        <w:rPr>
          <w:rFonts w:ascii="Arial" w:cs="Arial" w:eastAsia="Arial" w:hAnsi="Arial"/>
          <w:sz w:val="16"/>
          <w:szCs w:val="16"/>
          <w:color w:val="auto"/>
        </w:rPr>
      </w:pPr>
    </w:p>
    <w:p>
      <w:pPr>
        <w:ind w:left="660" w:right="420" w:hanging="368"/>
        <w:spacing w:after="0" w:line="278"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our 2017 proxy statement, the annual salary amounts were understated for Messrs. Stratton, Reaves and Molloy of $9,134, $11,538 and $6,635, respectively, therefore the amounts in the “Salary” and “Total” columns in our 2017 proxy statement were understated. These amounts for 2017 have been corrected in this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left="480"/>
        <w:spacing w:after="0"/>
        <w:rPr>
          <w:sz w:val="20"/>
          <w:szCs w:val="20"/>
          <w:color w:val="auto"/>
        </w:rPr>
      </w:pPr>
      <w:r>
        <w:rPr>
          <w:rFonts w:ascii="Arial" w:cs="Arial" w:eastAsia="Arial" w:hAnsi="Arial"/>
          <w:sz w:val="17"/>
          <w:szCs w:val="17"/>
          <w:color w:val="auto"/>
        </w:rPr>
        <w:t>The following table provides a breakdown of the amounts in 2018 in the “Stock Awards” column of the Summary Compensation Table above: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80"/>
              <w:spacing w:after="0"/>
              <w:rPr>
                <w:sz w:val="20"/>
                <w:szCs w:val="20"/>
                <w:color w:val="auto"/>
              </w:rPr>
            </w:pPr>
            <w:r>
              <w:rPr>
                <w:rFonts w:ascii="Arial" w:cs="Arial" w:eastAsia="Arial" w:hAnsi="Arial"/>
                <w:sz w:val="16"/>
                <w:szCs w:val="16"/>
                <w:b w:val="1"/>
                <w:bCs w:val="1"/>
                <w:color w:val="auto"/>
              </w:rPr>
              <w:t>2017-2018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300"/>
              <w:spacing w:after="0"/>
              <w:rPr>
                <w:sz w:val="20"/>
                <w:szCs w:val="20"/>
                <w:color w:val="auto"/>
              </w:rPr>
            </w:pPr>
            <w:r>
              <w:rPr>
                <w:rFonts w:ascii="Arial" w:cs="Arial" w:eastAsia="Arial" w:hAnsi="Arial"/>
                <w:sz w:val="16"/>
                <w:szCs w:val="16"/>
                <w:b w:val="1"/>
                <w:bCs w:val="1"/>
                <w:color w:val="auto"/>
              </w:rPr>
              <w:t>2017-2018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60"/>
              <w:spacing w:after="0"/>
              <w:rPr>
                <w:sz w:val="20"/>
                <w:szCs w:val="20"/>
                <w:color w:val="auto"/>
              </w:rPr>
            </w:pPr>
            <w:r>
              <w:rPr>
                <w:rFonts w:ascii="Arial" w:cs="Arial" w:eastAsia="Arial" w:hAnsi="Arial"/>
                <w:sz w:val="16"/>
                <w:szCs w:val="16"/>
                <w:b w:val="1"/>
                <w:bCs w:val="1"/>
                <w:color w:val="auto"/>
                <w:w w:val="99"/>
              </w:rPr>
              <w:t>2018-2020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Sign-on</w:t>
            </w:r>
          </w:p>
        </w:tc>
        <w:tc>
          <w:tcPr>
            <w:tcW w:w="10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Stock</w:t>
            </w:r>
          </w:p>
        </w:tc>
      </w:tr>
      <w:tr>
        <w:trPr>
          <w:trHeight w:val="220"/>
        </w:trPr>
        <w:tc>
          <w:tcPr>
            <w:tcW w:w="4120" w:type="dxa"/>
            <w:vAlign w:val="bottom"/>
            <w:tcBorders>
              <w:bottom w:val="single" w:sz="8" w:color="CFF0FC"/>
            </w:tcBorders>
          </w:tcPr>
          <w:p>
            <w:pPr>
              <w:ind w:left="1800"/>
              <w:spacing w:after="0"/>
              <w:rPr>
                <w:sz w:val="20"/>
                <w:szCs w:val="20"/>
                <w:color w:val="auto"/>
              </w:rPr>
            </w:pPr>
            <w:r>
              <w:rPr>
                <w:rFonts w:ascii="Arial" w:cs="Arial" w:eastAsia="Arial" w:hAnsi="Arial"/>
                <w:sz w:val="16"/>
                <w:szCs w:val="16"/>
                <w:b w:val="1"/>
                <w:bCs w:val="1"/>
                <w:color w:val="auto"/>
              </w:rPr>
              <w:t>Name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0"/>
              <w:spacing w:after="0" w:line="220" w:lineRule="exact"/>
              <w:rPr>
                <w:sz w:val="20"/>
                <w:szCs w:val="20"/>
                <w:color w:val="auto"/>
              </w:rPr>
            </w:pPr>
            <w:r>
              <w:rPr>
                <w:rFonts w:ascii="Arial" w:cs="Arial" w:eastAsia="Arial" w:hAnsi="Arial"/>
                <w:sz w:val="15"/>
                <w:szCs w:val="15"/>
                <w:b w:val="1"/>
                <w:bCs w:val="1"/>
                <w:color w:val="auto"/>
              </w:rPr>
              <w:t xml:space="preserve">LTIP </w:t>
            </w:r>
            <w:r>
              <w:rPr>
                <w:rFonts w:ascii="Arial" w:cs="Arial" w:eastAsia="Arial" w:hAnsi="Arial"/>
                <w:sz w:val="25"/>
                <w:szCs w:val="25"/>
                <w:b w:val="1"/>
                <w:bCs w:val="1"/>
                <w:color w:val="auto"/>
                <w:vertAlign w:val="superscript"/>
              </w:rPr>
              <w:t>(1)</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60"/>
              <w:spacing w:after="0" w:line="220" w:lineRule="exact"/>
              <w:rPr>
                <w:sz w:val="20"/>
                <w:szCs w:val="20"/>
                <w:color w:val="auto"/>
              </w:rPr>
            </w:pPr>
            <w:r>
              <w:rPr>
                <w:rFonts w:ascii="Arial" w:cs="Arial" w:eastAsia="Arial" w:hAnsi="Arial"/>
                <w:sz w:val="15"/>
                <w:szCs w:val="15"/>
                <w:b w:val="1"/>
                <w:bCs w:val="1"/>
                <w:color w:val="auto"/>
              </w:rPr>
              <w:t xml:space="preserve">LTIP </w:t>
            </w:r>
            <w:r>
              <w:rPr>
                <w:rFonts w:ascii="Arial" w:cs="Arial" w:eastAsia="Arial" w:hAnsi="Arial"/>
                <w:sz w:val="25"/>
                <w:szCs w:val="25"/>
                <w:b w:val="1"/>
                <w:bCs w:val="1"/>
                <w:color w:val="auto"/>
                <w:vertAlign w:val="superscript"/>
              </w:rPr>
              <w:t>(2)</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20"/>
              <w:spacing w:after="0" w:line="220" w:lineRule="exact"/>
              <w:rPr>
                <w:sz w:val="20"/>
                <w:szCs w:val="20"/>
                <w:color w:val="auto"/>
              </w:rPr>
            </w:pPr>
            <w:r>
              <w:rPr>
                <w:rFonts w:ascii="Arial" w:cs="Arial" w:eastAsia="Arial" w:hAnsi="Arial"/>
                <w:sz w:val="15"/>
                <w:szCs w:val="15"/>
                <w:b w:val="1"/>
                <w:bCs w:val="1"/>
                <w:color w:val="auto"/>
              </w:rPr>
              <w:t xml:space="preserve">LTIP </w:t>
            </w:r>
            <w:r>
              <w:rPr>
                <w:rFonts w:ascii="Arial" w:cs="Arial" w:eastAsia="Arial" w:hAnsi="Arial"/>
                <w:sz w:val="25"/>
                <w:szCs w:val="25"/>
                <w:b w:val="1"/>
                <w:bCs w:val="1"/>
                <w:color w:val="auto"/>
                <w:vertAlign w:val="superscript"/>
              </w:rPr>
              <w:t>(3)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0"/>
              <w:spacing w:after="0" w:line="220" w:lineRule="exact"/>
              <w:rPr>
                <w:sz w:val="20"/>
                <w:szCs w:val="20"/>
                <w:color w:val="auto"/>
              </w:rPr>
            </w:pPr>
            <w:r>
              <w:rPr>
                <w:rFonts w:ascii="Arial" w:cs="Arial" w:eastAsia="Arial" w:hAnsi="Arial"/>
                <w:sz w:val="15"/>
                <w:szCs w:val="15"/>
                <w:b w:val="1"/>
                <w:bCs w:val="1"/>
                <w:color w:val="auto"/>
              </w:rPr>
              <w:t xml:space="preserve">Award </w:t>
            </w:r>
            <w:r>
              <w:rPr>
                <w:rFonts w:ascii="Arial" w:cs="Arial" w:eastAsia="Arial" w:hAnsi="Arial"/>
                <w:sz w:val="25"/>
                <w:szCs w:val="25"/>
                <w:b w:val="1"/>
                <w:bCs w:val="1"/>
                <w:color w:val="auto"/>
                <w:vertAlign w:val="superscript"/>
              </w:rPr>
              <w:t>(4)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Awards</w:t>
            </w:r>
          </w:p>
        </w:tc>
        <w:tc>
          <w:tcPr>
            <w:tcW w:w="100" w:type="dxa"/>
            <w:vAlign w:val="bottom"/>
            <w:tcBorders>
              <w:bottom w:val="single" w:sz="8" w:color="CFF0FC"/>
            </w:tcBorders>
          </w:tcPr>
          <w:p>
            <w:pPr>
              <w:spacing w:after="0"/>
              <w:rPr>
                <w:sz w:val="19"/>
                <w:szCs w:val="19"/>
                <w:color w:val="auto"/>
              </w:rPr>
            </w:pPr>
          </w:p>
        </w:tc>
      </w:tr>
      <w:tr>
        <w:trPr>
          <w:trHeight w:val="210"/>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David A. Levin</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101,398</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405,600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506,998</w:t>
            </w:r>
          </w:p>
        </w:tc>
        <w:tc>
          <w:tcPr>
            <w:tcW w:w="100" w:type="dxa"/>
            <w:vAlign w:val="bottom"/>
            <w:shd w:val="clear" w:color="auto" w:fill="CFF0FC"/>
          </w:tcPr>
          <w:p>
            <w:pPr>
              <w:spacing w:after="0"/>
              <w:rPr>
                <w:sz w:val="18"/>
                <w:szCs w:val="18"/>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Peter H. Stratton, Jr.</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31,060</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138,247</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169,307</w:t>
            </w: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26,249</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174,999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201,248</w:t>
            </w:r>
          </w:p>
        </w:tc>
        <w:tc>
          <w:tcPr>
            <w:tcW w:w="100" w:type="dxa"/>
            <w:vAlign w:val="bottom"/>
            <w:shd w:val="clear" w:color="auto" w:fill="CFF0FC"/>
          </w:tcPr>
          <w:p>
            <w:pPr>
              <w:spacing w:after="0"/>
              <w:rPr>
                <w:sz w:val="19"/>
                <w:szCs w:val="19"/>
                <w:color w:val="auto"/>
              </w:rPr>
            </w:pPr>
          </w:p>
        </w:tc>
      </w:tr>
      <w:tr>
        <w:trPr>
          <w:trHeight w:val="213"/>
        </w:trPr>
        <w:tc>
          <w:tcPr>
            <w:tcW w:w="4120" w:type="dxa"/>
            <w:vAlign w:val="bottom"/>
          </w:tcPr>
          <w:p>
            <w:pPr>
              <w:spacing w:after="0"/>
              <w:rPr>
                <w:sz w:val="20"/>
                <w:szCs w:val="20"/>
                <w:color w:val="auto"/>
              </w:rPr>
            </w:pPr>
            <w:r>
              <w:rPr>
                <w:rFonts w:ascii="Arial" w:cs="Arial" w:eastAsia="Arial" w:hAnsi="Arial"/>
                <w:sz w:val="16"/>
                <w:szCs w:val="16"/>
                <w:color w:val="auto"/>
              </w:rPr>
              <w:t>James S. Davey</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19,128</w:t>
            </w:r>
          </w:p>
        </w:tc>
        <w:tc>
          <w:tcPr>
            <w:tcW w:w="5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76,520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157,499</w:t>
            </w:r>
          </w:p>
        </w:tc>
        <w:tc>
          <w:tcPr>
            <w:tcW w:w="2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75,000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328,147</w:t>
            </w:r>
          </w:p>
        </w:tc>
        <w:tc>
          <w:tcPr>
            <w:tcW w:w="100" w:type="dxa"/>
            <w:vAlign w:val="bottom"/>
          </w:tcPr>
          <w:p>
            <w:pPr>
              <w:spacing w:after="0"/>
              <w:rPr>
                <w:sz w:val="18"/>
                <w:szCs w:val="18"/>
                <w:color w:val="auto"/>
              </w:rPr>
            </w:pPr>
          </w:p>
        </w:tc>
      </w:tr>
      <w:tr>
        <w:trPr>
          <w:trHeight w:val="219"/>
        </w:trPr>
        <w:tc>
          <w:tcPr>
            <w:tcW w:w="4120" w:type="dxa"/>
            <w:vAlign w:val="bottom"/>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30,186</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131,248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161,434</w:t>
            </w:r>
          </w:p>
        </w:tc>
        <w:tc>
          <w:tcPr>
            <w:tcW w:w="100" w:type="dxa"/>
            <w:vAlign w:val="bottom"/>
            <w:shd w:val="clear" w:color="auto" w:fill="CFF0FC"/>
          </w:tcPr>
          <w:p>
            <w:pPr>
              <w:spacing w:after="0"/>
              <w:rPr>
                <w:sz w:val="19"/>
                <w:szCs w:val="19"/>
                <w:color w:val="auto"/>
              </w:rPr>
            </w:pPr>
          </w:p>
        </w:tc>
      </w:tr>
    </w:tbl>
    <w:p>
      <w:pPr>
        <w:spacing w:after="0" w:line="206" w:lineRule="exact"/>
        <w:rPr>
          <w:sz w:val="20"/>
          <w:szCs w:val="20"/>
          <w:color w:val="auto"/>
        </w:rPr>
      </w:pPr>
    </w:p>
    <w:p>
      <w:pPr>
        <w:ind w:left="760" w:right="140" w:hanging="374"/>
        <w:spacing w:after="0" w:line="305" w:lineRule="auto"/>
        <w:tabs>
          <w:tab w:leader="none" w:pos="7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RSUs earned for performance achieved under the 2017-2018 LTIP that were granted in March 2019. The potential value of this award at threshold, target and maximum was previously reported in the “</w:t>
      </w:r>
      <w:r>
        <w:rPr>
          <w:rFonts w:ascii="Arial" w:cs="Arial" w:eastAsia="Arial" w:hAnsi="Arial"/>
          <w:sz w:val="15"/>
          <w:szCs w:val="15"/>
          <w:i w:val="1"/>
          <w:iCs w:val="1"/>
          <w:color w:val="auto"/>
        </w:rPr>
        <w:t>2017 Grants of Plan-Based Awards</w:t>
      </w:r>
      <w:r>
        <w:rPr>
          <w:rFonts w:ascii="Arial" w:cs="Arial" w:eastAsia="Arial" w:hAnsi="Arial"/>
          <w:sz w:val="15"/>
          <w:szCs w:val="15"/>
          <w:color w:val="auto"/>
        </w:rPr>
        <w:t>” under “</w:t>
      </w:r>
      <w:r>
        <w:rPr>
          <w:rFonts w:ascii="Arial" w:cs="Arial" w:eastAsia="Arial" w:hAnsi="Arial"/>
          <w:sz w:val="15"/>
          <w:szCs w:val="15"/>
          <w:i w:val="1"/>
          <w:iCs w:val="1"/>
          <w:color w:val="auto"/>
        </w:rPr>
        <w:t>Estimated Future Payouts Under Equity Incentive Plan Awards</w:t>
      </w:r>
      <w:r>
        <w:rPr>
          <w:rFonts w:ascii="Arial" w:cs="Arial" w:eastAsia="Arial" w:hAnsi="Arial"/>
          <w:sz w:val="15"/>
          <w:szCs w:val="15"/>
          <w:color w:val="auto"/>
        </w:rPr>
        <w:t>” as of the service inception date of March 31, 2017. Mr. Davey’s award was based on his pro-rated participation in the 2017-2018 LTIP.</w:t>
      </w:r>
    </w:p>
    <w:p>
      <w:pPr>
        <w:spacing w:after="0" w:line="166" w:lineRule="exact"/>
        <w:rPr>
          <w:rFonts w:ascii="Arial" w:cs="Arial" w:eastAsia="Arial" w:hAnsi="Arial"/>
          <w:sz w:val="15"/>
          <w:szCs w:val="15"/>
          <w:color w:val="auto"/>
        </w:rPr>
      </w:pPr>
    </w:p>
    <w:p>
      <w:pPr>
        <w:ind w:left="760" w:right="20" w:hanging="374"/>
        <w:spacing w:after="0" w:line="2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grant of time-based RSUs issued, on a pro-rated basis, to Mr. Davey. The RSUs will vest in two tranches with the first 50% vesting on April 1, 2019 and the remaining 50% vesting on April 1, 2020.</w:t>
      </w:r>
    </w:p>
    <w:p>
      <w:pPr>
        <w:spacing w:after="0" w:line="172" w:lineRule="exact"/>
        <w:rPr>
          <w:rFonts w:ascii="Arial" w:cs="Arial" w:eastAsia="Arial" w:hAnsi="Arial"/>
          <w:sz w:val="16"/>
          <w:szCs w:val="16"/>
          <w:color w:val="auto"/>
        </w:rPr>
      </w:pPr>
    </w:p>
    <w:p>
      <w:pPr>
        <w:ind w:left="760" w:right="300" w:hanging="374"/>
        <w:spacing w:after="0" w:line="293"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grant of time-based RSUs issued under the 2018-2020 LTIP, which will vest in four tranches with the first 25% vesting on October 24, 2019, the remaining tranches vest on April 1, 2020, April 1, 2021 and April 1, 2022.</w:t>
      </w:r>
    </w:p>
    <w:p>
      <w:pPr>
        <w:spacing w:after="0" w:line="172" w:lineRule="exact"/>
        <w:rPr>
          <w:rFonts w:ascii="Arial" w:cs="Arial" w:eastAsia="Arial" w:hAnsi="Arial"/>
          <w:sz w:val="16"/>
          <w:szCs w:val="16"/>
          <w:color w:val="auto"/>
        </w:rPr>
      </w:pPr>
    </w:p>
    <w:p>
      <w:pPr>
        <w:ind w:left="760" w:hanging="374"/>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grant of 30,000 unvested RSAs that vest ratably over three years, with the first one-third vesting on March 14, 2019.</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breakdown of the amounts for 2018 in the “All Other Compensation” of the Summary Compensation Table above: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Relocation</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Long-Term</w:t>
            </w:r>
          </w:p>
        </w:tc>
        <w:tc>
          <w:tcPr>
            <w:tcW w:w="10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Supplemental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w:t>
            </w: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Total</w:t>
            </w:r>
          </w:p>
        </w:tc>
      </w:tr>
      <w:tr>
        <w:trPr>
          <w:trHeight w:val="203"/>
        </w:trPr>
        <w:tc>
          <w:tcPr>
            <w:tcW w:w="3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Auto</w:t>
            </w:r>
          </w:p>
        </w:tc>
        <w:tc>
          <w:tcPr>
            <w:tcW w:w="66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401(k)</w:t>
            </w:r>
          </w:p>
        </w:tc>
        <w:tc>
          <w:tcPr>
            <w:tcW w:w="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Insurance</w:t>
            </w:r>
          </w:p>
        </w:tc>
        <w:tc>
          <w:tcPr>
            <w:tcW w:w="1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Healthcare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Disability</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Consulting</w:t>
            </w:r>
          </w:p>
        </w:tc>
        <w:tc>
          <w:tcPr>
            <w:tcW w:w="120" w:type="dxa"/>
            <w:vAlign w:val="bottom"/>
          </w:tcPr>
          <w:p>
            <w:pPr>
              <w:spacing w:after="0"/>
              <w:rPr>
                <w:sz w:val="17"/>
                <w:szCs w:val="17"/>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4"/>
              </w:rPr>
              <w:t>Commuting</w:t>
            </w:r>
          </w:p>
        </w:tc>
        <w:tc>
          <w:tcPr>
            <w:tcW w:w="8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Other</w:t>
            </w:r>
          </w:p>
        </w:tc>
      </w:tr>
      <w:tr>
        <w:trPr>
          <w:trHeight w:val="213"/>
        </w:trPr>
        <w:tc>
          <w:tcPr>
            <w:tcW w:w="324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Name</w:t>
            </w:r>
          </w:p>
        </w:tc>
        <w:tc>
          <w:tcPr>
            <w:tcW w:w="6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Allowance</w:t>
            </w:r>
          </w:p>
        </w:tc>
        <w:tc>
          <w:tcPr>
            <w:tcW w:w="10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Match</w:t>
            </w:r>
          </w:p>
        </w:tc>
        <w:tc>
          <w:tcPr>
            <w:tcW w:w="10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Premiums</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Premiums</w:t>
            </w: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Insurance</w:t>
            </w:r>
          </w:p>
        </w:tc>
        <w:tc>
          <w:tcPr>
            <w:tcW w:w="1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Fees</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5"/>
              </w:rPr>
              <w:t>Costs</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60" w:type="dxa"/>
            <w:vAlign w:val="bottom"/>
            <w:tcBorders>
              <w:bottom w:val="single" w:sz="8" w:color="CFF0FC"/>
            </w:tcBorders>
          </w:tcPr>
          <w:p>
            <w:pPr>
              <w:spacing w:after="0"/>
              <w:rPr>
                <w:sz w:val="18"/>
                <w:szCs w:val="18"/>
                <w:color w:val="auto"/>
              </w:rPr>
            </w:pPr>
          </w:p>
        </w:tc>
      </w:tr>
      <w:tr>
        <w:trPr>
          <w:trHeight w:val="213"/>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David A. Levin</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9,625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6,033</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6,340</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221,540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258,418</w:t>
            </w:r>
          </w:p>
        </w:tc>
        <w:tc>
          <w:tcPr>
            <w:tcW w:w="60" w:type="dxa"/>
            <w:vAlign w:val="bottom"/>
            <w:shd w:val="clear" w:color="auto" w:fill="CFF0FC"/>
          </w:tcPr>
          <w:p>
            <w:pPr>
              <w:spacing w:after="0"/>
              <w:rPr>
                <w:sz w:val="18"/>
                <w:szCs w:val="18"/>
                <w:color w:val="auto"/>
              </w:rPr>
            </w:pPr>
          </w:p>
        </w:tc>
      </w:tr>
      <w:tr>
        <w:trPr>
          <w:trHeight w:val="213"/>
        </w:trPr>
        <w:tc>
          <w:tcPr>
            <w:tcW w:w="3300" w:type="dxa"/>
            <w:vAlign w:val="bottom"/>
            <w:gridSpan w:val="2"/>
          </w:tcPr>
          <w:p>
            <w:pPr>
              <w:spacing w:after="0"/>
              <w:rPr>
                <w:sz w:val="20"/>
                <w:szCs w:val="20"/>
                <w:color w:val="auto"/>
              </w:rPr>
            </w:pPr>
            <w:r>
              <w:rPr>
                <w:rFonts w:ascii="Arial" w:cs="Arial" w:eastAsia="Arial" w:hAnsi="Arial"/>
                <w:sz w:val="16"/>
                <w:szCs w:val="16"/>
                <w:color w:val="auto"/>
              </w:rPr>
              <w:t>Peter H. Stratton, Jr.</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9,625</w:t>
            </w:r>
          </w:p>
        </w:tc>
        <w:tc>
          <w:tcPr>
            <w:tcW w:w="1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4,034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3,063</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25,122</w:t>
            </w:r>
          </w:p>
        </w:tc>
        <w:tc>
          <w:tcPr>
            <w:tcW w:w="60" w:type="dxa"/>
            <w:vAlign w:val="bottom"/>
          </w:tcPr>
          <w:p>
            <w:pPr>
              <w:spacing w:after="0"/>
              <w:rPr>
                <w:sz w:val="18"/>
                <w:szCs w:val="18"/>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Brian S. Reaves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9,625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4,344</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73,564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100,648</w:t>
            </w:r>
          </w:p>
        </w:tc>
        <w:tc>
          <w:tcPr>
            <w:tcW w:w="60" w:type="dxa"/>
            <w:vAlign w:val="bottom"/>
            <w:shd w:val="clear" w:color="auto" w:fill="CFF0FC"/>
          </w:tcPr>
          <w:p>
            <w:pPr>
              <w:spacing w:after="0"/>
              <w:rPr>
                <w:sz w:val="19"/>
                <w:szCs w:val="19"/>
                <w:color w:val="auto"/>
              </w:rPr>
            </w:pPr>
          </w:p>
        </w:tc>
      </w:tr>
      <w:tr>
        <w:trPr>
          <w:trHeight w:val="213"/>
        </w:trPr>
        <w:tc>
          <w:tcPr>
            <w:tcW w:w="3300" w:type="dxa"/>
            <w:vAlign w:val="bottom"/>
            <w:gridSpan w:val="2"/>
          </w:tcPr>
          <w:p>
            <w:pPr>
              <w:spacing w:after="0"/>
              <w:rPr>
                <w:sz w:val="20"/>
                <w:szCs w:val="20"/>
                <w:color w:val="auto"/>
              </w:rPr>
            </w:pPr>
            <w:r>
              <w:rPr>
                <w:rFonts w:ascii="Arial" w:cs="Arial" w:eastAsia="Arial" w:hAnsi="Arial"/>
                <w:sz w:val="16"/>
                <w:szCs w:val="16"/>
                <w:color w:val="auto"/>
              </w:rPr>
              <w:t>James S. Davey</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2,882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1,414</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11,888</w:t>
            </w:r>
          </w:p>
        </w:tc>
        <w:tc>
          <w:tcPr>
            <w:tcW w:w="60" w:type="dxa"/>
            <w:vAlign w:val="bottom"/>
          </w:tcPr>
          <w:p>
            <w:pPr>
              <w:spacing w:after="0"/>
              <w:rPr>
                <w:sz w:val="18"/>
                <w:szCs w:val="18"/>
                <w:color w:val="auto"/>
              </w:rPr>
            </w:pPr>
          </w:p>
        </w:tc>
      </w:tr>
      <w:tr>
        <w:trPr>
          <w:trHeight w:val="219"/>
        </w:trPr>
        <w:tc>
          <w:tcPr>
            <w:tcW w:w="33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Robert S. Molloy</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9,019</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4,399</w:t>
            </w:r>
          </w:p>
        </w:tc>
        <w:tc>
          <w:tcPr>
            <w:tcW w:w="30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26,639</w:t>
            </w:r>
          </w:p>
        </w:tc>
        <w:tc>
          <w:tcPr>
            <w:tcW w:w="6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As required by Section 953(b) of the Dodd-Frank Wall Street Reform and Consumer Protection Act, the Company is providing the following information about the relationship between the annual total compensation of the Company’s employees and the annual total compensation of the Company’s CEO. Our CEO-to-employee pay ratio has been calculated in accordance with Item 402(u) of Regulation S-K under the Exchange Act.</w:t>
      </w:r>
    </w:p>
    <w:p>
      <w:pPr>
        <w:ind w:right="240"/>
        <w:spacing w:after="0" w:line="250" w:lineRule="auto"/>
        <w:rPr>
          <w:sz w:val="20"/>
          <w:szCs w:val="20"/>
          <w:color w:val="auto"/>
        </w:rPr>
      </w:pPr>
      <w:r>
        <w:rPr>
          <w:rFonts w:ascii="Arial" w:cs="Arial" w:eastAsia="Arial" w:hAnsi="Arial"/>
          <w:sz w:val="18"/>
          <w:szCs w:val="18"/>
          <w:color w:val="auto"/>
        </w:rPr>
        <w:t>The total annual compensation for our CEO, Mr. Levin, for fiscal 2018, as shown in the Summary Compensation Table, was $2,443,789. The total annual compensation for our median employee was $24,624, calculated using the same methodology as used in the Summary Compensation Table. Based on this information, for fiscal 2018 the ratio of the annual total compensation of Mr. Levin, our CEO, to the median of the annual total compensation of all employees was 99 to 1.</w:t>
      </w:r>
    </w:p>
    <w:p>
      <w:pPr>
        <w:spacing w:after="0" w:line="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Under Instruction 2 to Item 402(u), the median-paid employee may be identified once every three years if there is no impact to the pay ratio disclosure. As there were no changes in our employee population or to the median-paid employee’s compensation arrangements in 2018 that would significantly affect the pay ratio disclosure, the employee representing the median-paid employee is the same employee selected for our 2017 disclosure. To identify the median employee in 2017, we evaluated all employees, other than our CEO, employed by the Company as of December 31, 2017 and utilized the following methodology:</w:t>
      </w:r>
    </w:p>
    <w:p>
      <w:pPr>
        <w:spacing w:after="0" w:line="191" w:lineRule="exact"/>
        <w:rPr>
          <w:sz w:val="20"/>
          <w:szCs w:val="20"/>
          <w:color w:val="auto"/>
        </w:rPr>
      </w:pPr>
    </w:p>
    <w:p>
      <w:pPr>
        <w:ind w:left="760" w:right="160" w:hanging="374"/>
        <w:spacing w:after="0" w:line="286" w:lineRule="auto"/>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determined that, as of December 31, 2017, our employee population consisted of approximately 2,729 individuals, with 2,696 of these individuals located in the U.S. and 33 of these individuals located outside the U.S. This population includes our full-time, part-time, and seasonal employees. Approximately 59% of our total employee population at December 31, 2017 was considered full-time employees.</w:t>
      </w:r>
    </w:p>
    <w:p>
      <w:pPr>
        <w:spacing w:after="0" w:line="165" w:lineRule="exact"/>
        <w:rPr>
          <w:rFonts w:ascii="Arial" w:cs="Arial" w:eastAsia="Arial" w:hAnsi="Arial"/>
          <w:sz w:val="17"/>
          <w:szCs w:val="17"/>
          <w:color w:val="auto"/>
        </w:rPr>
      </w:pPr>
    </w:p>
    <w:p>
      <w:pPr>
        <w:ind w:left="760" w:right="60" w:hanging="374"/>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identify the “median employee” from our employee population, we compared the amount of compensation of our employees as reflected in our payroll records as reported to the Internal Revenue Service on Form W-2 for the year ended December 31, 2017.</w:t>
      </w:r>
    </w:p>
    <w:p>
      <w:pPr>
        <w:spacing w:after="0" w:line="170" w:lineRule="exact"/>
        <w:rPr>
          <w:rFonts w:ascii="Arial" w:cs="Arial" w:eastAsia="Arial" w:hAnsi="Arial"/>
          <w:sz w:val="18"/>
          <w:szCs w:val="18"/>
          <w:color w:val="auto"/>
        </w:rPr>
      </w:pPr>
    </w:p>
    <w:p>
      <w:pPr>
        <w:ind w:left="760" w:right="240" w:hanging="374"/>
        <w:spacing w:after="0" w:line="342" w:lineRule="auto"/>
        <w:tabs>
          <w:tab w:leader="none" w:pos="7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 any permanent full-time or part-time employees, who started employment at the Company during calendar 2017, we annualized the compensation, assuming that those employees worked a full year. We did not annualize compensation for any seasonal or temporary employees.</w:t>
      </w:r>
    </w:p>
    <w:p>
      <w:pPr>
        <w:spacing w:after="0" w:line="123" w:lineRule="exact"/>
        <w:rPr>
          <w:rFonts w:ascii="Arial" w:cs="Arial" w:eastAsia="Arial" w:hAnsi="Arial"/>
          <w:sz w:val="16"/>
          <w:szCs w:val="16"/>
          <w:color w:val="auto"/>
        </w:rPr>
      </w:pPr>
    </w:p>
    <w:p>
      <w:pPr>
        <w:ind w:left="760" w:right="180" w:hanging="374"/>
        <w:spacing w:after="0" w:line="264"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excluded employees located outside of the U.S. under the de minimis exception of the pay ratio rule, which permits exclusion if a company’s non-U.S. employees account for 5% or less of total employees. The jurisdictions and approximate number of employees excluded were Canada (16), United Kingdom (14) and Hong Kong (3).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David A. Levin, Former Chief Executive Officer and Former Acting CEO</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2018, in connection with Mr. Levin’s retirement announcement, the Company and Mr. Levin entered into a Transition Agreement, as amended (the “Transition Agreement”) addressing Mr. Levin’s future retirement and related successor issues. The Transition Agreement modifies and supplements certain terms of Mr. Levin’s Employment Agreement, which was last revised and restated as of November 5, 2009. Pursuant to the Transition Agreement, the current term of Mr. Levin’s employment agreement will end December 31, 2019.</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Under his employment agreement, Mr. Levin received a base salary of $811,200, with an annual automobile allowance of $10,000. Mr. Levin participated in our AIP at a target rate of 100% of his actual annual base salary, as defined in that plan, and in our LTIP at a target incentive rate of 100% of his annual base salary on the effective date of the respective LTIP.</w:t>
      </w:r>
    </w:p>
    <w:p>
      <w:pPr>
        <w:spacing w:after="0" w:line="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Transition Agreement, Mr. Levin continued to serve as President, Chief Executive Officer and a director of the Company until January 1, 2019. As of that date, Mr. Levin resigned as President and Chief Executive Officer and as a director of the Company, but pursuant to the terms of the Transition Agreement, Mr. Levin remains employed by the Company to perform reasonable transition duties or other consulting activities or projects, through December 31, 2019.</w:t>
      </w:r>
    </w:p>
    <w:p>
      <w:pPr>
        <w:spacing w:after="0" w:line="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November 2018, with no successor CEO expected to be hired prior to December 31, 2018, the Company and Mr. Levin entered into a Letter Agreement, which provided that, if no successor CEO had been appointed prior to December 31, 2018, Mr. Levin would serve as Acting CEO, pursuant to the terms of that letter. Accordingly, Mr. Levin became Acting CEO on January 1, 2019 and served in that position until he resigned on April 1, 2019, at which point, Mr. Kanter assumed the position of President, Chief Executive Officer and a director of the Company.</w:t>
      </w:r>
    </w:p>
    <w:p>
      <w:pPr>
        <w:spacing w:after="0" w:line="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Mr. Levin remains employed pursuant to the terms of the Transition Agreement and may be required to perform transition duties and projects as requested through December 31, 2019 and he continues to receive all compensation otherwise due him under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Employment Agreement. Mr. Levin will be entitled to participate in the 2019 AIP and the 2018-2020 LTIP, based on actual performance results.</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there is a change in control of the Company while Mr. Levin remains employed, payments that would have otherwise been due him through December 31, 2019 shall be paid to him in a lump sum.</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Except as otherwise modified by the Transition Agreement, Mr. Levin remains subject to the provisions of the Employment Agreement, including various restrictive covenants. The applicable restricted periods associated with those covenants commence when his employment is terminated. Except as addressed in the Transition Agreement, the provisions of the Employment Agreement relating to any termination as a result of disability, death, resignation or with or without cause remain in effect. All payment obligations of the Company remain subject to Mr. Levin’s executing a general release within thirty days of the execution of the Transition Agreement and again within thirty days of his termination of employment.</w:t>
      </w:r>
    </w:p>
    <w:p>
      <w:pPr>
        <w:spacing w:after="0" w:line="173"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Employment Agreement also provides that we will, during the term of employment, pay the insurance premiums under one or more life insurance policies on Mr. Levin’s life pursuant to an arrangement under which $2,000,000 of the death benefit under the policy or policies would be payable to Mr. Levin’s named beneficiary (with the executive officer making the election of the designated beneficiary) upon Mr. Levin’s death.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Potential Payments to Mr. Levin under the Transition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payments and value of equity that Mr. Levin will be entitled to through December 31, 2019.</w:t>
      </w:r>
    </w:p>
    <w:p>
      <w:pPr>
        <w:spacing w:after="0" w:line="200" w:lineRule="exact"/>
        <w:rPr>
          <w:sz w:val="20"/>
          <w:szCs w:val="20"/>
          <w:color w:val="auto"/>
        </w:rPr>
      </w:pPr>
    </w:p>
    <w:p>
      <w:pPr>
        <w:spacing w:after="0" w:line="25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1040" w:type="dxa"/>
            <w:vAlign w:val="bottom"/>
            <w:shd w:val="clear" w:color="auto" w:fill="CFF0FC"/>
          </w:tcPr>
          <w:p>
            <w:pPr>
              <w:spacing w:after="0"/>
              <w:rPr>
                <w:sz w:val="19"/>
                <w:szCs w:val="19"/>
                <w:color w:val="auto"/>
              </w:rPr>
            </w:pPr>
          </w:p>
        </w:tc>
        <w:tc>
          <w:tcPr>
            <w:tcW w:w="6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Retirement</w:t>
            </w:r>
          </w:p>
        </w:tc>
      </w:tr>
      <w:tr>
        <w:trPr>
          <w:trHeight w:val="223"/>
        </w:trPr>
        <w:tc>
          <w:tcPr>
            <w:tcW w:w="7840" w:type="dxa"/>
            <w:vAlign w:val="bottom"/>
            <w:gridSpan w:val="2"/>
          </w:tcPr>
          <w:p>
            <w:pPr>
              <w:spacing w:after="0"/>
              <w:rPr>
                <w:sz w:val="20"/>
                <w:szCs w:val="20"/>
                <w:color w:val="auto"/>
              </w:rPr>
            </w:pPr>
            <w:r>
              <w:rPr>
                <w:rFonts w:ascii="Arial" w:cs="Arial" w:eastAsia="Arial" w:hAnsi="Arial"/>
                <w:sz w:val="18"/>
                <w:szCs w:val="18"/>
                <w:color w:val="auto"/>
              </w:rPr>
              <w:t>2019 Salary continuance through December 31, 2019</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743,600</w:t>
            </w: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7840" w:type="dxa"/>
            <w:vAlign w:val="bottom"/>
            <w:gridSpan w:val="2"/>
          </w:tcPr>
          <w:p>
            <w:pPr>
              <w:spacing w:after="0"/>
              <w:rPr>
                <w:sz w:val="20"/>
                <w:szCs w:val="20"/>
                <w:color w:val="auto"/>
              </w:rPr>
            </w:pPr>
            <w:r>
              <w:rPr>
                <w:rFonts w:ascii="Arial" w:cs="Arial" w:eastAsia="Arial" w:hAnsi="Arial"/>
                <w:sz w:val="18"/>
                <w:szCs w:val="18"/>
                <w:color w:val="auto"/>
              </w:rPr>
              <w:t>Annual Incentive Plans: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Fiscal 2019, assumes target, but will be paid based on actual performance (2)</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811,200</w:t>
            </w:r>
          </w:p>
        </w:tc>
        <w:tc>
          <w:tcPr>
            <w:tcW w:w="280" w:type="dxa"/>
            <w:vAlign w:val="bottom"/>
            <w:shd w:val="clear" w:color="auto" w:fill="CFF0FC"/>
          </w:tcPr>
          <w:p>
            <w:pPr>
              <w:spacing w:after="0"/>
              <w:rPr>
                <w:sz w:val="19"/>
                <w:szCs w:val="19"/>
                <w:color w:val="auto"/>
              </w:rPr>
            </w:pPr>
          </w:p>
        </w:tc>
      </w:tr>
      <w:tr>
        <w:trPr>
          <w:trHeight w:val="230"/>
        </w:trPr>
        <w:tc>
          <w:tcPr>
            <w:tcW w:w="78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7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Incentive Plans:</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Time-Based Awards, accelerated (1)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2017-2018</w:t>
            </w:r>
          </w:p>
        </w:tc>
        <w:tc>
          <w:tcPr>
            <w:tcW w:w="6800" w:type="dxa"/>
            <w:vAlign w:val="bottom"/>
          </w:tcPr>
          <w:p>
            <w:pPr>
              <w:ind w:left="40"/>
              <w:spacing w:after="0"/>
              <w:rPr>
                <w:sz w:val="20"/>
                <w:szCs w:val="20"/>
                <w:color w:val="auto"/>
              </w:rPr>
            </w:pPr>
            <w:r>
              <w:rPr>
                <w:rFonts w:ascii="Arial" w:cs="Arial" w:eastAsia="Arial" w:hAnsi="Arial"/>
                <w:sz w:val="18"/>
                <w:szCs w:val="18"/>
                <w:color w:val="auto"/>
              </w:rPr>
              <w:t>LTIP, 71,157 RSUs will vest December 31, 2019</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133,777</w:t>
            </w:r>
          </w:p>
        </w:tc>
        <w:tc>
          <w:tcPr>
            <w:tcW w:w="280" w:type="dxa"/>
            <w:vAlign w:val="bottom"/>
          </w:tcPr>
          <w:p>
            <w:pPr>
              <w:spacing w:after="0"/>
              <w:rPr>
                <w:sz w:val="20"/>
                <w:szCs w:val="20"/>
                <w:color w:val="auto"/>
              </w:rPr>
            </w:pPr>
          </w:p>
        </w:tc>
      </w:tr>
      <w:tr>
        <w:trPr>
          <w:trHeight w:val="230"/>
        </w:trPr>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2018-2020</w:t>
            </w: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LTIP, 138,904 RSUs will vest December 31, 2019</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261,140</w:t>
            </w:r>
          </w:p>
        </w:tc>
        <w:tc>
          <w:tcPr>
            <w:tcW w:w="280" w:type="dxa"/>
            <w:vAlign w:val="bottom"/>
            <w:shd w:val="clear" w:color="auto" w:fill="CFF0FC"/>
          </w:tcPr>
          <w:p>
            <w:pPr>
              <w:spacing w:after="0"/>
              <w:rPr>
                <w:sz w:val="19"/>
                <w:szCs w:val="19"/>
                <w:color w:val="auto"/>
              </w:rPr>
            </w:pPr>
          </w:p>
        </w:tc>
      </w:tr>
      <w:tr>
        <w:trPr>
          <w:trHeight w:val="229"/>
        </w:trPr>
        <w:tc>
          <w:tcPr>
            <w:tcW w:w="7840" w:type="dxa"/>
            <w:vAlign w:val="bottom"/>
            <w:gridSpan w:val="2"/>
          </w:tcPr>
          <w:p>
            <w:pPr>
              <w:ind w:left="120"/>
              <w:spacing w:after="0"/>
              <w:rPr>
                <w:sz w:val="20"/>
                <w:szCs w:val="20"/>
                <w:color w:val="auto"/>
              </w:rPr>
            </w:pPr>
            <w:r>
              <w:rPr>
                <w:rFonts w:ascii="Arial" w:cs="Arial" w:eastAsia="Arial" w:hAnsi="Arial"/>
                <w:sz w:val="18"/>
                <w:szCs w:val="18"/>
                <w:color w:val="auto"/>
              </w:rPr>
              <w:t>Performance-Based Awards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30"/>
        </w:trPr>
        <w:tc>
          <w:tcPr>
            <w:tcW w:w="1040" w:type="dxa"/>
            <w:vAlign w:val="bottom"/>
          </w:tcPr>
          <w:p>
            <w:pPr>
              <w:jc w:val="right"/>
              <w:spacing w:after="0"/>
              <w:rPr>
                <w:sz w:val="20"/>
                <w:szCs w:val="20"/>
                <w:color w:val="auto"/>
              </w:rPr>
            </w:pPr>
            <w:r>
              <w:rPr>
                <w:rFonts w:ascii="Arial" w:cs="Arial" w:eastAsia="Arial" w:hAnsi="Arial"/>
                <w:sz w:val="18"/>
                <w:szCs w:val="18"/>
                <w:color w:val="auto"/>
              </w:rPr>
              <w:t>2017-2018</w:t>
            </w:r>
          </w:p>
        </w:tc>
        <w:tc>
          <w:tcPr>
            <w:tcW w:w="6800" w:type="dxa"/>
            <w:vAlign w:val="bottom"/>
          </w:tcPr>
          <w:p>
            <w:pPr>
              <w:ind w:left="40"/>
              <w:spacing w:after="0"/>
              <w:rPr>
                <w:sz w:val="20"/>
                <w:szCs w:val="20"/>
                <w:color w:val="auto"/>
              </w:rPr>
            </w:pPr>
            <w:r>
              <w:rPr>
                <w:rFonts w:ascii="Arial" w:cs="Arial" w:eastAsia="Arial" w:hAnsi="Arial"/>
                <w:sz w:val="18"/>
                <w:szCs w:val="18"/>
                <w:color w:val="auto"/>
              </w:rPr>
              <w:t>LTIP, 41,052 RSUs will vest August 31, 2019 (1)</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77,178</w:t>
            </w:r>
          </w:p>
        </w:tc>
        <w:tc>
          <w:tcPr>
            <w:tcW w:w="280" w:type="dxa"/>
            <w:vAlign w:val="bottom"/>
          </w:tcPr>
          <w:p>
            <w:pPr>
              <w:spacing w:after="0"/>
              <w:rPr>
                <w:sz w:val="20"/>
                <w:szCs w:val="20"/>
                <w:color w:val="auto"/>
              </w:rPr>
            </w:pPr>
          </w:p>
        </w:tc>
      </w:tr>
      <w:tr>
        <w:trPr>
          <w:trHeight w:val="230"/>
        </w:trPr>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2018-2020</w:t>
            </w: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LTIP, assumes target, but will be paid based on actual performance (2)</w:t>
            </w: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405,600</w:t>
            </w:r>
          </w:p>
        </w:tc>
        <w:tc>
          <w:tcPr>
            <w:tcW w:w="280" w:type="dxa"/>
            <w:vAlign w:val="bottom"/>
            <w:shd w:val="clear" w:color="auto" w:fill="CFF0FC"/>
          </w:tcPr>
          <w:p>
            <w:pPr>
              <w:spacing w:after="0"/>
              <w:rPr>
                <w:sz w:val="19"/>
                <w:szCs w:val="19"/>
                <w:color w:val="auto"/>
              </w:rPr>
            </w:pPr>
          </w:p>
        </w:tc>
      </w:tr>
      <w:tr>
        <w:trPr>
          <w:trHeight w:val="230"/>
        </w:trPr>
        <w:tc>
          <w:tcPr>
            <w:tcW w:w="7840" w:type="dxa"/>
            <w:vAlign w:val="bottom"/>
            <w:tcBorders>
              <w:bottom w:val="single" w:sz="8" w:color="CFF0FC"/>
            </w:tcBorders>
            <w:gridSpan w:val="2"/>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r>
      <w:tr>
        <w:trPr>
          <w:trHeight w:val="223"/>
        </w:trPr>
        <w:tc>
          <w:tcPr>
            <w:tcW w:w="7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value of Mr. Levin's retirement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2,432,494</w:t>
            </w:r>
          </w:p>
        </w:tc>
        <w:tc>
          <w:tcPr>
            <w:tcW w:w="280" w:type="dxa"/>
            <w:vAlign w:val="bottom"/>
            <w:tcBorders>
              <w:bottom w:val="single" w:sz="8" w:color="CFF0FC"/>
            </w:tcBorders>
            <w:shd w:val="clear" w:color="auto" w:fill="CFF0FC"/>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98" w:lineRule="exact"/>
        <w:rPr>
          <w:sz w:val="20"/>
          <w:szCs w:val="20"/>
          <w:color w:val="auto"/>
        </w:rPr>
      </w:pPr>
    </w:p>
    <w:p>
      <w:pPr>
        <w:ind w:left="760" w:hanging="374"/>
        <w:spacing w:after="0" w:line="293"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value of the accelerated equity awards was calculated by taking the number of RSUs outstanding and multiplying those RSUs by $1.88, the closing stock price of our common stock on May 15, 2019.</w:t>
      </w:r>
    </w:p>
    <w:p>
      <w:pPr>
        <w:spacing w:after="0" w:line="172" w:lineRule="exact"/>
        <w:rPr>
          <w:rFonts w:ascii="Arial" w:cs="Arial" w:eastAsia="Arial" w:hAnsi="Arial"/>
          <w:sz w:val="16"/>
          <w:szCs w:val="16"/>
          <w:color w:val="auto"/>
        </w:rPr>
      </w:pPr>
    </w:p>
    <w:p>
      <w:pPr>
        <w:ind w:left="760" w:right="240" w:hanging="374"/>
        <w:spacing w:after="0" w:line="263"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6"/>
          <w:szCs w:val="16"/>
          <w:color w:val="auto"/>
        </w:rPr>
        <w:t>If the Company were to achieve the performance targets under the 2019 AIP and 2018-2020 LTIP, Mr. Levin would be entitled to receive the cash value of such award, if and at such time that the award is approved and granted by the Compensation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Senior Executives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have employment agreements with each of our Senior Executives, which includes our Executive Vice Presidents and our Senior Vice Presidents (the “Sr. Exec. Employment Agreements”). The term of each employment agreement begins on the respective effective date and continues until terminated by either party. Our Senior Executives are eligible to participate in our AIP. For fiscal 2018, our Executive Vice Presidents participated at a target rate of 55% and our Senior Vice Presidents at 40%. Senior Executives are also eligible to participate in our LTIPs at 70% of their respective average base salaries, as defined in the plan, depending on our performance (based on long-term performance goals). Each executive is entitled to vacation and to participate in and receive any other benefits customarily provided by us to our senior executives.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Sr. Exec. Employment Agreements provide that in the event the executive officer’s employment is terminated by us at any time for any reason other than “justifiable cause” (as defined in the Sr. Exec. Employment Agreements), disability or death, we are required to pay the executive his or her then current base salary for five months after the effective date of such termination. This severance benefit is conditioned upon the senior executive’s execution of a general release. The above-listed payments are not made if the senior executive is terminated with “justifiable cause,” the senior executive resigns, or the senior executive dies or becomes disabled. The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31" w:name="page32"/>
    <w:bookmarkEnd w:id="31"/>
    <w:p>
      <w:pPr>
        <w:ind w:right="140"/>
        <w:spacing w:after="0" w:line="277" w:lineRule="auto"/>
        <w:rPr>
          <w:sz w:val="20"/>
          <w:szCs w:val="20"/>
          <w:color w:val="auto"/>
        </w:rPr>
      </w:pPr>
      <w:r>
        <w:rPr>
          <w:rFonts w:ascii="Arial" w:cs="Arial" w:eastAsia="Arial" w:hAnsi="Arial"/>
          <w:sz w:val="18"/>
          <w:szCs w:val="18"/>
          <w:color w:val="auto"/>
        </w:rPr>
        <w:t>senior executives would also be entitled to additional payments or acceleration of awards under the AIP and LTIP programs, in accordance with the terms of those plans.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the event the senior executive’s employment is terminated at any time within one year following a Change of Control (as defined in the Sr. Exec. Employment Agreement) other than for "justifiable cause," or if the senior executive resigns for “good reason,” we shall pay the senior executive an amount equal to twelve months of executive’s highest base salary in effect at any time during the six month period ending on the date of the Change of Control. This payment also is conditioned upon the senior executive’s execution of a general release. Payments made under this provision are to be reduced if and to the extent necessary to avoid any payments or benefits to senior executive being treated as “excess parachute payments” within the meaning of Internal Revenue Code Section 280G(b)(i).</w:t>
      </w:r>
    </w:p>
    <w:p>
      <w:pPr>
        <w:spacing w:after="0" w:line="193"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Sr. Exec. Employment Agreements contain confidentiality provisions pursuant to which each senior executive agrees not to disclose confidential information regarding our Company. The Sr. Exec. Employment Agreements also contain covenants pursuant to which each senior executive agrees, during the term of his employment and for a one-year period following the termination of his employment, not to have any connection with any business which is a specialty retailer that primarily distributes, sells or markets so-called “big and tall” apparel of any kind for men or which utilizes the “big and tall” retail or wholesale marketing concept as part of its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Potential Payments to Other Named Executive Officers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following table shows the payments that would be made to our other Named Executive Officers assuming a “termination without cause” or a “resignation for good reason” (each a “Qualifying Termination”) or a Qualifying Termination following a Change in Control, described above, as of February 2,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 w:type="dxa"/>
            <w:vAlign w:val="bottom"/>
            <w:shd w:val="clear" w:color="auto" w:fill="CFF0FC"/>
          </w:tcPr>
          <w:p>
            <w:pPr>
              <w:spacing w:after="0"/>
              <w:rPr>
                <w:sz w:val="14"/>
                <w:szCs w:val="14"/>
                <w:color w:val="auto"/>
              </w:rPr>
            </w:pPr>
          </w:p>
        </w:tc>
        <w:tc>
          <w:tcPr>
            <w:tcW w:w="44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94"/>
              </w:rPr>
              <w:t>Continued Base</w:t>
            </w:r>
          </w:p>
        </w:tc>
        <w:tc>
          <w:tcPr>
            <w:tcW w:w="26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8"/>
              <w:spacing w:after="0"/>
              <w:rPr>
                <w:sz w:val="20"/>
                <w:szCs w:val="20"/>
                <w:color w:val="auto"/>
              </w:rPr>
            </w:pPr>
            <w:r>
              <w:rPr>
                <w:rFonts w:ascii="Arial" w:cs="Arial" w:eastAsia="Arial" w:hAnsi="Arial"/>
                <w:sz w:val="14"/>
                <w:szCs w:val="14"/>
                <w:color w:val="auto"/>
              </w:rPr>
              <w:t>Annual Incentive</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520" w:type="dxa"/>
            <w:vAlign w:val="bottom"/>
            <w:gridSpan w:val="5"/>
            <w:shd w:val="clear" w:color="auto" w:fill="CFF0FC"/>
          </w:tcPr>
          <w:p>
            <w:pPr>
              <w:ind w:left="340"/>
              <w:spacing w:after="0"/>
              <w:rPr>
                <w:sz w:val="20"/>
                <w:szCs w:val="20"/>
                <w:color w:val="auto"/>
              </w:rPr>
            </w:pPr>
            <w:r>
              <w:rPr>
                <w:rFonts w:ascii="Arial" w:cs="Arial" w:eastAsia="Arial" w:hAnsi="Arial"/>
                <w:sz w:val="14"/>
                <w:szCs w:val="14"/>
                <w:color w:val="auto"/>
              </w:rPr>
              <w:t>Long-Term Incentive Plan</w:t>
            </w:r>
          </w:p>
        </w:tc>
        <w:tc>
          <w:tcPr>
            <w:tcW w:w="80" w:type="dxa"/>
            <w:vAlign w:val="bottom"/>
            <w:shd w:val="clear" w:color="auto" w:fill="CFF0FC"/>
          </w:tcPr>
          <w:p>
            <w:pPr>
              <w:spacing w:after="0"/>
              <w:rPr>
                <w:sz w:val="14"/>
                <w:szCs w:val="14"/>
                <w:color w:val="auto"/>
              </w:rPr>
            </w:pPr>
          </w:p>
        </w:tc>
        <w:tc>
          <w:tcPr>
            <w:tcW w:w="1020" w:type="dxa"/>
            <w:vAlign w:val="bottom"/>
            <w:gridSpan w:val="2"/>
            <w:vMerge w:val="restart"/>
            <w:shd w:val="clear" w:color="auto" w:fill="CFF0FC"/>
          </w:tcPr>
          <w:p>
            <w:pPr>
              <w:jc w:val="center"/>
              <w:ind w:right="180"/>
              <w:spacing w:after="0"/>
              <w:rPr>
                <w:sz w:val="20"/>
                <w:szCs w:val="20"/>
                <w:color w:val="auto"/>
              </w:rPr>
            </w:pPr>
            <w:r>
              <w:rPr>
                <w:rFonts w:ascii="Arial" w:cs="Arial" w:eastAsia="Arial" w:hAnsi="Arial"/>
                <w:sz w:val="14"/>
                <w:szCs w:val="14"/>
                <w:color w:val="auto"/>
                <w:w w:val="93"/>
              </w:rPr>
              <w:t>Total Potential</w:t>
            </w:r>
          </w:p>
        </w:tc>
        <w:tc>
          <w:tcPr>
            <w:tcW w:w="0" w:type="dxa"/>
            <w:vAlign w:val="bottom"/>
          </w:tcPr>
          <w:p>
            <w:pPr>
              <w:spacing w:after="0"/>
              <w:rPr>
                <w:sz w:val="1"/>
                <w:szCs w:val="1"/>
                <w:color w:val="auto"/>
              </w:rPr>
            </w:pPr>
          </w:p>
        </w:tc>
      </w:tr>
      <w:tr>
        <w:trPr>
          <w:trHeight w:val="137"/>
        </w:trPr>
        <w:tc>
          <w:tcPr>
            <w:tcW w:w="360" w:type="dxa"/>
            <w:vAlign w:val="bottom"/>
            <w:tcBorders>
              <w:top w:val="single" w:sz="8" w:color="CFF0FC"/>
            </w:tcBorders>
            <w:shd w:val="clear" w:color="auto" w:fill="CFF0FC"/>
          </w:tcPr>
          <w:p>
            <w:pPr>
              <w:spacing w:after="0"/>
              <w:rPr>
                <w:sz w:val="11"/>
                <w:szCs w:val="11"/>
                <w:color w:val="auto"/>
              </w:rPr>
            </w:pPr>
          </w:p>
        </w:tc>
        <w:tc>
          <w:tcPr>
            <w:tcW w:w="44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gridSpan w:val="2"/>
            <w:vMerge w:val="continue"/>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140" w:type="dxa"/>
            <w:vAlign w:val="bottom"/>
            <w:tcBorders>
              <w:top w:val="single" w:sz="8" w:color="CFF0FC"/>
            </w:tcBorders>
            <w:gridSpan w:val="2"/>
            <w:vMerge w:val="continue"/>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gridSpan w:val="2"/>
            <w:shd w:val="clear" w:color="auto" w:fill="CFF0FC"/>
          </w:tcPr>
          <w:p>
            <w:pPr>
              <w:jc w:val="center"/>
              <w:ind w:right="340"/>
              <w:spacing w:after="0" w:line="137" w:lineRule="exact"/>
              <w:rPr>
                <w:sz w:val="20"/>
                <w:szCs w:val="20"/>
                <w:color w:val="auto"/>
              </w:rPr>
            </w:pPr>
            <w:r>
              <w:rPr>
                <w:rFonts w:ascii="Arial" w:cs="Arial" w:eastAsia="Arial" w:hAnsi="Arial"/>
                <w:sz w:val="14"/>
                <w:szCs w:val="14"/>
                <w:color w:val="auto"/>
                <w:w w:val="92"/>
              </w:rPr>
              <w:t>Time-Based</w:t>
            </w:r>
          </w:p>
        </w:tc>
        <w:tc>
          <w:tcPr>
            <w:tcW w:w="1220" w:type="dxa"/>
            <w:vAlign w:val="bottom"/>
            <w:tcBorders>
              <w:top w:val="single" w:sz="8" w:color="auto"/>
            </w:tcBorders>
            <w:gridSpan w:val="2"/>
            <w:shd w:val="clear" w:color="auto" w:fill="CFF0FC"/>
          </w:tcPr>
          <w:p>
            <w:pPr>
              <w:jc w:val="center"/>
              <w:spacing w:after="0" w:line="137" w:lineRule="exact"/>
              <w:rPr>
                <w:sz w:val="20"/>
                <w:szCs w:val="20"/>
                <w:color w:val="auto"/>
              </w:rPr>
            </w:pPr>
            <w:r>
              <w:rPr>
                <w:rFonts w:ascii="Arial" w:cs="Arial" w:eastAsia="Arial" w:hAnsi="Arial"/>
                <w:sz w:val="14"/>
                <w:szCs w:val="14"/>
                <w:color w:val="auto"/>
                <w:w w:val="89"/>
              </w:rPr>
              <w:t>Performance-Based</w:t>
            </w: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60" w:type="dxa"/>
            <w:vAlign w:val="bottom"/>
            <w:tcBorders>
              <w:bottom w:val="single" w:sz="8" w:color="auto"/>
            </w:tcBorders>
            <w:shd w:val="clear" w:color="auto" w:fill="CFF0FC"/>
          </w:tcPr>
          <w:p>
            <w:pPr>
              <w:spacing w:after="0" w:line="154" w:lineRule="exact"/>
              <w:rPr>
                <w:sz w:val="20"/>
                <w:szCs w:val="20"/>
                <w:color w:val="auto"/>
              </w:rPr>
            </w:pPr>
            <w:r>
              <w:rPr>
                <w:rFonts w:ascii="Arial" w:cs="Arial" w:eastAsia="Arial" w:hAnsi="Arial"/>
                <w:sz w:val="14"/>
                <w:szCs w:val="14"/>
                <w:color w:val="auto"/>
                <w:w w:val="90"/>
              </w:rPr>
              <w:t>Name</w:t>
            </w:r>
          </w:p>
        </w:tc>
        <w:tc>
          <w:tcPr>
            <w:tcW w:w="44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jc w:val="right"/>
              <w:ind w:right="188"/>
              <w:spacing w:after="0" w:line="154" w:lineRule="exact"/>
              <w:rPr>
                <w:sz w:val="20"/>
                <w:szCs w:val="20"/>
                <w:color w:val="auto"/>
              </w:rPr>
            </w:pPr>
            <w:r>
              <w:rPr>
                <w:rFonts w:ascii="Arial" w:cs="Arial" w:eastAsia="Arial" w:hAnsi="Arial"/>
                <w:sz w:val="14"/>
                <w:szCs w:val="14"/>
                <w:color w:val="auto"/>
              </w:rPr>
              <w:t xml:space="preserve">Salary </w:t>
            </w:r>
            <w:r>
              <w:rPr>
                <w:rFonts w:ascii="Arial" w:cs="Arial" w:eastAsia="Arial" w:hAnsi="Arial"/>
                <w:sz w:val="12"/>
                <w:szCs w:val="12"/>
                <w:color w:val="auto"/>
              </w:rPr>
              <w:t>(1)</w:t>
            </w:r>
          </w:p>
        </w:tc>
        <w:tc>
          <w:tcPr>
            <w:tcW w:w="2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ind w:right="288"/>
              <w:spacing w:after="0" w:line="154" w:lineRule="exact"/>
              <w:rPr>
                <w:sz w:val="20"/>
                <w:szCs w:val="20"/>
                <w:color w:val="auto"/>
              </w:rPr>
            </w:pPr>
            <w:r>
              <w:rPr>
                <w:rFonts w:ascii="Arial" w:cs="Arial" w:eastAsia="Arial" w:hAnsi="Arial"/>
                <w:sz w:val="14"/>
                <w:szCs w:val="14"/>
                <w:color w:val="auto"/>
              </w:rPr>
              <w:t xml:space="preserve">Plan </w:t>
            </w:r>
            <w:r>
              <w:rPr>
                <w:rFonts w:ascii="Arial" w:cs="Arial" w:eastAsia="Arial" w:hAnsi="Arial"/>
                <w:sz w:val="12"/>
                <w:szCs w:val="12"/>
                <w:color w:val="auto"/>
              </w:rPr>
              <w:t>(2)</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gridSpan w:val="2"/>
            <w:shd w:val="clear" w:color="auto" w:fill="CFF0FC"/>
          </w:tcPr>
          <w:p>
            <w:pPr>
              <w:jc w:val="center"/>
              <w:ind w:right="320"/>
              <w:spacing w:after="0" w:line="154" w:lineRule="exact"/>
              <w:rPr>
                <w:sz w:val="20"/>
                <w:szCs w:val="20"/>
                <w:color w:val="auto"/>
              </w:rPr>
            </w:pPr>
            <w:r>
              <w:rPr>
                <w:rFonts w:ascii="Arial" w:cs="Arial" w:eastAsia="Arial" w:hAnsi="Arial"/>
                <w:sz w:val="14"/>
                <w:szCs w:val="14"/>
                <w:color w:val="auto"/>
                <w:w w:val="91"/>
              </w:rPr>
              <w:t xml:space="preserve">Awards </w:t>
            </w:r>
            <w:r>
              <w:rPr>
                <w:rFonts w:ascii="Arial" w:cs="Arial" w:eastAsia="Arial" w:hAnsi="Arial"/>
                <w:sz w:val="12"/>
                <w:szCs w:val="12"/>
                <w:color w:val="auto"/>
                <w:w w:val="91"/>
              </w:rPr>
              <w:t>(3)</w:t>
            </w:r>
          </w:p>
        </w:tc>
        <w:tc>
          <w:tcPr>
            <w:tcW w:w="8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gridSpan w:val="2"/>
            <w:shd w:val="clear" w:color="auto" w:fill="CFF0FC"/>
          </w:tcPr>
          <w:p>
            <w:pPr>
              <w:jc w:val="center"/>
              <w:ind w:right="320"/>
              <w:spacing w:after="0" w:line="154" w:lineRule="exact"/>
              <w:rPr>
                <w:sz w:val="20"/>
                <w:szCs w:val="20"/>
                <w:color w:val="auto"/>
              </w:rPr>
            </w:pPr>
            <w:r>
              <w:rPr>
                <w:rFonts w:ascii="Arial" w:cs="Arial" w:eastAsia="Arial" w:hAnsi="Arial"/>
                <w:sz w:val="14"/>
                <w:szCs w:val="14"/>
                <w:color w:val="auto"/>
                <w:w w:val="91"/>
              </w:rPr>
              <w:t xml:space="preserve">Compensation </w:t>
            </w:r>
            <w:r>
              <w:rPr>
                <w:rFonts w:ascii="Arial" w:cs="Arial" w:eastAsia="Arial" w:hAnsi="Arial"/>
                <w:sz w:val="12"/>
                <w:szCs w:val="12"/>
                <w:color w:val="auto"/>
                <w:w w:val="91"/>
              </w:rPr>
              <w:t>(4)</w:t>
            </w:r>
          </w:p>
        </w:tc>
        <w:tc>
          <w:tcPr>
            <w:tcW w:w="8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gridSpan w:val="2"/>
            <w:shd w:val="clear" w:color="auto" w:fill="CFF0FC"/>
          </w:tcPr>
          <w:p>
            <w:pPr>
              <w:jc w:val="center"/>
              <w:ind w:right="180"/>
              <w:spacing w:after="0" w:line="154" w:lineRule="exact"/>
              <w:rPr>
                <w:sz w:val="20"/>
                <w:szCs w:val="20"/>
                <w:color w:val="auto"/>
              </w:rPr>
            </w:pPr>
            <w:r>
              <w:rPr>
                <w:rFonts w:ascii="Arial" w:cs="Arial" w:eastAsia="Arial" w:hAnsi="Arial"/>
                <w:sz w:val="14"/>
                <w:szCs w:val="14"/>
                <w:color w:val="auto"/>
                <w:w w:val="89"/>
              </w:rPr>
              <w:t>Payments</w:t>
            </w:r>
          </w:p>
        </w:tc>
        <w:tc>
          <w:tcPr>
            <w:tcW w:w="0" w:type="dxa"/>
            <w:vAlign w:val="bottom"/>
          </w:tcPr>
          <w:p>
            <w:pPr>
              <w:spacing w:after="0"/>
              <w:rPr>
                <w:sz w:val="1"/>
                <w:szCs w:val="1"/>
                <w:color w:val="auto"/>
              </w:rPr>
            </w:pPr>
          </w:p>
        </w:tc>
      </w:tr>
      <w:tr>
        <w:trPr>
          <w:trHeight w:val="149"/>
        </w:trPr>
        <w:tc>
          <w:tcPr>
            <w:tcW w:w="4820" w:type="dxa"/>
            <w:vAlign w:val="bottom"/>
            <w:gridSpan w:val="2"/>
          </w:tcPr>
          <w:p>
            <w:pPr>
              <w:spacing w:after="0" w:line="149" w:lineRule="exact"/>
              <w:rPr>
                <w:sz w:val="20"/>
                <w:szCs w:val="20"/>
                <w:color w:val="auto"/>
              </w:rPr>
            </w:pPr>
            <w:r>
              <w:rPr>
                <w:rFonts w:ascii="Arial" w:cs="Arial" w:eastAsia="Arial" w:hAnsi="Arial"/>
                <w:sz w:val="14"/>
                <w:szCs w:val="14"/>
                <w:color w:val="auto"/>
              </w:rPr>
              <w:t>Peter H. Stratton, Jr.</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Qualifying Termination</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197,500</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232,240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179,839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77,146</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686,725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60"/>
              <w:spacing w:after="0"/>
              <w:rPr>
                <w:sz w:val="20"/>
                <w:szCs w:val="20"/>
                <w:color w:val="auto"/>
              </w:rPr>
            </w:pPr>
            <w:r>
              <w:rPr>
                <w:rFonts w:ascii="Arial" w:cs="Arial" w:eastAsia="Arial" w:hAnsi="Arial"/>
                <w:sz w:val="14"/>
                <w:szCs w:val="14"/>
                <w:color w:val="auto"/>
              </w:rPr>
              <w:t>Qualifying Termination due to change in control</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395,000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232,240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179,839</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77,146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884,225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Brian S. Reaves</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60"/>
              <w:spacing w:after="0"/>
              <w:rPr>
                <w:sz w:val="20"/>
                <w:szCs w:val="20"/>
                <w:color w:val="auto"/>
              </w:rPr>
            </w:pPr>
            <w:r>
              <w:rPr>
                <w:rFonts w:ascii="Arial" w:cs="Arial" w:eastAsia="Arial" w:hAnsi="Arial"/>
                <w:sz w:val="14"/>
                <w:szCs w:val="14"/>
                <w:color w:val="auto"/>
              </w:rPr>
              <w:t>Qualifying Termination</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250,000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254,401</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168,822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84,583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757,807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Qualifying Termination due to change in control</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254,401</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168,822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84,583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1,007,807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spacing w:after="0"/>
              <w:rPr>
                <w:sz w:val="20"/>
                <w:szCs w:val="20"/>
                <w:color w:val="auto"/>
              </w:rPr>
            </w:pPr>
            <w:r>
              <w:rPr>
                <w:rFonts w:ascii="Arial" w:cs="Arial" w:eastAsia="Arial" w:hAnsi="Arial"/>
                <w:sz w:val="14"/>
                <w:szCs w:val="14"/>
                <w:color w:val="auto"/>
              </w:rPr>
              <w:t>James S. Davey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Qualifying Termination</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225,000</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190,303</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117,959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66,438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599,700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60"/>
              <w:spacing w:after="0"/>
              <w:rPr>
                <w:sz w:val="20"/>
                <w:szCs w:val="20"/>
                <w:color w:val="auto"/>
              </w:rPr>
            </w:pPr>
            <w:r>
              <w:rPr>
                <w:rFonts w:ascii="Arial" w:cs="Arial" w:eastAsia="Arial" w:hAnsi="Arial"/>
                <w:sz w:val="14"/>
                <w:szCs w:val="14"/>
                <w:color w:val="auto"/>
              </w:rPr>
              <w:t>Qualifying Termination due to change in control</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450,000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190,303</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117,959</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66,438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824,700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Robert S. Molloy</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tcPr>
          <w:p>
            <w:pPr>
              <w:ind w:left="260"/>
              <w:spacing w:after="0"/>
              <w:rPr>
                <w:sz w:val="20"/>
                <w:szCs w:val="20"/>
                <w:color w:val="auto"/>
              </w:rPr>
            </w:pPr>
            <w:r>
              <w:rPr>
                <w:rFonts w:ascii="Arial" w:cs="Arial" w:eastAsia="Arial" w:hAnsi="Arial"/>
                <w:sz w:val="14"/>
                <w:szCs w:val="14"/>
                <w:color w:val="auto"/>
              </w:rPr>
              <w:t>Qualifying Termination</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187,500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156,650</w:t>
            </w: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173,153</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73,938</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591,241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Qualifying Termination due to change in control</w:t>
            </w:r>
          </w:p>
        </w:tc>
        <w:tc>
          <w:tcPr>
            <w:tcW w:w="3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375,000</w:t>
            </w:r>
          </w:p>
        </w:tc>
        <w:tc>
          <w:tcPr>
            <w:tcW w:w="48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156,650</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173,153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73,938</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778,741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760" w:right="120" w:hanging="374"/>
        <w:spacing w:after="0" w:line="253"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Continued base salary for Qualifying Termination assumes six months of salary, which includes one month for notice. Continued base salary for Qualifying Termination due to change in control is one year.</w:t>
      </w:r>
    </w:p>
    <w:p>
      <w:pPr>
        <w:spacing w:after="0" w:line="65" w:lineRule="exact"/>
        <w:rPr>
          <w:rFonts w:ascii="Arial" w:cs="Arial" w:eastAsia="Arial" w:hAnsi="Arial"/>
          <w:sz w:val="14"/>
          <w:szCs w:val="14"/>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Reflects actual incentive earned for 2018 AIP.</w:t>
      </w:r>
    </w:p>
    <w:p>
      <w:pPr>
        <w:spacing w:after="0" w:line="95" w:lineRule="exact"/>
        <w:rPr>
          <w:rFonts w:ascii="Arial" w:cs="Arial" w:eastAsia="Arial" w:hAnsi="Arial"/>
          <w:sz w:val="14"/>
          <w:szCs w:val="14"/>
          <w:color w:val="auto"/>
        </w:rPr>
      </w:pPr>
    </w:p>
    <w:p>
      <w:pPr>
        <w:ind w:left="760" w:right="40" w:hanging="374"/>
        <w:spacing w:after="0" w:line="234"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Time-based awards under our LTIPs represent time-based RSUs under our 2016-2017 LTIP, 2017-2018 LTIP and 2018-2020 LTIP. Because the respective performance periods for the 2016-2017 LTIP and 2017-2018 LTIP are complete, all outstanding awards become fully vested under both a Qualifying Termination and Qualifying Termination due to a change in control. Because the 2018-2020 LTIP will have completed its first year of its performance period, each participant would vest in shares based on a pro-rata vesting percentage, which is calculated based on the number of effective days of participation over the total number of days in the performance period.</w:t>
      </w:r>
    </w:p>
    <w:p>
      <w:pPr>
        <w:spacing w:after="0" w:line="74" w:lineRule="exact"/>
        <w:rPr>
          <w:rFonts w:ascii="Arial" w:cs="Arial" w:eastAsia="Arial" w:hAnsi="Arial"/>
          <w:sz w:val="14"/>
          <w:szCs w:val="14"/>
          <w:color w:val="auto"/>
        </w:rPr>
      </w:pPr>
    </w:p>
    <w:p>
      <w:pPr>
        <w:ind w:left="760" w:right="60" w:hanging="374"/>
        <w:spacing w:after="0" w:line="234" w:lineRule="auto"/>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performance period for the 2017-2018 LTIP was completed and therefore at February 2, 2019, each participant would become fully vested in the actual award earned. With respect to the 2018-2020 LTIP, for a Qualifying Termination, each participant would be entitled to receive a pro-rated vesting percentage, at the end of the performance period based on the actual performance level achieved. The above table assumes actual performance level achieved is target. For a Qualifying Termination due to a change in control, each participant would be entitled to receive a pro-rated vesting percentage, at the date of the change in control at target.</w:t>
      </w:r>
    </w:p>
    <w:p>
      <w:pPr>
        <w:spacing w:after="0" w:line="74" w:lineRule="exact"/>
        <w:rPr>
          <w:rFonts w:ascii="Arial" w:cs="Arial" w:eastAsia="Arial" w:hAnsi="Arial"/>
          <w:sz w:val="14"/>
          <w:szCs w:val="14"/>
          <w:color w:val="auto"/>
        </w:rPr>
      </w:pPr>
    </w:p>
    <w:p>
      <w:pPr>
        <w:ind w:left="760" w:hanging="374"/>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outstanding time-based awards were valued using the closing stock price of our stock on February 1, 2019 of $2.52 per share.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Chief Executive Officer – Harvey S. Kanter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discussed above, the Company appointed Harvey S. Kanter as President, Chief Executive Officer and a director of the Company effective April 1,</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2019. From February 19, 2019 to March 31, 2019, Mr. Kanter was an employee of the Company and served as an Advisor to the Acting CEO. The following is a summary of the compensation established by the Compensation Committee for Mr. Kanter: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ind w:left="760" w:right="240" w:hanging="374"/>
        <w:spacing w:after="0" w:line="264"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Employment Term</w:t>
      </w:r>
      <w:r>
        <w:rPr>
          <w:rFonts w:ascii="Arial" w:cs="Arial" w:eastAsia="Arial" w:hAnsi="Arial"/>
          <w:sz w:val="18"/>
          <w:szCs w:val="18"/>
          <w:color w:val="auto"/>
        </w:rPr>
        <w:t>. The initial term of Mr. Kanter’s employment agreement is three years, ending on March 31, 2022, and will automatically renew, upon the same terms and conditions, for successive periods of one year, unless either party terminates in accordance with the terms of the employment agreement</w:t>
      </w:r>
    </w:p>
    <w:p>
      <w:pPr>
        <w:spacing w:after="0" w:line="181" w:lineRule="exact"/>
        <w:rPr>
          <w:rFonts w:ascii="Arial" w:cs="Arial" w:eastAsia="Arial" w:hAnsi="Arial"/>
          <w:sz w:val="18"/>
          <w:szCs w:val="18"/>
          <w:color w:val="auto"/>
        </w:rPr>
      </w:pPr>
    </w:p>
    <w:p>
      <w:pPr>
        <w:ind w:left="760" w:right="10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Mr. Kanter received compensation of $50,000 for the period from February 19, 2019 to March 31, 2019 for his services as an Advisor to the Acting CEO and receives an annual base salary of $735,000 as President and Chief Executive Officer.</w:t>
      </w:r>
    </w:p>
    <w:p>
      <w:pPr>
        <w:spacing w:after="0" w:line="170" w:lineRule="exact"/>
        <w:rPr>
          <w:rFonts w:ascii="Arial" w:cs="Arial" w:eastAsia="Arial" w:hAnsi="Arial"/>
          <w:sz w:val="18"/>
          <w:szCs w:val="18"/>
          <w:color w:val="auto"/>
        </w:rPr>
      </w:pPr>
    </w:p>
    <w:p>
      <w:pPr>
        <w:ind w:left="760" w:right="20" w:hanging="374"/>
        <w:spacing w:after="0" w:line="290"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Signing Awards</w:t>
      </w:r>
      <w:r>
        <w:rPr>
          <w:rFonts w:ascii="Arial" w:cs="Arial" w:eastAsia="Arial" w:hAnsi="Arial"/>
          <w:sz w:val="16"/>
          <w:szCs w:val="16"/>
          <w:color w:val="auto"/>
        </w:rPr>
        <w:t>. On February 19, 2019, Mr. Kanter received (i) a one-time grant of 240,000 restricted stock units, which will vest in four equal annual installments beginning April 1, 2020 and (ii) a one-time grant of 720,000 performance stock units (PSUs), which will be settled in shares of the Company’s common stock upon vesting. The PSUs vest in three equal installments, if any, when the Company’s 90-day volume-weighted average closing price of its stock (“Average Share Price”) reaches $4.00, $6.00 and $8.00. Any performance shares that are unvested at April 1, 2023 will be forfeited. If a change in control occurs and the per share value of the Company’s common stock as of the date of the change in control equals or exceeds any of the targeted Average Share Price vesting triggers, then the PSUs would vest to the same extent as if the Average Share Price for such vesting threshold had been achieved as of date of the change in control. This ensures that any vesting of the PSUs award remains aligned with our shareholder interests and only vests based on the actual achievement of the targeted Company’s stock price.</w:t>
      </w:r>
    </w:p>
    <w:p>
      <w:pPr>
        <w:spacing w:after="0" w:line="166" w:lineRule="exact"/>
        <w:rPr>
          <w:rFonts w:ascii="Arial" w:cs="Arial" w:eastAsia="Arial" w:hAnsi="Arial"/>
          <w:sz w:val="16"/>
          <w:szCs w:val="16"/>
          <w:color w:val="auto"/>
        </w:rPr>
      </w:pPr>
    </w:p>
    <w:p>
      <w:pPr>
        <w:ind w:left="760" w:right="14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Annual Incentive Plan</w:t>
      </w:r>
      <w:r>
        <w:rPr>
          <w:rFonts w:ascii="Arial" w:cs="Arial" w:eastAsia="Arial" w:hAnsi="Arial"/>
          <w:sz w:val="18"/>
          <w:szCs w:val="18"/>
          <w:color w:val="auto"/>
        </w:rPr>
        <w:t>. Mr. Kanter is eligible to earn an annual target bonus equal to 100% of his earned salary, with a maximum payout of 200% of target.</w:t>
      </w:r>
    </w:p>
    <w:p>
      <w:pPr>
        <w:spacing w:after="0" w:line="170" w:lineRule="exact"/>
        <w:rPr>
          <w:rFonts w:ascii="Arial" w:cs="Arial" w:eastAsia="Arial" w:hAnsi="Arial"/>
          <w:sz w:val="18"/>
          <w:szCs w:val="18"/>
          <w:color w:val="auto"/>
        </w:rPr>
      </w:pPr>
    </w:p>
    <w:p>
      <w:pPr>
        <w:ind w:left="760" w:right="260" w:hanging="374"/>
        <w:spacing w:after="0" w:line="259"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Long-Term Incentive Plans</w:t>
      </w:r>
      <w:r>
        <w:rPr>
          <w:rFonts w:ascii="Arial" w:cs="Arial" w:eastAsia="Arial" w:hAnsi="Arial"/>
          <w:sz w:val="18"/>
          <w:szCs w:val="18"/>
          <w:color w:val="auto"/>
        </w:rPr>
        <w:t>. Mr. Kanter is eligible to earn a target bonus equal to 170% of his base salary in effect on the effective date of participation. Pursuant to the terms of the LTIP, 50% of any award will be time-based compensation and 50% will be performance-based compensation. Maximum payout of performance-based compensation is 150% of target. Mr. Kanter waived his right to participate in the 2018-2020 LTIP.</w:t>
      </w:r>
    </w:p>
    <w:p>
      <w:pPr>
        <w:spacing w:after="0" w:line="186" w:lineRule="exact"/>
        <w:rPr>
          <w:rFonts w:ascii="Arial" w:cs="Arial" w:eastAsia="Arial" w:hAnsi="Arial"/>
          <w:sz w:val="18"/>
          <w:szCs w:val="18"/>
          <w:color w:val="auto"/>
        </w:rPr>
      </w:pPr>
    </w:p>
    <w:p>
      <w:pPr>
        <w:ind w:left="760" w:right="120" w:hanging="374"/>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Housing Allowance</w:t>
      </w:r>
      <w:r>
        <w:rPr>
          <w:rFonts w:ascii="Arial" w:cs="Arial" w:eastAsia="Arial" w:hAnsi="Arial"/>
          <w:sz w:val="18"/>
          <w:szCs w:val="18"/>
          <w:color w:val="auto"/>
        </w:rPr>
        <w:t>. Mr. Kanter received a housing allowance of $100,000 in April 2019 and will receive $50,000 on each of the first and second anniversaries of April 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 Policy</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employment agreements contain a “clawback” provision that provides for remedies in the event we learn, after the executive’s termination by us, other than for “justifiable cause,” that his or her termination could have been terminated for “justifiable cause.” Pursuant to the employment agreements, an executive shall be required to pay to the Company all amounts paid to the executive other than such portion of an executive’s base salary and reimbursement of expenses accrued through the date of the termination; all vested and unvested awards, as defined therein, held by the executive shall immediately expire; and the executive shall be required to pay to the Company an amount equal to any gains resulting from the exercise or payment of any awards.</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August 2018, our Compensation Committee approved a clawback policy that will require our NEOs to reimburse the Company for bonuses and other incentive compensation and stock sale profits if the Company is required to restate its financial statements, as a result of misconduct, due to material noncompliance with the financial reporting requirements of the securities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fiscal 2018.</w:t>
      </w:r>
    </w:p>
    <w:p>
      <w:pPr>
        <w:spacing w:after="0" w:line="38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2018 GRANTS OF PLAN-BASED AWARDS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All Other</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All Other</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Date</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Stock</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2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Exercise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Fair</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2"/>
              </w:rPr>
              <w:t>Awards:</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200" w:type="dxa"/>
            <w:vAlign w:val="bottom"/>
          </w:tcPr>
          <w:p>
            <w:pPr>
              <w:spacing w:after="0"/>
              <w:rPr>
                <w:sz w:val="10"/>
                <w:szCs w:val="10"/>
                <w:color w:val="auto"/>
              </w:rPr>
            </w:pPr>
          </w:p>
        </w:tc>
        <w:tc>
          <w:tcPr>
            <w:tcW w:w="4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4"/>
              </w:rPr>
              <w:t>or Base</w:t>
            </w:r>
          </w:p>
        </w:tc>
        <w:tc>
          <w:tcPr>
            <w:tcW w:w="80" w:type="dxa"/>
            <w:vAlign w:val="bottom"/>
          </w:tcPr>
          <w:p>
            <w:pPr>
              <w:spacing w:after="0"/>
              <w:rPr>
                <w:sz w:val="10"/>
                <w:szCs w:val="10"/>
                <w:color w:val="auto"/>
              </w:rPr>
            </w:pPr>
          </w:p>
        </w:tc>
        <w:tc>
          <w:tcPr>
            <w:tcW w:w="52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6"/>
          </w:tcPr>
          <w:p>
            <w:pPr>
              <w:jc w:val="center"/>
              <w:ind w:left="326"/>
              <w:spacing w:after="0" w:line="122" w:lineRule="exact"/>
              <w:rPr>
                <w:sz w:val="20"/>
                <w:szCs w:val="20"/>
                <w:color w:val="auto"/>
              </w:rPr>
            </w:pPr>
            <w:r>
              <w:rPr>
                <w:rFonts w:ascii="Arial" w:cs="Arial" w:eastAsia="Arial" w:hAnsi="Arial"/>
                <w:sz w:val="11"/>
                <w:szCs w:val="11"/>
                <w:b w:val="1"/>
                <w:bCs w:val="1"/>
                <w:color w:val="auto"/>
                <w:w w:val="88"/>
              </w:rPr>
              <w:t>Estimated Future Payouts</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Number</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Price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0" w:type="dxa"/>
            <w:vAlign w:val="bottom"/>
          </w:tcPr>
          <w:p>
            <w:pPr>
              <w:spacing w:after="0"/>
              <w:rPr>
                <w:sz w:val="1"/>
                <w:szCs w:val="1"/>
                <w:color w:val="auto"/>
              </w:rPr>
            </w:pPr>
          </w:p>
        </w:tc>
      </w:tr>
      <w:tr>
        <w:trPr>
          <w:trHeight w:val="122"/>
        </w:trPr>
        <w:tc>
          <w:tcPr>
            <w:tcW w:w="2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1"/>
              </w:rPr>
              <w:t>Under Non-Equity</w:t>
            </w: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gridSpan w:val="3"/>
          </w:tcPr>
          <w:p>
            <w:pPr>
              <w:jc w:val="center"/>
              <w:ind w:left="46"/>
              <w:spacing w:after="0" w:line="122" w:lineRule="exact"/>
              <w:rPr>
                <w:sz w:val="20"/>
                <w:szCs w:val="20"/>
                <w:color w:val="auto"/>
              </w:rPr>
            </w:pPr>
            <w:r>
              <w:rPr>
                <w:rFonts w:ascii="Arial" w:cs="Arial" w:eastAsia="Arial" w:hAnsi="Arial"/>
                <w:sz w:val="11"/>
                <w:szCs w:val="11"/>
                <w:b w:val="1"/>
                <w:bCs w:val="1"/>
                <w:color w:val="auto"/>
                <w:w w:val="93"/>
              </w:rPr>
              <w:t>Under Equity</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of Shares</w:t>
            </w:r>
          </w:p>
        </w:tc>
        <w:tc>
          <w:tcPr>
            <w:tcW w:w="6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and</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Service</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9"/>
              </w:rPr>
              <w:t>Incentive Plan Awards</w:t>
            </w: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6"/>
          </w:tcPr>
          <w:p>
            <w:pPr>
              <w:jc w:val="center"/>
              <w:ind w:left="326"/>
              <w:spacing w:after="0"/>
              <w:rPr>
                <w:sz w:val="20"/>
                <w:szCs w:val="20"/>
                <w:color w:val="auto"/>
              </w:rPr>
            </w:pPr>
            <w:r>
              <w:rPr>
                <w:rFonts w:ascii="Arial" w:cs="Arial" w:eastAsia="Arial" w:hAnsi="Arial"/>
                <w:sz w:val="11"/>
                <w:szCs w:val="11"/>
                <w:b w:val="1"/>
                <w:bCs w:val="1"/>
                <w:color w:val="auto"/>
                <w:w w:val="89"/>
              </w:rPr>
              <w:t>Incentive Plan Awards</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2"/>
              </w:rPr>
              <w:t>of Stock</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0"/>
              </w:rPr>
              <w:t>Underlying</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center"/>
              <w:ind w:right="6"/>
              <w:spacing w:after="0"/>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28"/>
        </w:trPr>
        <w:tc>
          <w:tcPr>
            <w:tcW w:w="24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Grant</w:t>
            </w: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Inception</w:t>
            </w:r>
          </w:p>
        </w:tc>
        <w:tc>
          <w:tcPr>
            <w:tcW w:w="5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3"/>
              </w:rPr>
              <w:t>Threshold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w w:val="89"/>
              </w:rPr>
              <w:t>Target</w:t>
            </w:r>
          </w:p>
        </w:tc>
        <w:tc>
          <w:tcPr>
            <w:tcW w:w="60" w:type="dxa"/>
            <w:vAlign w:val="bottom"/>
          </w:tcPr>
          <w:p>
            <w:pPr>
              <w:spacing w:after="0"/>
              <w:rPr>
                <w:sz w:val="11"/>
                <w:szCs w:val="11"/>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90"/>
              </w:rPr>
              <w:t>Maximum</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b w:val="1"/>
                <w:bCs w:val="1"/>
                <w:color w:val="auto"/>
                <w:w w:val="86"/>
              </w:rPr>
              <w:t>Threshold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5"/>
              </w:rPr>
              <w:t>Target</w:t>
            </w:r>
          </w:p>
        </w:tc>
        <w:tc>
          <w:tcPr>
            <w:tcW w:w="180" w:type="dxa"/>
            <w:vAlign w:val="bottom"/>
          </w:tcPr>
          <w:p>
            <w:pPr>
              <w:spacing w:after="0"/>
              <w:rPr>
                <w:sz w:val="11"/>
                <w:szCs w:val="11"/>
                <w:color w:val="auto"/>
              </w:rPr>
            </w:pPr>
          </w:p>
        </w:tc>
        <w:tc>
          <w:tcPr>
            <w:tcW w:w="58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w w:val="98"/>
              </w:rPr>
              <w:t>Maximum</w:t>
            </w:r>
          </w:p>
        </w:tc>
        <w:tc>
          <w:tcPr>
            <w:tcW w:w="160" w:type="dxa"/>
            <w:vAlign w:val="bottom"/>
          </w:tcPr>
          <w:p>
            <w:pPr>
              <w:spacing w:after="0"/>
              <w:rPr>
                <w:sz w:val="11"/>
                <w:szCs w:val="11"/>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or Units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1"/>
              </w:rPr>
              <w:t>Options</w:t>
            </w:r>
          </w:p>
        </w:tc>
        <w:tc>
          <w:tcPr>
            <w:tcW w:w="20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0"/>
              </w:rPr>
              <w:t>Awards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140" w:type="dxa"/>
            <w:vAlign w:val="bottom"/>
          </w:tcPr>
          <w:p>
            <w:pPr>
              <w:spacing w:after="0"/>
              <w:rPr>
                <w:sz w:val="11"/>
                <w:szCs w:val="11"/>
                <w:color w:val="auto"/>
              </w:rPr>
            </w:pPr>
          </w:p>
        </w:tc>
        <w:tc>
          <w:tcPr>
            <w:tcW w:w="44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6"/>
              <w:spacing w:after="0"/>
              <w:rPr>
                <w:sz w:val="20"/>
                <w:szCs w:val="20"/>
                <w:color w:val="auto"/>
              </w:rPr>
            </w:pPr>
            <w:r>
              <w:rPr>
                <w:rFonts w:ascii="Arial" w:cs="Arial" w:eastAsia="Arial" w:hAnsi="Arial"/>
                <w:sz w:val="11"/>
                <w:szCs w:val="11"/>
                <w:b w:val="1"/>
                <w:bCs w:val="1"/>
                <w:color w:val="auto"/>
                <w:w w:val="88"/>
              </w:rPr>
              <w:t>($)</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 (1)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rPr>
              <w:t>($) (1)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right"/>
              <w:ind w:right="106"/>
              <w:spacing w:after="0"/>
              <w:rPr>
                <w:sz w:val="20"/>
                <w:szCs w:val="20"/>
                <w:color w:val="auto"/>
              </w:rPr>
            </w:pPr>
            <w:r>
              <w:rPr>
                <w:rFonts w:ascii="Arial" w:cs="Arial" w:eastAsia="Arial" w:hAnsi="Arial"/>
                <w:sz w:val="11"/>
                <w:szCs w:val="11"/>
                <w:b w:val="1"/>
                <w:bCs w:val="1"/>
                <w:color w:val="auto"/>
                <w:w w:val="93"/>
              </w:rPr>
              <w:t>($) (1)</w:t>
            </w:r>
          </w:p>
        </w:tc>
        <w:tc>
          <w:tcPr>
            <w:tcW w:w="16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1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 / Sh)</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center"/>
              <w:ind w:right="26"/>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rPr>
                <w:sz w:val="20"/>
                <w:szCs w:val="20"/>
                <w:color w:val="auto"/>
              </w:rPr>
            </w:pPr>
            <w:r>
              <w:rPr>
                <w:rFonts w:ascii="Arial" w:cs="Arial" w:eastAsia="Arial" w:hAnsi="Arial"/>
                <w:sz w:val="11"/>
                <w:szCs w:val="11"/>
                <w:color w:val="auto"/>
              </w:rPr>
              <w:t>David A. Levin</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162,240</w:t>
            </w: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811,200</w:t>
            </w:r>
          </w:p>
        </w:tc>
        <w:tc>
          <w:tcPr>
            <w:tcW w:w="38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1,216,800</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 AIP (2)</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138,904</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405,600</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Performance-Based (3)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50,700</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405,600</w:t>
            </w:r>
          </w:p>
        </w:tc>
        <w:tc>
          <w:tcPr>
            <w:tcW w:w="30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608,400</w:t>
            </w: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420" w:type="dxa"/>
            <w:vAlign w:val="bottom"/>
          </w:tcPr>
          <w:p>
            <w:pPr>
              <w:spacing w:after="0"/>
              <w:rPr>
                <w:sz w:val="20"/>
                <w:szCs w:val="20"/>
                <w:color w:val="auto"/>
              </w:rPr>
            </w:pPr>
            <w:r>
              <w:rPr>
                <w:rFonts w:ascii="Arial" w:cs="Arial" w:eastAsia="Arial" w:hAnsi="Arial"/>
                <w:sz w:val="11"/>
                <w:szCs w:val="11"/>
                <w:color w:val="auto"/>
              </w:rPr>
              <w:t>Peter H. Stratton, Jr.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-2018 AIP (2)</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5/2/2018</w:t>
            </w:r>
          </w:p>
        </w:tc>
        <w:tc>
          <w:tcPr>
            <w:tcW w:w="10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43,450</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217,250</w:t>
            </w:r>
          </w:p>
        </w:tc>
        <w:tc>
          <w:tcPr>
            <w:tcW w:w="3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325,875</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-2018-2020 LTIP, Time-Based (3)</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47,345</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138,247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20"/>
              <w:spacing w:after="0"/>
              <w:rPr>
                <w:sz w:val="20"/>
                <w:szCs w:val="20"/>
                <w:color w:val="auto"/>
              </w:rPr>
            </w:pPr>
            <w:r>
              <w:rPr>
                <w:rFonts w:ascii="Arial" w:cs="Arial" w:eastAsia="Arial" w:hAnsi="Arial"/>
                <w:sz w:val="11"/>
                <w:szCs w:val="11"/>
                <w:color w:val="auto"/>
              </w:rPr>
              <w:t>-2018-2020 LTIP, Performance-Based (3)</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17,281</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138,250</w:t>
            </w:r>
          </w:p>
        </w:tc>
        <w:tc>
          <w:tcPr>
            <w:tcW w:w="30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207,375</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rPr>
                <w:sz w:val="20"/>
                <w:szCs w:val="20"/>
                <w:color w:val="auto"/>
              </w:rPr>
            </w:pPr>
            <w:r>
              <w:rPr>
                <w:rFonts w:ascii="Arial" w:cs="Arial" w:eastAsia="Arial" w:hAnsi="Arial"/>
                <w:sz w:val="11"/>
                <w:szCs w:val="11"/>
                <w:color w:val="auto"/>
              </w:rPr>
              <w:t>Brian S. Reaves</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44,000</w:t>
            </w: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220,000</w:t>
            </w:r>
          </w:p>
        </w:tc>
        <w:tc>
          <w:tcPr>
            <w:tcW w:w="38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330,000</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 AIP (2)</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59,931</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174,999</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Performance-Based (3)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21,875</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175,000</w:t>
            </w:r>
          </w:p>
        </w:tc>
        <w:tc>
          <w:tcPr>
            <w:tcW w:w="30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262,500</w:t>
            </w: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420" w:type="dxa"/>
            <w:vAlign w:val="bottom"/>
          </w:tcPr>
          <w:p>
            <w:pPr>
              <w:spacing w:after="0"/>
              <w:rPr>
                <w:sz w:val="20"/>
                <w:szCs w:val="20"/>
                <w:color w:val="auto"/>
              </w:rPr>
            </w:pPr>
            <w:r>
              <w:rPr>
                <w:rFonts w:ascii="Arial" w:cs="Arial" w:eastAsia="Arial" w:hAnsi="Arial"/>
                <w:sz w:val="11"/>
                <w:szCs w:val="11"/>
                <w:color w:val="auto"/>
              </w:rPr>
              <w:t>James S. Davey</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-New hire awards (4)</w:t>
            </w: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30,000</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138,888</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2.50</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225,000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-2017-2018 LTIP, Time-Based (4)</w:t>
            </w: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30,608</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76,520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-2017-2018 LTIP, Performance-Based (4)</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19,130</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76,520</w:t>
            </w:r>
          </w:p>
        </w:tc>
        <w:tc>
          <w:tcPr>
            <w:tcW w:w="30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114,780</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-2018 AIP (2)</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5/2/2018</w:t>
            </w:r>
          </w:p>
        </w:tc>
        <w:tc>
          <w:tcPr>
            <w:tcW w:w="10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44,740</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223,702</w:t>
            </w:r>
          </w:p>
        </w:tc>
        <w:tc>
          <w:tcPr>
            <w:tcW w:w="3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335,553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tcPr>
          <w:p>
            <w:pPr>
              <w:ind w:left="220"/>
              <w:spacing w:after="0"/>
              <w:rPr>
                <w:sz w:val="20"/>
                <w:szCs w:val="20"/>
                <w:color w:val="auto"/>
              </w:rPr>
            </w:pPr>
            <w:r>
              <w:rPr>
                <w:rFonts w:ascii="Arial" w:cs="Arial" w:eastAsia="Arial" w:hAnsi="Arial"/>
                <w:sz w:val="11"/>
                <w:szCs w:val="11"/>
                <w:color w:val="auto"/>
              </w:rPr>
              <w:t>-2018-2020 LTIP, Time-Based (3)</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53,938</w:t>
            </w:r>
          </w:p>
        </w:tc>
        <w:tc>
          <w:tcPr>
            <w:tcW w:w="1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157,499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420" w:type="dxa"/>
            <w:vAlign w:val="bottom"/>
          </w:tcPr>
          <w:p>
            <w:pPr>
              <w:ind w:left="220"/>
              <w:spacing w:after="0"/>
              <w:rPr>
                <w:sz w:val="20"/>
                <w:szCs w:val="20"/>
                <w:color w:val="auto"/>
              </w:rPr>
            </w:pPr>
            <w:r>
              <w:rPr>
                <w:rFonts w:ascii="Arial" w:cs="Arial" w:eastAsia="Arial" w:hAnsi="Arial"/>
                <w:sz w:val="11"/>
                <w:szCs w:val="11"/>
                <w:color w:val="auto"/>
              </w:rPr>
              <w:t>-2018-2020 LTIP, Performance-Based (3)</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19,688</w:t>
            </w:r>
          </w:p>
        </w:tc>
        <w:tc>
          <w:tcPr>
            <w:tcW w:w="2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157,500</w:t>
            </w:r>
          </w:p>
        </w:tc>
        <w:tc>
          <w:tcPr>
            <w:tcW w:w="30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236,250</w:t>
            </w:r>
          </w:p>
        </w:tc>
        <w:tc>
          <w:tcPr>
            <w:tcW w:w="16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spacing w:after="0"/>
              <w:rPr>
                <w:sz w:val="20"/>
                <w:szCs w:val="20"/>
                <w:color w:val="auto"/>
              </w:rPr>
            </w:pPr>
            <w:r>
              <w:rPr>
                <w:rFonts w:ascii="Arial" w:cs="Arial" w:eastAsia="Arial" w:hAnsi="Arial"/>
                <w:sz w:val="11"/>
                <w:szCs w:val="11"/>
                <w:color w:val="auto"/>
              </w:rPr>
              <w:t>Robert S. Molloy</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5/2/2018</w:t>
            </w:r>
          </w:p>
        </w:tc>
        <w:tc>
          <w:tcPr>
            <w:tcW w:w="10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27,600</w:t>
            </w:r>
          </w:p>
        </w:tc>
        <w:tc>
          <w:tcPr>
            <w:tcW w:w="4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1"/>
                <w:szCs w:val="11"/>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138,000</w:t>
            </w:r>
          </w:p>
        </w:tc>
        <w:tc>
          <w:tcPr>
            <w:tcW w:w="38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207,000</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 AIP (2)</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440" w:type="dxa"/>
            <w:vAlign w:val="bottom"/>
            <w:vMerge w:val="continue"/>
            <w:shd w:val="clear" w:color="auto" w:fill="CFF0FC"/>
          </w:tcPr>
          <w:p>
            <w:pPr>
              <w:spacing w:after="0"/>
              <w:rPr>
                <w:sz w:val="11"/>
                <w:szCs w:val="11"/>
                <w:color w:val="auto"/>
              </w:rPr>
            </w:pPr>
          </w:p>
        </w:tc>
        <w:tc>
          <w:tcPr>
            <w:tcW w:w="480" w:type="dxa"/>
            <w:vAlign w:val="bottom"/>
            <w:gridSpan w:val="2"/>
            <w:vMerge w:val="continue"/>
            <w:shd w:val="clear" w:color="auto" w:fill="CFF0FC"/>
          </w:tcPr>
          <w:p>
            <w:pPr>
              <w:spacing w:after="0"/>
              <w:rPr>
                <w:sz w:val="11"/>
                <w:szCs w:val="11"/>
                <w:color w:val="auto"/>
              </w:rPr>
            </w:pPr>
          </w:p>
        </w:tc>
        <w:tc>
          <w:tcPr>
            <w:tcW w:w="520" w:type="dxa"/>
            <w:vAlign w:val="bottom"/>
            <w:vMerge w:val="continue"/>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0" w:type="dxa"/>
            <w:vAlign w:val="bottom"/>
            <w:vMerge w:val="continue"/>
            <w:shd w:val="clear" w:color="auto" w:fill="CFF0FC"/>
          </w:tcPr>
          <w:p>
            <w:pPr>
              <w:spacing w:after="0"/>
              <w:rPr>
                <w:sz w:val="11"/>
                <w:szCs w:val="11"/>
                <w:color w:val="auto"/>
              </w:rPr>
            </w:pPr>
          </w:p>
        </w:tc>
        <w:tc>
          <w:tcPr>
            <w:tcW w:w="54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vMerge w:val="continue"/>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62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Time-Based (3)</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44,948</w:t>
            </w: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131,248</w:t>
            </w:r>
          </w:p>
        </w:tc>
        <w:tc>
          <w:tcPr>
            <w:tcW w:w="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FF0FC"/>
          </w:tcPr>
          <w:p>
            <w:pPr>
              <w:ind w:left="220"/>
              <w:spacing w:after="0"/>
              <w:rPr>
                <w:sz w:val="20"/>
                <w:szCs w:val="20"/>
                <w:color w:val="auto"/>
              </w:rPr>
            </w:pPr>
            <w:r>
              <w:rPr>
                <w:rFonts w:ascii="Arial" w:cs="Arial" w:eastAsia="Arial" w:hAnsi="Arial"/>
                <w:sz w:val="11"/>
                <w:szCs w:val="11"/>
                <w:color w:val="auto"/>
              </w:rPr>
              <w:t>-2018-2020 LTIP, Performance-Based (3)</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10/24/2018</w:t>
            </w: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4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16,406</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131,250</w:t>
            </w:r>
          </w:p>
        </w:tc>
        <w:tc>
          <w:tcPr>
            <w:tcW w:w="300" w:type="dxa"/>
            <w:vAlign w:val="bottom"/>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196,875</w:t>
            </w:r>
          </w:p>
        </w:tc>
        <w:tc>
          <w:tcPr>
            <w:tcW w:w="16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760" w:right="340" w:hanging="374"/>
        <w:spacing w:after="0" w:line="274"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Performance-based awards under the LTIP plans are denominated in dollars at the service inception date. The actual grant date of equity awards will occur only if the performance targets are achieved. See footnote 3 below for additional information on the 2018-2020 LTIP.</w:t>
      </w:r>
    </w:p>
    <w:p>
      <w:pPr>
        <w:ind w:left="760" w:right="160" w:hanging="374"/>
        <w:spacing w:after="0" w:line="250"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threshold payout for each executive assumes the achievement of only the individual personal goals, target payout assumes 100%, and the maximum payout assumes 150% of the payout targets under the 2018 AIP. See “</w:t>
      </w:r>
      <w:r>
        <w:rPr>
          <w:rFonts w:ascii="Arial" w:cs="Arial" w:eastAsia="Arial" w:hAnsi="Arial"/>
          <w:sz w:val="18"/>
          <w:szCs w:val="18"/>
          <w:i w:val="1"/>
          <w:iCs w:val="1"/>
          <w:color w:val="auto"/>
        </w:rPr>
        <w:t>Compensation Components and Fiscal 2018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Decisions - Performance-based Annual Incentive Plan – 2018 AIP</w:t>
      </w:r>
      <w:r>
        <w:rPr>
          <w:rFonts w:ascii="Arial" w:cs="Arial" w:eastAsia="Arial" w:hAnsi="Arial"/>
          <w:sz w:val="18"/>
          <w:szCs w:val="18"/>
          <w:color w:val="auto"/>
        </w:rPr>
        <w:t>” for more information on the targets set under the 2018 AIP. The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actual cash payment made to each of the Named Executive Officers under the 2018 AIP is included in the Summary Compensation Table for fiscal 2018.</w:t>
      </w:r>
    </w:p>
    <w:p>
      <w:pPr>
        <w:spacing w:after="0" w:line="2" w:lineRule="exact"/>
        <w:rPr>
          <w:rFonts w:ascii="Arial" w:cs="Arial" w:eastAsia="Arial" w:hAnsi="Arial"/>
          <w:sz w:val="18"/>
          <w:szCs w:val="18"/>
          <w:color w:val="auto"/>
        </w:rPr>
      </w:pPr>
    </w:p>
    <w:p>
      <w:pPr>
        <w:ind w:left="760" w:right="80" w:hanging="374"/>
        <w:spacing w:after="0" w:line="250"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October 24, 2018, the Compensation Committee approved the performance targets for the 2018-2020 LTIP. The performance-based awards represent 50% of the total potential payout under the 2018-2019 LTIP. The amounts in the above table represent the dollar value of any future grant of equity assuming a potential payout at threshold, target and maximum for each executive estimated based on achieving 12.5% (the payout of achieving the threshold of its TSR metric which has a weight of 25%), 100% and 150%, respectively, of the payout targets set by the Compensation Committee. The actual grant of equity will occur only if the performance targets are achieved. The remaining 50% represents time-based awards for which each executive received RSUs on October 24, 2018. The time-based RSUs vest in four equal tranches, with the first tranche vesting on October 24, 2019 and the remaining tranches vesting on April 1, 2020, April 1, 2021 and April 1, 2022. See “</w:t>
      </w:r>
      <w:r>
        <w:rPr>
          <w:rFonts w:ascii="Arial" w:cs="Arial" w:eastAsia="Arial" w:hAnsi="Arial"/>
          <w:sz w:val="18"/>
          <w:szCs w:val="18"/>
          <w:i w:val="1"/>
          <w:iCs w:val="1"/>
          <w:color w:val="auto"/>
        </w:rPr>
        <w:t>Compensation Components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Fiscal 2018 Compensation Decisions - Long-Term Incentive Program - 2018-2020 Performance Period</w:t>
      </w:r>
      <w:r>
        <w:rPr>
          <w:rFonts w:ascii="Arial" w:cs="Arial" w:eastAsia="Arial" w:hAnsi="Arial"/>
          <w:sz w:val="18"/>
          <w:szCs w:val="18"/>
          <w:color w:val="auto"/>
        </w:rPr>
        <w:t>” above for more information on the</w:t>
      </w:r>
      <w:r>
        <w:rPr>
          <w:rFonts w:ascii="Arial" w:cs="Arial" w:eastAsia="Arial" w:hAnsi="Arial"/>
          <w:sz w:val="18"/>
          <w:szCs w:val="18"/>
          <w:i w:val="1"/>
          <w:iCs w:val="1"/>
          <w:color w:val="auto"/>
        </w:rPr>
        <w:t xml:space="preserve"> </w:t>
      </w:r>
      <w:r>
        <w:rPr>
          <w:rFonts w:ascii="Arial" w:cs="Arial" w:eastAsia="Arial" w:hAnsi="Arial"/>
          <w:sz w:val="18"/>
          <w:szCs w:val="18"/>
          <w:color w:val="auto"/>
        </w:rPr>
        <w:t>targets.</w:t>
      </w:r>
    </w:p>
    <w:p>
      <w:pPr>
        <w:spacing w:after="0" w:line="4" w:lineRule="exact"/>
        <w:rPr>
          <w:rFonts w:ascii="Arial" w:cs="Arial" w:eastAsia="Arial" w:hAnsi="Arial"/>
          <w:sz w:val="18"/>
          <w:szCs w:val="18"/>
          <w:color w:val="auto"/>
        </w:rPr>
      </w:pPr>
    </w:p>
    <w:p>
      <w:pPr>
        <w:ind w:left="760" w:right="280" w:hanging="374"/>
        <w:spacing w:after="0" w:line="295" w:lineRule="auto"/>
        <w:tabs>
          <w:tab w:leader="none" w:pos="7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connection with Mr. Davey’s hiring, the Compensation Committee granted 30,000 restricted stock awards and 138,888 stock options. Each award vests in three equal installments, with the first tranche of each award vesting on March 14, 2019. In addition, Mr. Davey became a participant in the 2017-2018 LTIP, on a pro-rated basis. Mr. Davey’s awards under the 2017-2018 LTIP for performance based awards assumes a potential payout at threshold of 25% (which assumes 50% payout of one of the two targets), target at 100% and a maximum payout of 150%.</w:t>
      </w:r>
    </w:p>
    <w:p>
      <w:pPr>
        <w:spacing w:after="0" w:line="3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00"/>
          </w:cols>
          <w:pgMar w:left="240" w:top="557" w:right="159" w:bottom="1440" w:gutter="0" w:footer="0" w:header="0"/>
        </w:sectPr>
      </w:pPr>
    </w:p>
    <w:bookmarkStart w:id="34" w:name="page35"/>
    <w:bookmarkEnd w:id="34"/>
    <w:p>
      <w:pPr>
        <w:ind w:right="400"/>
        <w:spacing w:after="0" w:line="277" w:lineRule="auto"/>
        <w:rPr>
          <w:sz w:val="20"/>
          <w:szCs w:val="20"/>
          <w:color w:val="auto"/>
        </w:rPr>
      </w:pPr>
      <w:r>
        <w:rPr>
          <w:rFonts w:ascii="Arial" w:cs="Arial" w:eastAsia="Arial" w:hAnsi="Arial"/>
          <w:sz w:val="18"/>
          <w:szCs w:val="18"/>
          <w:b w:val="1"/>
          <w:bCs w:val="1"/>
          <w:i w:val="1"/>
          <w:iCs w:val="1"/>
          <w:color w:val="auto"/>
        </w:rPr>
        <w:t>Outstanding Equity Awards at Fiscal Year-End</w:t>
      </w:r>
      <w:r>
        <w:rPr>
          <w:rFonts w:ascii="Arial" w:cs="Arial" w:eastAsia="Arial" w:hAnsi="Arial"/>
          <w:sz w:val="18"/>
          <w:szCs w:val="18"/>
          <w:color w:val="auto"/>
        </w:rPr>
        <w:t>. 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2018.</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2018 OUTSTANDING EQUITY AWARDS AT FISCAL YEAR-END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Option Awards</w:t>
            </w: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Stock Awards</w:t>
            </w: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95"/>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Incentive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4"/>
              </w:rPr>
              <w:t>Plan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Equity</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6"/>
              </w:rPr>
              <w:t>Market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Equity</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Incentive</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Payout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Incentive</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4"/>
              </w:rPr>
              <w:t>Plan</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8"/>
              </w:rPr>
              <w:t>Value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Plan</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5"/>
              </w:rPr>
              <w:t>Market</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Awards:</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Awards:</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8"/>
              </w:rPr>
              <w:t>Value of</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Number of</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Shares,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1"/>
              </w:rPr>
              <w:t>Shares</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Unearned Shares,</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Units or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22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0"/>
              </w:rPr>
              <w:t>Number of</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Units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1"/>
              </w:rPr>
              <w:t>or Units</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Units or</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Other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20" w:type="dxa"/>
            <w:vAlign w:val="bottom"/>
          </w:tcPr>
          <w:p>
            <w:pPr>
              <w:spacing w:after="0"/>
              <w:rPr>
                <w:sz w:val="10"/>
                <w:szCs w:val="10"/>
                <w:color w:val="auto"/>
              </w:rPr>
            </w:pPr>
          </w:p>
        </w:tc>
        <w:tc>
          <w:tcPr>
            <w:tcW w:w="10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Stock</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87"/>
              </w:rPr>
              <w:t>of Stock</w:t>
            </w:r>
          </w:p>
        </w:tc>
        <w:tc>
          <w:tcPr>
            <w:tcW w:w="180" w:type="dxa"/>
            <w:vAlign w:val="bottom"/>
          </w:tcPr>
          <w:p>
            <w:pPr>
              <w:spacing w:after="0"/>
              <w:rPr>
                <w:sz w:val="10"/>
                <w:szCs w:val="10"/>
                <w:color w:val="auto"/>
              </w:rPr>
            </w:pPr>
          </w:p>
        </w:tc>
        <w:tc>
          <w:tcPr>
            <w:tcW w:w="128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5"/>
              </w:rPr>
              <w:t>Other</w:t>
            </w: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7"/>
              </w:rPr>
              <w:t>Rights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2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Underlying</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22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Option</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That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4"/>
              </w:rPr>
              <w:t>That</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Rights That</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That Have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Options</w:t>
            </w:r>
          </w:p>
        </w:tc>
        <w:tc>
          <w:tcPr>
            <w:tcW w:w="22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Unexercised</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220" w:type="dxa"/>
            <w:vAlign w:val="bottom"/>
          </w:tcPr>
          <w:p>
            <w:pPr>
              <w:spacing w:after="0"/>
              <w:rPr>
                <w:sz w:val="10"/>
                <w:szCs w:val="10"/>
                <w:color w:val="auto"/>
              </w:rPr>
            </w:pPr>
          </w:p>
        </w:tc>
        <w:tc>
          <w:tcPr>
            <w:tcW w:w="94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Exercise</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Have Not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1"/>
              </w:rPr>
              <w:t>Have</w:t>
            </w:r>
          </w:p>
        </w:tc>
        <w:tc>
          <w:tcPr>
            <w:tcW w:w="180" w:type="dxa"/>
            <w:vAlign w:val="bottom"/>
          </w:tcPr>
          <w:p>
            <w:pPr>
              <w:spacing w:after="0"/>
              <w:rPr>
                <w:sz w:val="10"/>
                <w:szCs w:val="10"/>
                <w:color w:val="auto"/>
              </w:rPr>
            </w:pPr>
          </w:p>
        </w:tc>
        <w:tc>
          <w:tcPr>
            <w:tcW w:w="128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92"/>
              </w:rPr>
              <w:t>Have Not</w:t>
            </w:r>
          </w:p>
        </w:tc>
        <w:tc>
          <w:tcPr>
            <w:tcW w:w="8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7"/>
              </w:rPr>
              <w:t>Not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gridSpan w:val="2"/>
          </w:tcPr>
          <w:p>
            <w:pPr>
              <w:jc w:val="center"/>
              <w:ind w:left="46"/>
              <w:spacing w:after="0"/>
              <w:rPr>
                <w:sz w:val="20"/>
                <w:szCs w:val="20"/>
                <w:color w:val="auto"/>
              </w:rPr>
            </w:pPr>
            <w:r>
              <w:rPr>
                <w:rFonts w:ascii="Arial" w:cs="Arial" w:eastAsia="Arial" w:hAnsi="Arial"/>
                <w:sz w:val="11"/>
                <w:szCs w:val="11"/>
                <w:b w:val="1"/>
                <w:bCs w:val="1"/>
                <w:color w:val="auto"/>
                <w:w w:val="88"/>
              </w:rPr>
              <w:t>(#)</w:t>
            </w:r>
          </w:p>
        </w:tc>
        <w:tc>
          <w:tcPr>
            <w:tcW w:w="220" w:type="dxa"/>
            <w:vAlign w:val="bottom"/>
          </w:tcPr>
          <w:p>
            <w:pPr>
              <w:spacing w:after="0"/>
              <w:rPr>
                <w:sz w:val="11"/>
                <w:szCs w:val="1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Options (#)</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220" w:type="dxa"/>
            <w:vAlign w:val="bottom"/>
          </w:tcPr>
          <w:p>
            <w:pPr>
              <w:spacing w:after="0"/>
              <w:rPr>
                <w:sz w:val="11"/>
                <w:szCs w:val="11"/>
                <w:color w:val="auto"/>
              </w:rPr>
            </w:pPr>
          </w:p>
        </w:tc>
        <w:tc>
          <w:tcPr>
            <w:tcW w:w="94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89"/>
              </w:rPr>
              <w:t>Price</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Option Expiration</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3"/>
              </w:rPr>
              <w:t>Vested</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6"/>
              <w:spacing w:after="0"/>
              <w:rPr>
                <w:sz w:val="20"/>
                <w:szCs w:val="20"/>
                <w:color w:val="auto"/>
              </w:rPr>
            </w:pPr>
            <w:r>
              <w:rPr>
                <w:rFonts w:ascii="Arial" w:cs="Arial" w:eastAsia="Arial" w:hAnsi="Arial"/>
                <w:sz w:val="11"/>
                <w:szCs w:val="11"/>
                <w:b w:val="1"/>
                <w:bCs w:val="1"/>
                <w:color w:val="auto"/>
                <w:w w:val="86"/>
              </w:rPr>
              <w:t>Not Vested</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3"/>
              </w:rPr>
              <w:t>Vested</w:t>
            </w: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29"/>
        </w:trPr>
        <w:tc>
          <w:tcPr>
            <w:tcW w:w="188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120" w:type="dxa"/>
            <w:vAlign w:val="bottom"/>
          </w:tcPr>
          <w:p>
            <w:pPr>
              <w:spacing w:after="0"/>
              <w:rPr>
                <w:sz w:val="11"/>
                <w:szCs w:val="11"/>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Exercisable</w:t>
            </w:r>
          </w:p>
        </w:tc>
        <w:tc>
          <w:tcPr>
            <w:tcW w:w="220" w:type="dxa"/>
            <w:vAlign w:val="bottom"/>
          </w:tcPr>
          <w:p>
            <w:pPr>
              <w:spacing w:after="0"/>
              <w:rPr>
                <w:sz w:val="11"/>
                <w:szCs w:val="11"/>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Unexercisable</w:t>
            </w:r>
          </w:p>
        </w:tc>
        <w:tc>
          <w:tcPr>
            <w:tcW w:w="24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600" w:type="dxa"/>
            <w:vAlign w:val="bottom"/>
            <w:gridSpan w:val="2"/>
          </w:tcPr>
          <w:p>
            <w:pPr>
              <w:jc w:val="center"/>
              <w:ind w:left="466"/>
              <w:spacing w:after="0"/>
              <w:rPr>
                <w:sz w:val="20"/>
                <w:szCs w:val="20"/>
                <w:color w:val="auto"/>
              </w:rPr>
            </w:pPr>
            <w:r>
              <w:rPr>
                <w:rFonts w:ascii="Arial" w:cs="Arial" w:eastAsia="Arial" w:hAnsi="Arial"/>
                <w:sz w:val="11"/>
                <w:szCs w:val="11"/>
                <w:b w:val="1"/>
                <w:bCs w:val="1"/>
                <w:color w:val="auto"/>
                <w:w w:val="81"/>
              </w:rPr>
              <w:t>($</w:t>
            </w:r>
          </w:p>
        </w:tc>
        <w:tc>
          <w:tcPr>
            <w:tcW w:w="340" w:type="dxa"/>
            <w:vAlign w:val="bottom"/>
          </w:tcPr>
          <w:p>
            <w:pPr>
              <w:jc w:val="right"/>
              <w:ind w:right="248"/>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1"/>
                <w:szCs w:val="1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1"/>
                <w:szCs w:val="11"/>
                <w:b w:val="1"/>
                <w:bCs w:val="1"/>
                <w:color w:val="auto"/>
                <w:w w:val="88"/>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86"/>
              <w:spacing w:after="0"/>
              <w:rPr>
                <w:sz w:val="20"/>
                <w:szCs w:val="20"/>
                <w:color w:val="auto"/>
              </w:rPr>
            </w:pPr>
            <w:r>
              <w:rPr>
                <w:rFonts w:ascii="Arial" w:cs="Arial" w:eastAsia="Arial" w:hAnsi="Arial"/>
                <w:sz w:val="11"/>
                <w:szCs w:val="11"/>
                <w:b w:val="1"/>
                <w:bCs w:val="1"/>
                <w:color w:val="auto"/>
                <w:w w:val="96"/>
              </w:rPr>
              <w:t>($)(1)</w:t>
            </w:r>
          </w:p>
        </w:tc>
        <w:tc>
          <w:tcPr>
            <w:tcW w:w="116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auto"/>
                <w:w w:val="88"/>
              </w:rPr>
              <w:t>(#)</w:t>
            </w:r>
          </w:p>
        </w:tc>
        <w:tc>
          <w:tcPr>
            <w:tcW w:w="30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6"/>
              </w:rPr>
              <w:t>($)(1)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1"/>
                <w:szCs w:val="11"/>
                <w:b w:val="1"/>
                <w:bCs w:val="1"/>
                <w:color w:val="auto"/>
              </w:rPr>
              <w:t>David A. Levin</w:t>
            </w: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195,942</w:t>
            </w: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CFF0FC"/>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22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89"/>
              </w:rPr>
              <w:t>5/28/2023</w:t>
            </w:r>
          </w:p>
        </w:tc>
        <w:tc>
          <w:tcPr>
            <w:tcW w:w="1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auto"/>
            </w:tcBorders>
            <w:shd w:val="clear" w:color="auto" w:fill="CFF0FC"/>
          </w:tcPr>
          <w:p>
            <w:pPr>
              <w:ind w:left="860"/>
              <w:spacing w:after="0"/>
              <w:rPr>
                <w:sz w:val="20"/>
                <w:szCs w:val="20"/>
                <w:color w:val="auto"/>
              </w:rPr>
            </w:pPr>
            <w:r>
              <w:rPr>
                <w:rFonts w:ascii="Arial" w:cs="Arial" w:eastAsia="Arial" w:hAnsi="Arial"/>
                <w:sz w:val="11"/>
                <w:szCs w:val="11"/>
                <w:color w:val="auto"/>
                <w:w w:val="90"/>
              </w:rPr>
              <w:t>—</w:t>
            </w:r>
          </w:p>
        </w:tc>
        <w:tc>
          <w:tcPr>
            <w:tcW w:w="3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1"/>
                <w:szCs w:val="11"/>
                <w:color w:val="auto"/>
                <w:w w:val="90"/>
              </w:rPr>
              <w:t>—</w:t>
            </w:r>
          </w:p>
        </w:tc>
        <w:tc>
          <w:tcPr>
            <w:tcW w:w="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39,302</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99,041</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142,315</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358,634</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138,904</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350,038</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1"/>
                <w:szCs w:val="11"/>
                <w:b w:val="1"/>
                <w:bCs w:val="1"/>
                <w:color w:val="auto"/>
              </w:rPr>
              <w:t>Peter H. Stratton, Jr.</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8,587</w:t>
            </w:r>
          </w:p>
        </w:tc>
        <w:tc>
          <w:tcPr>
            <w:tcW w:w="220" w:type="dxa"/>
            <w:vAlign w:val="bottom"/>
          </w:tcPr>
          <w:p>
            <w:pPr>
              <w:spacing w:after="0"/>
              <w:rPr>
                <w:sz w:val="12"/>
                <w:szCs w:val="12"/>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4.19</w:t>
            </w:r>
          </w:p>
        </w:tc>
        <w:tc>
          <w:tcPr>
            <w:tcW w:w="22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3/16/2021</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2"/>
                <w:szCs w:val="12"/>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33,816</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5.04</w:t>
            </w:r>
          </w:p>
        </w:tc>
        <w:tc>
          <w:tcPr>
            <w:tcW w:w="2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5/28/2023</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11,987</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(5)</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166"/>
              <w:spacing w:after="0"/>
              <w:rPr>
                <w:sz w:val="20"/>
                <w:szCs w:val="20"/>
                <w:color w:val="auto"/>
              </w:rPr>
            </w:pPr>
            <w:r>
              <w:rPr>
                <w:rFonts w:ascii="Arial" w:cs="Arial" w:eastAsia="Arial" w:hAnsi="Arial"/>
                <w:sz w:val="11"/>
                <w:szCs w:val="11"/>
                <w:color w:val="auto"/>
              </w:rPr>
              <w:t>30,207</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43,596</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tcPr>
          <w:p>
            <w:pPr>
              <w:jc w:val="center"/>
              <w:spacing w:after="0"/>
              <w:rPr>
                <w:sz w:val="20"/>
                <w:szCs w:val="20"/>
                <w:color w:val="auto"/>
              </w:rPr>
            </w:pPr>
            <w:r>
              <w:rPr>
                <w:rFonts w:ascii="Arial" w:cs="Arial" w:eastAsia="Arial" w:hAnsi="Arial"/>
                <w:sz w:val="11"/>
                <w:szCs w:val="11"/>
                <w:color w:val="auto"/>
                <w:w w:val="85"/>
              </w:rPr>
              <w:t>109,862</w:t>
            </w:r>
          </w:p>
        </w:tc>
        <w:tc>
          <w:tcPr>
            <w:tcW w:w="180" w:type="dxa"/>
            <w:vAlign w:val="bottom"/>
          </w:tcPr>
          <w:p>
            <w:pPr>
              <w:spacing w:after="0"/>
              <w:rPr>
                <w:sz w:val="11"/>
                <w:szCs w:val="11"/>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47,345</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200" w:type="dxa"/>
            <w:vAlign w:val="bottom"/>
            <w:gridSpan w:val="2"/>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tcPr>
          <w:p>
            <w:pPr>
              <w:jc w:val="center"/>
              <w:spacing w:after="0"/>
              <w:rPr>
                <w:sz w:val="20"/>
                <w:szCs w:val="20"/>
                <w:color w:val="auto"/>
              </w:rPr>
            </w:pPr>
            <w:r>
              <w:rPr>
                <w:rFonts w:ascii="Arial" w:cs="Arial" w:eastAsia="Arial" w:hAnsi="Arial"/>
                <w:sz w:val="11"/>
                <w:szCs w:val="11"/>
                <w:color w:val="auto"/>
                <w:w w:val="85"/>
              </w:rPr>
              <w:t>119,309</w:t>
            </w:r>
          </w:p>
        </w:tc>
        <w:tc>
          <w:tcPr>
            <w:tcW w:w="180" w:type="dxa"/>
            <w:vAlign w:val="bottom"/>
          </w:tcPr>
          <w:p>
            <w:pPr>
              <w:spacing w:after="0"/>
              <w:rPr>
                <w:sz w:val="11"/>
                <w:szCs w:val="11"/>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Brian S. Reaves</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17,183</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3/16/2021</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46,496</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5/28/2023</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10,174</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25,638</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36,842</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92,842</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59,931</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151,026</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20"/>
                <w:szCs w:val="20"/>
                <w:color w:val="auto"/>
              </w:rPr>
            </w:pPr>
            <w:r>
              <w:rPr>
                <w:rFonts w:ascii="Arial" w:cs="Arial" w:eastAsia="Arial" w:hAnsi="Arial"/>
                <w:sz w:val="11"/>
                <w:szCs w:val="11"/>
                <w:b w:val="1"/>
                <w:bCs w:val="1"/>
                <w:color w:val="auto"/>
              </w:rPr>
              <w:t>James S. Davey</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138,888</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2.50</w:t>
            </w:r>
          </w:p>
        </w:tc>
        <w:tc>
          <w:tcPr>
            <w:tcW w:w="220" w:type="dxa"/>
            <w:vAlign w:val="bottom"/>
          </w:tcPr>
          <w:p>
            <w:pPr>
              <w:spacing w:after="0"/>
              <w:rPr>
                <w:sz w:val="11"/>
                <w:szCs w:val="11"/>
                <w:color w:val="auto"/>
              </w:rPr>
            </w:pPr>
          </w:p>
        </w:tc>
        <w:tc>
          <w:tcPr>
            <w:tcW w:w="1040" w:type="dxa"/>
            <w:vAlign w:val="bottom"/>
          </w:tcPr>
          <w:p>
            <w:pPr>
              <w:jc w:val="center"/>
              <w:spacing w:after="0"/>
              <w:rPr>
                <w:sz w:val="20"/>
                <w:szCs w:val="20"/>
                <w:color w:val="auto"/>
              </w:rPr>
            </w:pPr>
            <w:r>
              <w:rPr>
                <w:rFonts w:ascii="Arial" w:cs="Arial" w:eastAsia="Arial" w:hAnsi="Arial"/>
                <w:sz w:val="11"/>
                <w:szCs w:val="11"/>
                <w:color w:val="auto"/>
                <w:w w:val="89"/>
              </w:rPr>
              <w:t>3/14/2028</w:t>
            </w: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tcPr>
          <w:p>
            <w:pPr>
              <w:spacing w:after="0"/>
              <w:rPr>
                <w:sz w:val="11"/>
                <w:szCs w:val="11"/>
                <w:color w:val="auto"/>
              </w:rPr>
            </w:pPr>
          </w:p>
        </w:tc>
        <w:tc>
          <w:tcPr>
            <w:tcW w:w="1280" w:type="dxa"/>
            <w:vAlign w:val="bottom"/>
            <w:gridSpan w:val="2"/>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30,608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77,132</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53,938</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135,924</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30,000</w:t>
            </w:r>
          </w:p>
        </w:tc>
        <w:tc>
          <w:tcPr>
            <w:tcW w:w="300" w:type="dxa"/>
            <w:vAlign w:val="bottom"/>
          </w:tcPr>
          <w:p>
            <w:pPr>
              <w:jc w:val="right"/>
              <w:ind w:right="26"/>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120" w:type="dxa"/>
            <w:vAlign w:val="bottom"/>
            <w:shd w:val="clear" w:color="auto" w:fill="CFF0FC"/>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75,600</w:t>
            </w:r>
          </w:p>
        </w:tc>
        <w:tc>
          <w:tcPr>
            <w:tcW w:w="1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gridSpan w:val="2"/>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Robert S. Molloy</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20,606</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3.20</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3/19/2020</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13,955</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4.19</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3/16/2021</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54,951</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FF0FC"/>
          </w:tcPr>
          <w:p>
            <w:pPr>
              <w:jc w:val="right"/>
              <w:ind w:right="267"/>
              <w:spacing w:after="0"/>
              <w:rPr>
                <w:sz w:val="20"/>
                <w:szCs w:val="20"/>
                <w:color w:val="auto"/>
              </w:rPr>
            </w:pPr>
            <w:r>
              <w:rPr>
                <w:rFonts w:ascii="Arial" w:cs="Arial" w:eastAsia="Arial" w:hAnsi="Arial"/>
                <w:sz w:val="11"/>
                <w:szCs w:val="11"/>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5.04</w:t>
            </w: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5/28/2023</w:t>
            </w: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90"/>
              </w:rPr>
              <w:t>—</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11,361</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9"/>
              </w:rPr>
              <w:t>28,630</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42,368</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(3)</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106,767</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44,948</w:t>
            </w:r>
          </w:p>
        </w:tc>
        <w:tc>
          <w:tcPr>
            <w:tcW w:w="30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(4)</w:t>
            </w:r>
          </w:p>
        </w:tc>
        <w:tc>
          <w:tcPr>
            <w:tcW w:w="200" w:type="dxa"/>
            <w:vAlign w:val="bottom"/>
            <w:gridSpan w:val="2"/>
            <w:shd w:val="clear" w:color="auto" w:fill="CFF0FC"/>
          </w:tcPr>
          <w:p>
            <w:pPr>
              <w:jc w:val="right"/>
              <w:ind w:right="11"/>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center"/>
              <w:spacing w:after="0"/>
              <w:rPr>
                <w:sz w:val="20"/>
                <w:szCs w:val="20"/>
                <w:color w:val="auto"/>
              </w:rPr>
            </w:pPr>
            <w:r>
              <w:rPr>
                <w:rFonts w:ascii="Arial" w:cs="Arial" w:eastAsia="Arial" w:hAnsi="Arial"/>
                <w:sz w:val="11"/>
                <w:szCs w:val="11"/>
                <w:color w:val="auto"/>
                <w:w w:val="85"/>
              </w:rPr>
              <w:t>113,269</w:t>
            </w:r>
          </w:p>
        </w:tc>
        <w:tc>
          <w:tcPr>
            <w:tcW w:w="180" w:type="dxa"/>
            <w:vAlign w:val="bottom"/>
            <w:shd w:val="clear" w:color="auto" w:fill="CFF0FC"/>
          </w:tcPr>
          <w:p>
            <w:pPr>
              <w:spacing w:after="0"/>
              <w:rPr>
                <w:sz w:val="11"/>
                <w:szCs w:val="11"/>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FF0FC"/>
          </w:tcPr>
          <w:p>
            <w:pPr>
              <w:ind w:left="6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value of shares was calculated using the closing price of our common stock of $2.52 on February 1, 2019.</w:t>
      </w:r>
    </w:p>
    <w:p>
      <w:pPr>
        <w:spacing w:after="0" w:line="117" w:lineRule="exact"/>
        <w:rPr>
          <w:rFonts w:ascii="Arial" w:cs="Arial" w:eastAsia="Arial" w:hAnsi="Arial"/>
          <w:sz w:val="18"/>
          <w:szCs w:val="18"/>
          <w:color w:val="auto"/>
        </w:rPr>
      </w:pPr>
    </w:p>
    <w:p>
      <w:pPr>
        <w:ind w:left="760" w:right="20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April 14, 2016 in connection with our 2016-2017 LTIP. These awards vested on April 1, 2019.</w:t>
      </w:r>
    </w:p>
    <w:p>
      <w:pPr>
        <w:spacing w:after="0" w:line="62" w:lineRule="exact"/>
        <w:rPr>
          <w:rFonts w:ascii="Arial" w:cs="Arial" w:eastAsia="Arial" w:hAnsi="Arial"/>
          <w:sz w:val="18"/>
          <w:szCs w:val="18"/>
          <w:color w:val="auto"/>
        </w:rPr>
      </w:pPr>
    </w:p>
    <w:p>
      <w:pPr>
        <w:ind w:left="760" w:right="120" w:hanging="374"/>
        <w:spacing w:after="0" w:line="342"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awards represent the unvested portion of RSUs granted on April 3, 2017 (with the exception of Mr. Davey to whom awards were granted on March 14, 2018) in connection with our 2017-2018 LTIP. These awards vest in two equal tranches on April 1, 2019 and April 1, 2020.</w:t>
      </w:r>
    </w:p>
    <w:p>
      <w:pPr>
        <w:spacing w:after="0" w:line="15" w:lineRule="exact"/>
        <w:rPr>
          <w:rFonts w:ascii="Arial" w:cs="Arial" w:eastAsia="Arial" w:hAnsi="Arial"/>
          <w:sz w:val="16"/>
          <w:szCs w:val="16"/>
          <w:color w:val="auto"/>
        </w:rPr>
      </w:pPr>
    </w:p>
    <w:p>
      <w:pPr>
        <w:ind w:left="760" w:right="24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awards represent the unvested portion of RSUs granted on October 24, 2018 in connection with our 2018-2020 LTIP. These awards vest in four equal tranches on October 24, 2019, April 1, 2020, April 1, 2021 and April 1, 2022.</w:t>
      </w:r>
    </w:p>
    <w:p>
      <w:pPr>
        <w:spacing w:after="0" w:line="62" w:lineRule="exact"/>
        <w:rPr>
          <w:rFonts w:ascii="Arial" w:cs="Arial" w:eastAsia="Arial" w:hAnsi="Arial"/>
          <w:sz w:val="18"/>
          <w:szCs w:val="18"/>
          <w:color w:val="auto"/>
        </w:rPr>
      </w:pPr>
    </w:p>
    <w:p>
      <w:pPr>
        <w:ind w:left="760" w:right="360" w:hanging="374"/>
        <w:spacing w:after="0" w:line="277"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March 14, 2018, in connection with Mr. Davey’s hiring, he received 30,000 shares of restricted stock and stock options to purchase 138,888 shares of stock. Each award vests in three equal tranches, with the first tranche vesting on March 14, 2019.</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5" w:name="page36"/>
    <w:bookmarkEnd w:id="35"/>
    <w:p>
      <w:pPr>
        <w:spacing w:after="0" w:line="308" w:lineRule="auto"/>
        <w:rPr>
          <w:sz w:val="20"/>
          <w:szCs w:val="20"/>
          <w:color w:val="auto"/>
        </w:rPr>
      </w:pPr>
      <w:r>
        <w:rPr>
          <w:rFonts w:ascii="Arial" w:cs="Arial" w:eastAsia="Arial" w:hAnsi="Arial"/>
          <w:sz w:val="17"/>
          <w:szCs w:val="17"/>
          <w:b w:val="1"/>
          <w:bCs w:val="1"/>
          <w:i w:val="1"/>
          <w:iCs w:val="1"/>
          <w:color w:val="auto"/>
        </w:rPr>
        <w:t xml:space="preserve">Option Exercises and Stock Vested Table. </w:t>
      </w:r>
      <w:r>
        <w:rPr>
          <w:rFonts w:ascii="Arial" w:cs="Arial" w:eastAsia="Arial" w:hAnsi="Arial"/>
          <w:sz w:val="17"/>
          <w:szCs w:val="17"/>
          <w:color w:val="auto"/>
        </w:rPr>
        <w:t>The following table sets forth information for the Named Executive Officers with respect to the exercise of option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and the vesting of stock awards during fiscal 2018. No options were exercised by any Named Executive Officer in fiscal 2018.</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2018 OPTION EXERCISES AND STOCK VESTED</w:t>
      </w:r>
    </w:p>
    <w:p>
      <w:pPr>
        <w:spacing w:after="0" w:line="244" w:lineRule="exact"/>
        <w:rPr>
          <w:sz w:val="20"/>
          <w:szCs w:val="20"/>
          <w:color w:val="auto"/>
        </w:rPr>
      </w:pPr>
    </w:p>
    <w:tbl>
      <w:tblPr>
        <w:tblLayout w:type="fixed"/>
        <w:tblInd w:w="11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 Awards</w:t>
            </w:r>
          </w:p>
        </w:tc>
        <w:tc>
          <w:tcPr>
            <w:tcW w:w="1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85"/>
              </w:rPr>
              <w:t>Number of shares</w:t>
            </w: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7"/>
              </w:rPr>
              <w:t>Value Realized</w:t>
            </w:r>
          </w:p>
        </w:tc>
      </w:tr>
      <w:tr>
        <w:trPr>
          <w:trHeight w:val="149"/>
        </w:trPr>
        <w:tc>
          <w:tcPr>
            <w:tcW w:w="5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Vested</w:t>
            </w: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on Vesting</w:t>
            </w:r>
          </w:p>
        </w:tc>
      </w:tr>
      <w:tr>
        <w:trPr>
          <w:trHeight w:val="161"/>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23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80" w:type="dxa"/>
            <w:vAlign w:val="bottom"/>
            <w:tcBorders>
              <w:top w:val="single" w:sz="8" w:color="CFF0FC"/>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102,343</w:t>
            </w: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251,597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Peter H. Stratton, Jr.</w:t>
            </w:r>
          </w:p>
        </w:tc>
        <w:tc>
          <w:tcPr>
            <w:tcW w:w="1600" w:type="dxa"/>
            <w:vAlign w:val="bottom"/>
          </w:tcPr>
          <w:p>
            <w:pPr>
              <w:jc w:val="right"/>
              <w:spacing w:after="0"/>
              <w:rPr>
                <w:sz w:val="20"/>
                <w:szCs w:val="20"/>
                <w:color w:val="auto"/>
              </w:rPr>
            </w:pPr>
            <w:r>
              <w:rPr>
                <w:rFonts w:ascii="Arial" w:cs="Arial" w:eastAsia="Arial" w:hAnsi="Arial"/>
                <w:sz w:val="18"/>
                <w:szCs w:val="18"/>
                <w:color w:val="auto"/>
              </w:rPr>
              <w:t>30,985</w:t>
            </w:r>
          </w:p>
        </w:tc>
        <w:tc>
          <w:tcPr>
            <w:tcW w:w="300" w:type="dxa"/>
            <w:vAlign w:val="bottom"/>
          </w:tcPr>
          <w:p>
            <w:pPr>
              <w:spacing w:after="0"/>
              <w:rPr>
                <w:sz w:val="19"/>
                <w:szCs w:val="19"/>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76,070</w:t>
            </w:r>
          </w:p>
        </w:tc>
        <w:tc>
          <w:tcPr>
            <w:tcW w:w="100" w:type="dxa"/>
            <w:vAlign w:val="bottom"/>
          </w:tcPr>
          <w:p>
            <w:pPr>
              <w:spacing w:after="0"/>
              <w:rPr>
                <w:sz w:val="19"/>
                <w:szCs w:val="19"/>
                <w:color w:val="auto"/>
              </w:rPr>
            </w:pP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26,494</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65,133</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James S. Davey</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29,585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72,731</w:t>
            </w:r>
          </w:p>
        </w:tc>
        <w:tc>
          <w:tcPr>
            <w:tcW w:w="100" w:type="dxa"/>
            <w:vAlign w:val="bottom"/>
            <w:shd w:val="clear" w:color="auto" w:fill="CFF0FC"/>
          </w:tcPr>
          <w:p>
            <w:pPr>
              <w:spacing w:after="0"/>
              <w:rPr>
                <w:sz w:val="19"/>
                <w:szCs w:val="19"/>
                <w:color w:val="auto"/>
              </w:rPr>
            </w:pPr>
          </w:p>
        </w:tc>
      </w:tr>
    </w:tbl>
    <w:p>
      <w:pPr>
        <w:spacing w:after="0" w:line="107" w:lineRule="exact"/>
        <w:rPr>
          <w:sz w:val="20"/>
          <w:szCs w:val="20"/>
          <w:color w:val="auto"/>
        </w:rPr>
      </w:pPr>
    </w:p>
    <w:p>
      <w:pPr>
        <w:ind w:left="380" w:right="140" w:hanging="372"/>
        <w:spacing w:after="0" w:line="286" w:lineRule="auto"/>
        <w:tabs>
          <w:tab w:leader="none" w:pos="3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“Value Realized on Vesting” is the market price of the underlying security on the date of vesting. The value realized is for informational purposes only and does not purport to represent that such individual actually sold the underlying shares, or that the underlying shares were sold on the date of exercise. Furthermore, such value realized does not take into consideration individual income tax consequences.</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was a participant in any pension plan and, therefore, none has accumulated benefits.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 not offer to our executive officers or employees any defined contribution or similar plan that provides for the deferral of compensation on a basis that is not tax-qualified. We offer a 401(k) saving plan to all of our employees eligible to participate, as further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one defined contribution plan, the Destination XL Group, Inc. 401(k) Savings Plan (the “401(k) Plan”). Under the 401(k) Plan, the Company offers a qualified automatic contribution arrangement (“QACA”) with the Company matching 100% of the first 1% of deferred compensation and 50% of the next 5% (with a maximum contribution of 3.5% of eligible compensation). Employees who are 21 years of age or older are eligible to make deferrals after 6 months of employment and are eligible to receive a match from the Company after one year of employment and 1,000 hours. Our Named Executive Officers are eligible to participate in the 401(k) Plan, and the amount of any Company match to our Named Executive Officers is set forth above in the “All Other Compensation” table.</w:t>
      </w:r>
    </w:p>
    <w:p>
      <w:pPr>
        <w:spacing w:after="0" w:line="8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May 2018, in connection with our cost reduction initiatives, the Board of Directors ratified and approved the recommendation of our management team to suspend any further employer contributions to the 401(k) Plan, effective July 1, 2018 to December 31, 2019 at the latest.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have a key man life insurance policy on the life of Mr. Levin in the amount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February 2, 2019:</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5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remaining available for</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3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future issuance under</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5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equity compensation plans</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3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(excluding securities</w:t>
            </w:r>
          </w:p>
        </w:tc>
        <w:tc>
          <w:tcPr>
            <w:tcW w:w="220" w:type="dxa"/>
            <w:vAlign w:val="bottom"/>
          </w:tcPr>
          <w:p>
            <w:pPr>
              <w:spacing w:after="0"/>
              <w:rPr>
                <w:sz w:val="12"/>
                <w:szCs w:val="12"/>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2"/>
          </w:tcPr>
          <w:p>
            <w:pPr>
              <w:jc w:val="center"/>
              <w:ind w:right="430"/>
              <w:spacing w:after="0" w:line="149" w:lineRule="exact"/>
              <w:rPr>
                <w:sz w:val="20"/>
                <w:szCs w:val="20"/>
                <w:color w:val="auto"/>
              </w:rPr>
            </w:pPr>
            <w:r>
              <w:rPr>
                <w:rFonts w:ascii="Arial" w:cs="Arial" w:eastAsia="Arial" w:hAnsi="Arial"/>
                <w:sz w:val="14"/>
                <w:szCs w:val="14"/>
                <w:b w:val="1"/>
                <w:bCs w:val="1"/>
                <w:color w:val="auto"/>
                <w:w w:val="85"/>
              </w:rPr>
              <w:t>and rights</w:t>
            </w:r>
          </w:p>
        </w:tc>
        <w:tc>
          <w:tcPr>
            <w:tcW w:w="1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reflected in column (a))</w:t>
            </w:r>
          </w:p>
        </w:tc>
        <w:tc>
          <w:tcPr>
            <w:tcW w:w="220" w:type="dxa"/>
            <w:vAlign w:val="bottom"/>
          </w:tcPr>
          <w:p>
            <w:pPr>
              <w:spacing w:after="0"/>
              <w:rPr>
                <w:sz w:val="12"/>
                <w:szCs w:val="12"/>
                <w:color w:val="auto"/>
              </w:rPr>
            </w:pPr>
          </w:p>
        </w:tc>
      </w:tr>
      <w:tr>
        <w:trPr>
          <w:trHeight w:val="161"/>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89"/>
              </w:rPr>
              <w:t>(b)</w:t>
            </w: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4"/>
                <w:szCs w:val="14"/>
                <w:color w:val="auto"/>
              </w:rPr>
            </w:pP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15"/>
                <w:szCs w:val="15"/>
                <w:color w:val="auto"/>
              </w:rPr>
              <w:t>(1)</w:t>
            </w:r>
          </w:p>
        </w:tc>
        <w:tc>
          <w:tcPr>
            <w:tcW w:w="1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2,534,068</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4,544,136</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security holders </w:t>
            </w:r>
            <w:r>
              <w:rPr>
                <w:rFonts w:ascii="Arial" w:cs="Arial" w:eastAsia="Arial" w:hAnsi="Arial"/>
                <w:sz w:val="15"/>
                <w:szCs w:val="15"/>
                <w:color w:val="auto"/>
              </w:rPr>
              <w:t>(2)</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225,010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23"/>
        </w:trPr>
        <w:tc>
          <w:tcPr>
            <w:tcW w:w="562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2,534,068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4,769,146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right="280" w:hanging="374"/>
        <w:spacing w:after="0" w:line="264"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957,400 outstanding stock options, 1,372,628 outstanding restricted stock units and 204,040 outstanding deferred stock awards. The weighted-average exercise price is calculated solely based upon outstanding stock options and excludes restricted stock units and deferred stock awards.</w:t>
      </w:r>
    </w:p>
    <w:p>
      <w:pPr>
        <w:spacing w:after="0" w:line="73" w:lineRule="exact"/>
        <w:rPr>
          <w:rFonts w:ascii="Arial" w:cs="Arial" w:eastAsia="Arial" w:hAnsi="Arial"/>
          <w:sz w:val="18"/>
          <w:szCs w:val="18"/>
          <w:color w:val="auto"/>
        </w:rPr>
      </w:pPr>
    </w:p>
    <w:p>
      <w:pPr>
        <w:ind w:left="760" w:right="80" w:hanging="374"/>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Pursuant to the Non-Employee Director Compensation Plan, we have 500,000 shares authorized for stock issuances in lieu of cash director fees, of which 225,010 shares were available at February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Seymour Holtzman/Jewelcor Management, Inc. (JMI)</w:t>
      </w:r>
    </w:p>
    <w:p>
      <w:pPr>
        <w:spacing w:after="0" w:line="117"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Seymour Holtzman currently serves as a director of the Company’s Board of Directors (the “Board”). Mr. Holtzman served as the Company’s Executive Chairman of the Board from August 2014 through January 2019, and as it Chairman of the Board from April 2000 to August 2014. Mr. Holtzman is the chairman, chief executive officer and president and, together with his wife, indirectly, the majority shareholder of Jewelcor Management, Inc. (“JMI”).</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Holtzman currently receives compensation pursuant to an Employment and Chairman Compensation Agreement entered into in August 2014, most recently amended in August 2018 (as amended, the “Compensation Agreement”). Pursuant to the terms of the Compensation Agreement, Mr. Holtzman was receiving an annual compensation of $200,000 for his services as Executive Chairman and $24,000 for his services as an employee of the Company, reporting to the Board. Effective August 9, 2018, the Compensation Agreement was further amended to reduce his annual compensation as Executive Chairman to $176,000 and to provide written notification to Mr. Holtzman that the Company would not be extending the term of the Compensation Agreement and, as a result, the Compensation Agreement will terminate on August 7, 2020.</w:t>
      </w:r>
    </w:p>
    <w:p>
      <w:pPr>
        <w:spacing w:after="0" w:line="178"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On January 24, 2019, the Board voted to adopt an independent Board chairman structure and elected John Kyees as the Company’s new independent, non-executive Chairman, replacing Mr. Holtzman. Mr. Holtzman continues to serve as a director of the Company and will continue to receive his annual compensation of $176,000 as a director and an annual base salary of $24,000 for his services as an employee of the Company through August 7, 2020.</w:t>
      </w:r>
    </w:p>
    <w:p>
      <w:pPr>
        <w:spacing w:after="0" w:line="3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complete summary of all compensation and consulting fees paid to Mr. Holtzman is described above under “</w:t>
      </w:r>
      <w:r>
        <w:rPr>
          <w:rFonts w:ascii="Arial" w:cs="Arial" w:eastAsia="Arial" w:hAnsi="Arial"/>
          <w:sz w:val="18"/>
          <w:szCs w:val="18"/>
          <w:i w:val="1"/>
          <w:iCs w:val="1"/>
          <w:color w:val="auto"/>
        </w:rPr>
        <w:t>Director Compensation- Former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its charter, the Audit Committee reviews all related party transactions on an ongoing basis and, to the extent required by the Sarbanes−Oxley Act of 2002, the SEC or Nasdaq, all such transactions must be approved by the Audit Committee except as otherwise delegated by the Audit Committee to another independent body of the Board. The Audit Committee determined that, due to the nature of Mr. Holtzman’s ownership in the Company as well as our previous consulting agreement with JMI, the review and approval of all transactions pursuant to any arrangement with Mr. Holtzman would be the primary responsibility of the Compensation Committee.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16(a) of the Securities Exchange Act of 1934, as amended (the “Exchange Act”), requires our executive officers and directors, and persons who own more than 10% of a registered class of our equity securities (collectively, the “Reporting Persons”), to file reports of ownership and changes in ownership with the Securities and Exchange Commission (the “SEC”). The Reporting Persons are required to furnish us with copies of all Section 16(a) reports they file. Based solely upon a review of Forms 3, 4 and 5 and amendments thereto furnished to us by our officers and directors during fiscal 2018, we believe that the Reporting Persons complied with all applicable Section 16(a) reporting requirements and that all required reports were filed in a timely manner, except that (1) a Form 4 filing for each of Messrs. Levin, Stratton, Reaves, Davey, Molloy, Chane, Cooney, Gaeta and Ms. Surette to report awards granted on October 24, 2018 were filed late, and (ii) a Form 3 for Mr. Conacher to report his initial equity grant on June 11, 2018 was filed late.</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TO APPROVE NAMED EXECUTIVE OFFICER COMPENSATION</w:t>
      </w:r>
    </w:p>
    <w:p>
      <w:pPr>
        <w:spacing w:after="0" w:line="22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As required under the Dodd-Frank Act, and in accordance with the recommendation by our Board and approval by our stockholders in 2017 of an annual "Say-on-Pay" vote, the Board is providing stockholders with the opportunity to vote, on a non-binding, advisory basis, to approve the compensation of our Named Executive Officers as disclosed in this Proxy Statement in accordance with the compensation disclosure rules of the SEC.</w:t>
      </w:r>
    </w:p>
    <w:p>
      <w:pPr>
        <w:spacing w:after="0" w:line="14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seek to align the interests of our Named Executive Officers with the interests of our stockholders. The Compensation Committee focuses on total direct compensation paid to our executives, which includes both its annual and long-term incentive programs. A substantial portion of our Named Executive Officers target compensation is performance-based. As such, every year, the Compensation Committee reassesses the effectiveness of its incentive programs and continually adjusts the programs to align compensation with stockholder value. Furthermore, the Compensation Committee frequently consults with its outside compensation consultants to ensure that the compensation paid to our Named Executive Officers, as well as the structure of our incentive programs, is consistent with that of our identified peers.</w:t>
      </w:r>
    </w:p>
    <w:p>
      <w:pPr>
        <w:spacing w:after="0" w:line="193"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section of this Proxy Statement, including the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xml:space="preserve"> section, provides a summary of our financial performance in fiscal 2018 and describes in detail our executive compensation programs and the decisions made by the Compensation Committee with respect to compensation for fiscal 2018. We encourage you to read our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for a complete discussion of our executive compensation program, including detailed information about the fiscal 2018 compensation of the Named Executive Officers.</w:t>
      </w:r>
    </w:p>
    <w:p>
      <w:pPr>
        <w:spacing w:after="0" w:line="15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is asking stockholders to approve, on a non-binding, advisory basis, the compensation of our Named Executive Officers as disclosed in this Proxy Statement pursuant to the SEC's compensation disclosure rules in the Compensation Discussion and Analysis, the compensation tables and the related narrative disclosures. As an advisory vote, this proposal is not binding upon us or the Board. The Compensation Committee values the opinions expressed by our stockholders in their vote on this proposal and will consider the outcome of the vote when making future compensation decisions for Named Executive Officers. The affirmative vote of a majority of the shares of common stock properly cast at the Annual Meeting, in person or by proxy, is necessary to approve this proposal. Accordingly, we ask our stockholders to vote on the following resolution at the Annual Meeting:</w:t>
      </w:r>
    </w:p>
    <w:p>
      <w:pPr>
        <w:spacing w:after="0" w:line="1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“RESOLVED, that the compensation paid to the Company's Named Executive Officers, as disclosed in this Proxy Statement pursuant to the compensation rules of the SEC in the Compensation Discussion and Analysis, accompanying compensation tables and related narrative discussion, is hereby APPROVED.”</w:t>
      </w:r>
    </w:p>
    <w:p>
      <w:pPr>
        <w:spacing w:after="0" w:line="120"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Board of Directors recommends that you vote FOR the approval of the compensation of our Named Executive Officers as disclosed in this Proxy Statement.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left="5160"/>
        <w:spacing w:after="0"/>
        <w:rPr>
          <w:sz w:val="20"/>
          <w:szCs w:val="20"/>
          <w:color w:val="auto"/>
        </w:rPr>
      </w:pPr>
      <w:r>
        <w:rPr>
          <w:rFonts w:ascii="Arial" w:cs="Arial" w:eastAsia="Arial" w:hAnsi="Arial"/>
          <w:sz w:val="18"/>
          <w:szCs w:val="18"/>
          <w:b w:val="1"/>
          <w:bCs w:val="1"/>
          <w:color w:val="auto"/>
        </w:rPr>
        <w:t>PROPOSAL 3</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AMENDMENTS TO OUR 2016 INCENTIVE COMPENSATION PLAN TO INCREASE THE TOTAL NUMBER OF SHARES OF COMMON</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STOCK AUTHORIZED FOR ISSUANCE UNDER THE PLAN BY 2,800,000 SHARES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the recommendation of our Compensation Committee, the Board is seeking stockholder approval of amendments to our 2016 Incentive Compensation Plan (the “2016 Plan”) to increase the total number of shares of common stock authorized for issuance under the 2016 Plan by 2,800,000 and correspondingly to increase the maximum number of shares that may be delivered under the 2016 Plan as a result of the exercising of incentive stock options. The 2016 Plan was originally approved by stockholders on August 4,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2016 Plan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Board believes that the approval of the amendments to our 2016 Plan is critical for our pay-for-performance compensation programs. Since fiscal 2010, our primary use of equity has been tied to awards earned pursuant to our long-term incentive program. Except for equity issued in connection with executive-level new hires and promotions, we have not issued any discretionary equity awards since fiscal 2010. We have used our long-term incentive program as a means to provide a source of equity to attract, retain and reward our management team. The 2016 Plan provides us the ability to give participants important incentive and reward opportunities designed to enhance our profitable growth.</w:t>
      </w:r>
    </w:p>
    <w:p>
      <w:pPr>
        <w:spacing w:after="0" w:line="8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Availability of shares under the 2016 Plan is also needed for our directors to satisfy the requirement under our Fourth Amended and Restated Non-Employee Director Compensation Plan (the “Director Plan”) that our directors receive 50% of their annual retainer in the form of equity (“Required Equity”). Pursuant to Nasdaq rules, shares under the Director Plan are not available for this purpose, therefore we can only issue Required Equity to our directors from a stockholder-approved plan. If the amendments to our 2016 Plan are not approved, we will not be able to issue Required Equity to directors.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Reserve</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At May 4, 2019, 2,226,616 shares of our common stock remained available for issuance under our 2016 Plan. In addition, any outstanding awards under our prior 2006 Incentive Compensation Plan (the “2006 Plan”) as of the effective date of the 2016 Plan that subsequently expire or are cancelled for any reason without having been exercised or paid under the 2006 Plan will become available for grant under the 2016 Plan. At May 4, 2019, there were 784,251 stock options outstanding that were issued under the 2006 Plan. Of those 784,251 stock options, 608,043 stock options, with an average exercise price of $5.23 per share, will expire in fiscal 2023, if not exercised, and would become available for grant under our 2016 Plan.</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When determining the number of additional shares to request to be available for issuance under the 2016 Plan, the Compensation Committee considered a number of factors, including input from a shareholder advisory firm, our historical three-year-usage of shares (burn rate), the estimated number of shares needed for future awards under our long-term incentive program, the dilutive effect of the 2016 Plan to our stockholders and the continuing need to reward and retain our employees.</w:t>
      </w:r>
    </w:p>
    <w:p>
      <w:pPr>
        <w:spacing w:after="0" w:line="11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addition, in February 2019, we granted 240,000 time-based Restricted Stock Units (RSUs) and 720,000 Performance Share Units (PSUs) to our newly-appointed President and Chief Executive Officer. Because the grant of full value awards decreases our availability on a 1.9:1 ratio, these CEO hiring grants reduced our current availability of shares under the 2016 Plan by approximately 1.8 million shares. We believe that the grant of these shares to the new CEO is aligned with our shareholders’ interest, as performance condition of the 720,000 PSUs (which account for 1,368,000 of the 1.8 million shares) is dependent on the achievement of targeted Company stock prices. As a result of the CEO grants, and based on our current stock price, we do not believe that there are sufficient shares for future grants under our existing long-term incentive plans or for director compensation beyond February 2020.</w:t>
      </w:r>
    </w:p>
    <w:p>
      <w:pPr>
        <w:spacing w:after="0" w:line="84"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Accordingly, the Board is recommending an increase of 2,800,000 shares in the number of shares authorized under the 2016 Plan which would make 5,026,616 shares available for future grant. Assuming the Company grants all full-value awards and using a 1.9:1 ratio, the Company will have approximately 2.0 million shares for future grants. If the proposed amendments to the 2016 Plan are not approved, we will lose what has become an indispensable part of our compensation program. The Board believes we would therefore face serious challenges to our ability to attract and retain management, non-employee directors and other key personnel which, if not otherwise addressed, would adversely affect our business. Based solely on the closing price of our common stock as reported on Nasdaq on June 17, 2019 of $1.73 per share, the maximum aggregate market value of the additional 2,800,000 shares of our common stock to be reserved for issuance under the 2016 Plan would be approximately $4.8 million.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0" w:name="page41"/>
    <w:bookmarkEnd w:id="40"/>
    <w:p>
      <w:pPr>
        <w:ind w:right="20"/>
        <w:spacing w:after="0" w:line="257" w:lineRule="auto"/>
        <w:rPr>
          <w:sz w:val="20"/>
          <w:szCs w:val="20"/>
          <w:color w:val="auto"/>
        </w:rPr>
      </w:pPr>
      <w:r>
        <w:rPr>
          <w:rFonts w:ascii="Arial" w:cs="Arial" w:eastAsia="Arial" w:hAnsi="Arial"/>
          <w:sz w:val="18"/>
          <w:szCs w:val="18"/>
          <w:color w:val="auto"/>
        </w:rPr>
        <w:t>If the amendments are approved and based on our current equity award practices, the Compensation Committee estimates that the authorized shares under the 2016 Plan are likely to be sufficient to provide us with an opportunity to grant equity for approximately two years, depending on the achievement, if any, of performance targets under our long-term incentive plans and without consideration of potential forfeitures. This is only an estimate and circumstances, such as stock price, achieved performance targets and the allocation mix of equity/cash awards, could cause the share reserve to be used more quickly or more slowly.</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recommend approval of the amendments in order for us to continue to provide a source of equity to attract, motivate, retain and reward high-quality executives and other key employees, officers and directors. Our 2016 Plan is our only shareholder-approved plan and therefore it is important that we are able to maintain a sufficient number of shares under this plan to meet our long-term incentive goals for our management team. See “</w:t>
      </w:r>
      <w:r>
        <w:rPr>
          <w:rFonts w:ascii="Arial" w:cs="Arial" w:eastAsia="Arial" w:hAnsi="Arial"/>
          <w:sz w:val="16"/>
          <w:szCs w:val="16"/>
          <w:i w:val="1"/>
          <w:iCs w:val="1"/>
          <w:color w:val="auto"/>
        </w:rPr>
        <w:t>Executive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Discussion and Analysis—Components of Executive Compensation—Long-term performance based plans</w:t>
      </w:r>
      <w:r>
        <w:rPr>
          <w:rFonts w:ascii="Arial" w:cs="Arial" w:eastAsia="Arial" w:hAnsi="Arial"/>
          <w:sz w:val="16"/>
          <w:szCs w:val="16"/>
          <w:color w:val="auto"/>
        </w:rPr>
        <w:t>” for a description of our LTIPs.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Alignment of 2016 Plan with Stockholders’ Interests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2016 Plan is designed to reinforce the alignment of our equity opportunities for management with the interest of our stockholders and includes a number of provisions that we believe are consistent with good governance and compensation practice, including:</w:t>
      </w:r>
    </w:p>
    <w:p>
      <w:pPr>
        <w:spacing w:after="0" w:line="62" w:lineRule="exact"/>
        <w:rPr>
          <w:sz w:val="20"/>
          <w:szCs w:val="20"/>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Minimum vesting period of one year from the date of grant covering 95% of all awards;</w:t>
      </w:r>
    </w:p>
    <w:p>
      <w:pPr>
        <w:spacing w:after="0" w:line="23"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repricing of stock options or stock appreciation rights without stockholder approval;</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discounted stock options;</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evergreen provision;</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automatic grants or reload;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liberal share recycling;</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stated clawback provision;</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“Double-trigger” vesting for change in control; and</w:t>
      </w:r>
    </w:p>
    <w:p>
      <w:pPr>
        <w:spacing w:after="0" w:line="9" w:lineRule="exact"/>
        <w:rPr>
          <w:rFonts w:ascii="Arial" w:cs="Arial" w:eastAsia="Arial" w:hAnsi="Arial"/>
          <w:sz w:val="18"/>
          <w:szCs w:val="18"/>
          <w:color w:val="auto"/>
        </w:rPr>
      </w:pPr>
    </w:p>
    <w:p>
      <w:pPr>
        <w:ind w:left="760" w:hanging="374"/>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tax gross-ups.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incentive-based compensation program is broad-based and not heavily concentrated to only our CEO and/or NEOs. Based on the grant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activity for the past three fiscal years, equity awards granted to our CEO represented approximately 15% of all equity awards granted under our 2016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Plan. Our NEOs, including our CEO, represented approximately 31% of the total equity awards granted under our 2016 Plan over the past three fiscal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Data</w:t>
      </w:r>
    </w:p>
    <w:p>
      <w:pPr>
        <w:spacing w:after="0" w:line="193" w:lineRule="exact"/>
        <w:rPr>
          <w:sz w:val="20"/>
          <w:szCs w:val="20"/>
          <w:color w:val="auto"/>
        </w:rPr>
      </w:pPr>
    </w:p>
    <w:tbl>
      <w:tblPr>
        <w:tblLayout w:type="fixed"/>
        <w:tblInd w:w="6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Weighted</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Average</w:t>
            </w:r>
          </w:p>
        </w:tc>
        <w:tc>
          <w:tcPr>
            <w:tcW w:w="1240" w:type="dxa"/>
            <w:vAlign w:val="bottom"/>
          </w:tcPr>
          <w:p>
            <w:pPr>
              <w:jc w:val="center"/>
              <w:spacing w:after="0"/>
              <w:rPr>
                <w:sz w:val="20"/>
                <w:szCs w:val="20"/>
                <w:color w:val="auto"/>
              </w:rPr>
            </w:pPr>
            <w:r>
              <w:rPr>
                <w:rFonts w:ascii="Arial" w:cs="Arial" w:eastAsia="Arial" w:hAnsi="Arial"/>
                <w:sz w:val="16"/>
                <w:szCs w:val="16"/>
                <w:color w:val="auto"/>
                <w:w w:val="89"/>
              </w:rPr>
              <w:t>Weighted 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60" w:type="dxa"/>
            <w:vAlign w:val="bottom"/>
          </w:tcPr>
          <w:p>
            <w:pPr>
              <w:jc w:val="right"/>
              <w:ind w:right="439"/>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Exercise Price</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Remaining Term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New shares requested under amendments to the 2016 Plan</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2,800,000</w:t>
            </w: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Shares as of May 4, 2019:</w:t>
            </w: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6"/>
                <w:szCs w:val="16"/>
                <w:b w:val="1"/>
                <w:bCs w:val="1"/>
                <w:color w:val="auto"/>
              </w:rPr>
              <w:t>2016 Plan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Share remaining available for issuance</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2,226,616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Time-based stock options outstanding</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957,400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1"/>
              </w:rPr>
              <w:t>4.8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Time-based unvested full value awards outstanding</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1,408,725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1"/>
              </w:rPr>
              <w:t>7.6 yrs.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120"/>
              <w:spacing w:after="0"/>
              <w:rPr>
                <w:sz w:val="20"/>
                <w:szCs w:val="20"/>
                <w:color w:val="auto"/>
              </w:rPr>
            </w:pPr>
            <w:r>
              <w:rPr>
                <w:rFonts w:ascii="Arial" w:cs="Arial" w:eastAsia="Arial" w:hAnsi="Arial"/>
                <w:sz w:val="16"/>
                <w:szCs w:val="16"/>
                <w:color w:val="auto"/>
              </w:rPr>
              <w:t>Deferred stock awards payable to directors</w:t>
            </w:r>
          </w:p>
        </w:tc>
        <w:tc>
          <w:tcPr>
            <w:tcW w:w="1460" w:type="dxa"/>
            <w:vAlign w:val="bottom"/>
          </w:tcPr>
          <w:p>
            <w:pPr>
              <w:jc w:val="right"/>
              <w:spacing w:after="0"/>
              <w:rPr>
                <w:sz w:val="20"/>
                <w:szCs w:val="20"/>
                <w:color w:val="auto"/>
              </w:rPr>
            </w:pPr>
            <w:r>
              <w:rPr>
                <w:rFonts w:ascii="Arial" w:cs="Arial" w:eastAsia="Arial" w:hAnsi="Arial"/>
                <w:sz w:val="16"/>
                <w:szCs w:val="16"/>
                <w:color w:val="auto"/>
              </w:rPr>
              <w:t>220,836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Performance-based unvested full value awards outstanding</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ind w:left="740"/>
              <w:spacing w:after="0"/>
              <w:rPr>
                <w:sz w:val="20"/>
                <w:szCs w:val="20"/>
                <w:color w:val="auto"/>
              </w:rPr>
            </w:pPr>
            <w:r>
              <w:rPr>
                <w:rFonts w:ascii="Arial" w:cs="Arial" w:eastAsia="Arial" w:hAnsi="Arial"/>
                <w:sz w:val="16"/>
                <w:szCs w:val="16"/>
                <w:color w:val="auto"/>
                <w:w w:val="91"/>
              </w:rPr>
              <w:t>3.9 yrs.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240" w:type="dxa"/>
            <w:vAlign w:val="bottom"/>
          </w:tcPr>
          <w:p>
            <w:pPr>
              <w:ind w:left="360"/>
              <w:spacing w:after="0"/>
              <w:rPr>
                <w:sz w:val="20"/>
                <w:szCs w:val="20"/>
                <w:color w:val="auto"/>
              </w:rPr>
            </w:pPr>
            <w:r>
              <w:rPr>
                <w:rFonts w:ascii="Arial" w:cs="Arial" w:eastAsia="Arial" w:hAnsi="Arial"/>
                <w:sz w:val="16"/>
                <w:szCs w:val="16"/>
                <w:color w:val="auto"/>
              </w:rPr>
              <w:t>Total full value awards outstanding</w:t>
            </w:r>
          </w:p>
        </w:tc>
        <w:tc>
          <w:tcPr>
            <w:tcW w:w="1460" w:type="dxa"/>
            <w:vAlign w:val="bottom"/>
          </w:tcPr>
          <w:p>
            <w:pPr>
              <w:jc w:val="right"/>
              <w:spacing w:after="0"/>
              <w:rPr>
                <w:sz w:val="20"/>
                <w:szCs w:val="20"/>
                <w:color w:val="auto"/>
              </w:rPr>
            </w:pPr>
            <w:r>
              <w:rPr>
                <w:rFonts w:ascii="Arial" w:cs="Arial" w:eastAsia="Arial" w:hAnsi="Arial"/>
                <w:sz w:val="16"/>
                <w:szCs w:val="16"/>
                <w:color w:val="auto"/>
              </w:rPr>
              <w:t>2,349,561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tcPr>
          <w:p>
            <w:pPr>
              <w:spacing w:after="0" w:line="216" w:lineRule="exact"/>
              <w:rPr>
                <w:sz w:val="20"/>
                <w:szCs w:val="20"/>
                <w:color w:val="auto"/>
              </w:rPr>
            </w:pPr>
            <w:r>
              <w:rPr>
                <w:rFonts w:ascii="Arial" w:cs="Arial" w:eastAsia="Arial" w:hAnsi="Arial"/>
                <w:sz w:val="15"/>
                <w:szCs w:val="15"/>
                <w:b w:val="1"/>
                <w:bCs w:val="1"/>
                <w:color w:val="auto"/>
              </w:rPr>
              <w:t xml:space="preserve">Director Plan </w:t>
            </w:r>
            <w:r>
              <w:rPr>
                <w:rFonts w:ascii="Arial" w:cs="Arial" w:eastAsia="Arial" w:hAnsi="Arial"/>
                <w:sz w:val="25"/>
                <w:szCs w:val="25"/>
                <w:b w:val="1"/>
                <w:bCs w:val="1"/>
                <w:color w:val="auto"/>
                <w:vertAlign w:val="superscript"/>
              </w:rPr>
              <w:t>(1)</w:t>
            </w:r>
          </w:p>
        </w:tc>
        <w:tc>
          <w:tcPr>
            <w:tcW w:w="1460" w:type="dxa"/>
            <w:vAlign w:val="bottom"/>
          </w:tcPr>
          <w:p>
            <w:pPr>
              <w:jc w:val="right"/>
              <w:spacing w:after="0"/>
              <w:rPr>
                <w:sz w:val="20"/>
                <w:szCs w:val="20"/>
                <w:color w:val="auto"/>
              </w:rPr>
            </w:pPr>
            <w:r>
              <w:rPr>
                <w:rFonts w:ascii="Arial" w:cs="Arial" w:eastAsia="Arial" w:hAnsi="Arial"/>
                <w:sz w:val="16"/>
                <w:szCs w:val="16"/>
                <w:color w:val="auto"/>
              </w:rPr>
              <w:t>209,613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5580" w:type="dxa"/>
            <w:vAlign w:val="bottom"/>
            <w:gridSpan w:val="2"/>
          </w:tcPr>
          <w:p>
            <w:pPr>
              <w:spacing w:after="0"/>
              <w:rPr>
                <w:sz w:val="20"/>
                <w:szCs w:val="20"/>
                <w:color w:val="auto"/>
              </w:rPr>
            </w:pPr>
            <w:r>
              <w:rPr>
                <w:rFonts w:ascii="Arial" w:cs="Arial" w:eastAsia="Arial" w:hAnsi="Arial"/>
                <w:sz w:val="16"/>
                <w:szCs w:val="16"/>
                <w:b w:val="1"/>
                <w:bCs w:val="1"/>
                <w:color w:val="auto"/>
              </w:rPr>
              <w:t>Other data:</w:t>
            </w:r>
          </w:p>
        </w:tc>
        <w:tc>
          <w:tcPr>
            <w:tcW w:w="46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Burn Rate - 3 yr. average</w:t>
            </w:r>
          </w:p>
        </w:tc>
        <w:tc>
          <w:tcPr>
            <w:tcW w:w="4640" w:type="dxa"/>
            <w:vAlign w:val="bottom"/>
            <w:shd w:val="clear" w:color="auto" w:fill="CFF0FC"/>
          </w:tcPr>
          <w:p>
            <w:pPr>
              <w:jc w:val="right"/>
              <w:ind w:right="2299"/>
              <w:spacing w:after="0"/>
              <w:rPr>
                <w:sz w:val="20"/>
                <w:szCs w:val="20"/>
                <w:color w:val="auto"/>
              </w:rPr>
            </w:pPr>
            <w:r>
              <w:rPr>
                <w:rFonts w:ascii="Arial" w:cs="Arial" w:eastAsia="Arial" w:hAnsi="Arial"/>
                <w:sz w:val="16"/>
                <w:szCs w:val="16"/>
                <w:color w:val="auto"/>
              </w:rPr>
              <w:t>3.0%</w:t>
            </w:r>
          </w:p>
        </w:tc>
      </w:tr>
      <w:tr>
        <w:trPr>
          <w:trHeight w:val="213"/>
        </w:trPr>
        <w:tc>
          <w:tcPr>
            <w:tcW w:w="20" w:type="dxa"/>
            <w:vAlign w:val="bottom"/>
          </w:tcPr>
          <w:p>
            <w:pPr>
              <w:spacing w:after="0"/>
              <w:rPr>
                <w:sz w:val="18"/>
                <w:szCs w:val="18"/>
                <w:color w:val="auto"/>
              </w:rPr>
            </w:pPr>
          </w:p>
        </w:tc>
        <w:tc>
          <w:tcPr>
            <w:tcW w:w="5560" w:type="dxa"/>
            <w:vAlign w:val="bottom"/>
          </w:tcPr>
          <w:p>
            <w:pPr>
              <w:ind w:left="120"/>
              <w:spacing w:after="0"/>
              <w:rPr>
                <w:sz w:val="20"/>
                <w:szCs w:val="20"/>
                <w:color w:val="auto"/>
              </w:rPr>
            </w:pPr>
            <w:r>
              <w:rPr>
                <w:rFonts w:ascii="Arial" w:cs="Arial" w:eastAsia="Arial" w:hAnsi="Arial"/>
                <w:sz w:val="16"/>
                <w:szCs w:val="16"/>
                <w:color w:val="auto"/>
              </w:rPr>
              <w:t>Dilution - assuming all shares are granted on a 1:1 basis</w:t>
            </w:r>
          </w:p>
        </w:tc>
        <w:tc>
          <w:tcPr>
            <w:tcW w:w="4640" w:type="dxa"/>
            <w:vAlign w:val="bottom"/>
          </w:tcPr>
          <w:p>
            <w:pPr>
              <w:jc w:val="right"/>
              <w:ind w:right="2299"/>
              <w:spacing w:after="0"/>
              <w:rPr>
                <w:sz w:val="20"/>
                <w:szCs w:val="20"/>
                <w:color w:val="auto"/>
              </w:rPr>
            </w:pPr>
            <w:r>
              <w:rPr>
                <w:rFonts w:ascii="Arial" w:cs="Arial" w:eastAsia="Arial" w:hAnsi="Arial"/>
                <w:sz w:val="16"/>
                <w:szCs w:val="16"/>
                <w:color w:val="auto"/>
              </w:rPr>
              <w:t>4.8%</w:t>
            </w:r>
          </w:p>
        </w:tc>
      </w:tr>
      <w:tr>
        <w:trPr>
          <w:trHeight w:val="219"/>
        </w:trPr>
        <w:tc>
          <w:tcPr>
            <w:tcW w:w="20" w:type="dxa"/>
            <w:vAlign w:val="bottom"/>
          </w:tcPr>
          <w:p>
            <w:pPr>
              <w:spacing w:after="0"/>
              <w:rPr>
                <w:sz w:val="19"/>
                <w:szCs w:val="19"/>
                <w:color w:val="auto"/>
              </w:rPr>
            </w:pPr>
          </w:p>
        </w:tc>
        <w:tc>
          <w:tcPr>
            <w:tcW w:w="5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Overhang</w:t>
            </w:r>
          </w:p>
        </w:tc>
        <w:tc>
          <w:tcPr>
            <w:tcW w:w="4640" w:type="dxa"/>
            <w:vAlign w:val="bottom"/>
            <w:shd w:val="clear" w:color="auto" w:fill="CFF0FC"/>
          </w:tcPr>
          <w:p>
            <w:pPr>
              <w:jc w:val="right"/>
              <w:ind w:right="2299"/>
              <w:spacing w:after="0"/>
              <w:rPr>
                <w:sz w:val="20"/>
                <w:szCs w:val="20"/>
                <w:color w:val="auto"/>
              </w:rPr>
            </w:pPr>
            <w:r>
              <w:rPr>
                <w:rFonts w:ascii="Arial" w:cs="Arial" w:eastAsia="Arial" w:hAnsi="Arial"/>
                <w:sz w:val="16"/>
                <w:szCs w:val="16"/>
                <w:color w:val="auto"/>
              </w:rPr>
              <w:t>14.5%</w:t>
            </w:r>
          </w:p>
        </w:tc>
      </w:tr>
    </w:tbl>
    <w:p>
      <w:pPr>
        <w:spacing w:after="0" w:line="200" w:lineRule="exact"/>
        <w:rPr>
          <w:sz w:val="20"/>
          <w:szCs w:val="20"/>
          <w:color w:val="auto"/>
        </w:rPr>
      </w:pPr>
    </w:p>
    <w:p>
      <w:pPr>
        <w:spacing w:after="0" w:line="398" w:lineRule="exact"/>
        <w:rPr>
          <w:sz w:val="20"/>
          <w:szCs w:val="20"/>
          <w:color w:val="auto"/>
        </w:rPr>
      </w:pPr>
    </w:p>
    <w:p>
      <w:pPr>
        <w:ind w:left="760" w:hanging="374"/>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shares available for stock issuances in lieu of cash for director fees.</w:t>
      </w:r>
    </w:p>
    <w:p>
      <w:pPr>
        <w:spacing w:after="0" w:line="23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Burn Rate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information regarding annual time-based awards granted for each of the past three fiscal years and the average three-year burn rate.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Time-Based Full</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Deferred shares</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Weighted Average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Time-Based Option</w:t>
            </w:r>
          </w:p>
        </w:tc>
        <w:tc>
          <w:tcPr>
            <w:tcW w:w="58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Value Awards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granted to Directors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granted to Directors</w:t>
            </w:r>
          </w:p>
        </w:tc>
        <w:tc>
          <w:tcPr>
            <w:tcW w:w="1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136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1"/>
              </w:rPr>
              <w:t>Fiscal Year</w:t>
            </w:r>
          </w:p>
        </w:tc>
        <w:tc>
          <w:tcPr>
            <w:tcW w:w="1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Awards Granted</w:t>
            </w:r>
          </w:p>
        </w:tc>
        <w:tc>
          <w:tcPr>
            <w:tcW w:w="580" w:type="dxa"/>
            <w:vAlign w:val="bottom"/>
            <w:tcBorders>
              <w:bottom w:val="single" w:sz="8" w:color="CFF0FC"/>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Granted</w:t>
            </w:r>
          </w:p>
        </w:tc>
        <w:tc>
          <w:tcPr>
            <w:tcW w:w="12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as compensation</w:t>
            </w:r>
          </w:p>
        </w:tc>
        <w:tc>
          <w:tcPr>
            <w:tcW w:w="100" w:type="dxa"/>
            <w:vAlign w:val="bottom"/>
            <w:tcBorders>
              <w:bottom w:val="single" w:sz="8" w:color="CFF0FC"/>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as compensation</w:t>
            </w:r>
          </w:p>
        </w:tc>
        <w:tc>
          <w:tcPr>
            <w:tcW w:w="1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(Basic)</w:t>
            </w:r>
          </w:p>
        </w:tc>
        <w:tc>
          <w:tcPr>
            <w:tcW w:w="1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Burn Rate (1)</w:t>
            </w:r>
          </w:p>
        </w:tc>
        <w:tc>
          <w:tcPr>
            <w:tcW w:w="220" w:type="dxa"/>
            <w:vAlign w:val="bottom"/>
            <w:tcBorders>
              <w:bottom w:val="single" w:sz="8" w:color="CFF0FC"/>
            </w:tcBorders>
          </w:tcPr>
          <w:p>
            <w:pPr>
              <w:spacing w:after="0"/>
              <w:rPr>
                <w:sz w:val="20"/>
                <w:szCs w:val="20"/>
                <w:color w:val="auto"/>
              </w:rPr>
            </w:pPr>
          </w:p>
        </w:tc>
      </w:tr>
      <w:tr>
        <w:trPr>
          <w:trHeight w:val="223"/>
        </w:trPr>
        <w:tc>
          <w:tcPr>
            <w:tcW w:w="136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89"/>
              </w:rPr>
              <w:t>2018</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153,888</w:t>
            </w:r>
          </w:p>
        </w:tc>
        <w:tc>
          <w:tcPr>
            <w:tcW w:w="58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1,087,071</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124,275</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99,300</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49,163,000</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3.6%</w:t>
            </w:r>
          </w:p>
        </w:tc>
      </w:tr>
      <w:tr>
        <w:trPr>
          <w:trHeight w:val="230"/>
        </w:trPr>
        <w:tc>
          <w:tcPr>
            <w:tcW w:w="1360" w:type="dxa"/>
            <w:vAlign w:val="bottom"/>
          </w:tcPr>
          <w:p>
            <w:pPr>
              <w:jc w:val="center"/>
              <w:ind w:left="70"/>
              <w:spacing w:after="0"/>
              <w:rPr>
                <w:sz w:val="20"/>
                <w:szCs w:val="20"/>
                <w:color w:val="auto"/>
              </w:rPr>
            </w:pPr>
            <w:r>
              <w:rPr>
                <w:rFonts w:ascii="Arial" w:cs="Arial" w:eastAsia="Arial" w:hAnsi="Arial"/>
                <w:sz w:val="18"/>
                <w:szCs w:val="18"/>
                <w:color w:val="auto"/>
                <w:w w:val="89"/>
              </w:rPr>
              <w:t>2017</w:t>
            </w:r>
          </w:p>
        </w:tc>
        <w:tc>
          <w:tcPr>
            <w:tcW w:w="1720" w:type="dxa"/>
            <w:vAlign w:val="bottom"/>
          </w:tcPr>
          <w:p>
            <w:pPr>
              <w:jc w:val="right"/>
              <w:spacing w:after="0"/>
              <w:rPr>
                <w:sz w:val="20"/>
                <w:szCs w:val="20"/>
                <w:color w:val="auto"/>
              </w:rPr>
            </w:pPr>
            <w:r>
              <w:rPr>
                <w:rFonts w:ascii="Arial" w:cs="Arial" w:eastAsia="Arial" w:hAnsi="Arial"/>
                <w:sz w:val="18"/>
                <w:szCs w:val="18"/>
                <w:color w:val="auto"/>
              </w:rPr>
              <w:t>30,000</w:t>
            </w:r>
          </w:p>
        </w:tc>
        <w:tc>
          <w:tcPr>
            <w:tcW w:w="5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1,323,104</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86,503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100,554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48,888,000</w:t>
            </w:r>
          </w:p>
        </w:tc>
        <w:tc>
          <w:tcPr>
            <w:tcW w:w="120" w:type="dxa"/>
            <w:vAlign w:val="bottom"/>
          </w:tcPr>
          <w:p>
            <w:pPr>
              <w:spacing w:after="0"/>
              <w:rPr>
                <w:sz w:val="19"/>
                <w:szCs w:val="19"/>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4.1%</w:t>
            </w:r>
          </w:p>
        </w:tc>
      </w:tr>
      <w:tr>
        <w:trPr>
          <w:trHeight w:val="230"/>
        </w:trPr>
        <w:tc>
          <w:tcPr>
            <w:tcW w:w="1360" w:type="dxa"/>
            <w:vAlign w:val="bottom"/>
            <w:shd w:val="clear" w:color="auto" w:fill="CFF0FC"/>
          </w:tcPr>
          <w:p>
            <w:pPr>
              <w:jc w:val="center"/>
              <w:ind w:left="70"/>
              <w:spacing w:after="0"/>
              <w:rPr>
                <w:sz w:val="20"/>
                <w:szCs w:val="20"/>
                <w:color w:val="auto"/>
              </w:rPr>
            </w:pPr>
            <w:r>
              <w:rPr>
                <w:rFonts w:ascii="Arial" w:cs="Arial" w:eastAsia="Arial" w:hAnsi="Arial"/>
                <w:sz w:val="18"/>
                <w:szCs w:val="18"/>
                <w:color w:val="auto"/>
                <w:w w:val="89"/>
              </w:rPr>
              <w:t>2016</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4,502</w:t>
            </w:r>
          </w:p>
        </w:tc>
        <w:tc>
          <w:tcPr>
            <w:tcW w:w="5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(2)</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442,209</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53,725</w:t>
            </w:r>
          </w:p>
        </w:tc>
        <w:tc>
          <w:tcPr>
            <w:tcW w:w="10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33,289</w:t>
            </w:r>
          </w:p>
        </w:tc>
        <w:tc>
          <w:tcPr>
            <w:tcW w:w="1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49,544,000</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1.3%</w:t>
            </w:r>
          </w:p>
        </w:tc>
      </w:t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3-yr average</w:t>
            </w: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b w:val="1"/>
                <w:bCs w:val="1"/>
                <w:color w:val="auto"/>
              </w:rPr>
              <w:t>3.0%</w:t>
            </w:r>
          </w:p>
        </w:tc>
      </w:tr>
    </w:tbl>
    <w:p>
      <w:pPr>
        <w:spacing w:after="0" w:line="200" w:lineRule="exact"/>
        <w:rPr>
          <w:sz w:val="20"/>
          <w:szCs w:val="20"/>
          <w:color w:val="auto"/>
        </w:rPr>
      </w:pPr>
    </w:p>
    <w:p>
      <w:pPr>
        <w:spacing w:after="0" w:line="227" w:lineRule="exact"/>
        <w:rPr>
          <w:sz w:val="20"/>
          <w:szCs w:val="20"/>
          <w:color w:val="auto"/>
        </w:rPr>
      </w:pPr>
    </w:p>
    <w:p>
      <w:pPr>
        <w:ind w:left="760" w:right="120" w:hanging="374"/>
        <w:spacing w:after="0" w:line="264"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burn rate is calculated as the sum of time-based options and adjusted full-value awards divided by the basic weighted average common shares outstanding. Consistent with ISS methodology, all full-value awards have been multiplied by 1.5 (“adjusted full-value award”) for purposes of calculating burn rate.</w:t>
      </w:r>
    </w:p>
    <w:p>
      <w:pPr>
        <w:spacing w:after="0" w:line="181" w:lineRule="exact"/>
        <w:rPr>
          <w:rFonts w:ascii="Arial" w:cs="Arial" w:eastAsia="Arial" w:hAnsi="Arial"/>
          <w:sz w:val="18"/>
          <w:szCs w:val="18"/>
          <w:color w:val="auto"/>
        </w:rPr>
      </w:pPr>
    </w:p>
    <w:p>
      <w:pPr>
        <w:ind w:left="760" w:right="220" w:hanging="374"/>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Excluded from Option Awards Granted and Full Value Awards Granted were grants of 4,502 performance-based options and 2,084 performance-based restricted stock awards, all of which expired, unearned.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Our Board recognizes the impact of dilution on our stockholders, and in evaluating the 2016 Plan sought to balance this concern with our ability to provide our management team with equity compensation as part of our long-term growth initiatives which, in time, should provide an increase in stockholder</w:t>
      </w:r>
    </w:p>
    <w:p>
      <w:pPr>
        <w:spacing w:after="0" w:line="253" w:lineRule="auto"/>
        <w:rPr>
          <w:sz w:val="20"/>
          <w:szCs w:val="20"/>
          <w:color w:val="auto"/>
        </w:rPr>
      </w:pPr>
      <w:r>
        <w:rPr>
          <w:rFonts w:ascii="Arial" w:cs="Arial" w:eastAsia="Arial" w:hAnsi="Arial"/>
          <w:sz w:val="18"/>
          <w:szCs w:val="18"/>
          <w:color w:val="auto"/>
        </w:rPr>
        <w:t>value. If approved, the issuance of the additional shares to be reserved under the 2016 Plan would dilute the holdings of stockholders by a maximum of 4.8%, assuming that all shares granted from the 2016 Plan were options or stock appreciation rights. However, with the Company’s expectation that it will continue to grant full-value awards as part of its compensation programs, it is expected that the majority of the awards granted from the 2016 Plan will be full-value awards, in the form of restricted stock or restricted stock units. Therefore we expect dilution will be less than 4.8% given the fact that each full-value award will count as 1.9 shares against the share reserve under the 2016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7"/>
          </w:tcPr>
          <w:p>
            <w:pPr>
              <w:spacing w:after="0"/>
              <w:rPr>
                <w:sz w:val="20"/>
                <w:szCs w:val="20"/>
                <w:color w:val="auto"/>
              </w:rPr>
            </w:pPr>
            <w:r>
              <w:rPr>
                <w:rFonts w:ascii="Arial" w:cs="Arial" w:eastAsia="Arial" w:hAnsi="Arial"/>
                <w:sz w:val="18"/>
                <w:szCs w:val="18"/>
                <w:color w:val="auto"/>
              </w:rPr>
              <w:t>Potential Voting Power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6"/>
              </w:rPr>
              <w:t>Dilution</w:t>
            </w:r>
          </w:p>
        </w:tc>
        <w:tc>
          <w:tcPr>
            <w:tcW w:w="520" w:type="dxa"/>
            <w:vAlign w:val="bottom"/>
            <w:tcBorders>
              <w:top w:val="single" w:sz="8" w:color="auto"/>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8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Shareholder Transfer Value</w:t>
            </w:r>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Shareholder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Award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Transfer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auto"/>
              </w:rPr>
              <w:t>Shares</w:t>
            </w:r>
          </w:p>
        </w:tc>
        <w:tc>
          <w:tcPr>
            <w:tcW w:w="1260" w:type="dxa"/>
            <w:vAlign w:val="bottom"/>
            <w:gridSpan w:val="4"/>
          </w:tcPr>
          <w:p>
            <w:pPr>
              <w:jc w:val="right"/>
              <w:ind w:right="320"/>
              <w:spacing w:after="0"/>
              <w:rPr>
                <w:sz w:val="20"/>
                <w:szCs w:val="20"/>
                <w:color w:val="auto"/>
              </w:rPr>
            </w:pPr>
            <w:r>
              <w:rPr>
                <w:rFonts w:ascii="Arial" w:cs="Arial" w:eastAsia="Arial" w:hAnsi="Arial"/>
                <w:sz w:val="18"/>
                <w:szCs w:val="18"/>
                <w:color w:val="auto"/>
              </w:rPr>
              <w:t xml:space="preserve">Dilution </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0"/>
              <w:spacing w:after="0"/>
              <w:rPr>
                <w:sz w:val="20"/>
                <w:szCs w:val="20"/>
                <w:color w:val="auto"/>
              </w:rPr>
            </w:pPr>
            <w:r>
              <w:rPr>
                <w:rFonts w:ascii="Arial" w:cs="Arial" w:eastAsia="Arial" w:hAnsi="Arial"/>
                <w:sz w:val="18"/>
                <w:szCs w:val="18"/>
                <w:color w:val="auto"/>
                <w:w w:val="86"/>
              </w:rPr>
              <w:t>Value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w w:val="91"/>
              </w:rPr>
              <w:t xml:space="preserve">Fair Value </w:t>
            </w:r>
            <w:r>
              <w:rPr>
                <w:rFonts w:ascii="Arial" w:cs="Arial" w:eastAsia="Arial" w:hAnsi="Arial"/>
                <w:sz w:val="15"/>
                <w:szCs w:val="15"/>
                <w:color w:val="auto"/>
                <w:w w:val="91"/>
              </w:rPr>
              <w:t>(2)</w:t>
            </w:r>
          </w:p>
        </w:tc>
        <w:tc>
          <w:tcPr>
            <w:tcW w:w="100" w:type="dxa"/>
            <w:vAlign w:val="bottom"/>
          </w:tcPr>
          <w:p>
            <w:pPr>
              <w:spacing w:after="0"/>
              <w:rPr>
                <w:sz w:val="20"/>
                <w:szCs w:val="20"/>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As of May 4, 2019:</w:t>
            </w:r>
          </w:p>
        </w:tc>
        <w:tc>
          <w:tcPr>
            <w:tcW w:w="2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957,400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1,713,746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Deferred stock and RSUs outstanding</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1,629,561</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4,383,519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Performance stock units, dependent on market condition</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720,000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1,029,600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under 2016 Plan</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2,226,616</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3,696,182</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New shares requested under 2016 Plan </w:t>
            </w:r>
            <w:r>
              <w:rPr>
                <w:rFonts w:ascii="Arial" w:cs="Arial" w:eastAsia="Arial" w:hAnsi="Arial"/>
                <w:sz w:val="15"/>
                <w:szCs w:val="15"/>
                <w:b w:val="1"/>
                <w:bCs w:val="1"/>
                <w:color w:val="auto"/>
              </w:rPr>
              <w:t>(3)</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2,800,000</w:t>
            </w:r>
          </w:p>
        </w:tc>
        <w:tc>
          <w:tcPr>
            <w:tcW w:w="120" w:type="dxa"/>
            <w:vAlign w:val="bottom"/>
            <w:shd w:val="clear" w:color="auto" w:fill="CFF0FC"/>
          </w:tcPr>
          <w:p>
            <w:pPr>
              <w:spacing w:after="0"/>
              <w:rPr>
                <w:sz w:val="19"/>
                <w:szCs w:val="19"/>
                <w:color w:val="auto"/>
              </w:rPr>
            </w:pPr>
          </w:p>
        </w:tc>
        <w:tc>
          <w:tcPr>
            <w:tcW w:w="12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4.8%</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4,648,000</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Total equity dilution including new shares (overhang)</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8,333,577</w:t>
            </w:r>
          </w:p>
        </w:tc>
        <w:tc>
          <w:tcPr>
            <w:tcW w:w="120" w:type="dxa"/>
            <w:vAlign w:val="bottom"/>
            <w:vMerge w:val="continue"/>
          </w:tcPr>
          <w:p>
            <w:pPr>
              <w:spacing w:after="0"/>
              <w:rPr>
                <w:sz w:val="19"/>
                <w:szCs w:val="19"/>
                <w:color w:val="auto"/>
              </w:rPr>
            </w:pP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Shareholder Transfer Value</w:t>
            </w: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15,471,047</w:t>
            </w: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520" w:type="dxa"/>
            <w:vAlign w:val="bottom"/>
            <w:gridSpan w:val="2"/>
          </w:tcPr>
          <w:p>
            <w:pPr>
              <w:spacing w:after="0"/>
              <w:rPr>
                <w:sz w:val="20"/>
                <w:szCs w:val="20"/>
                <w:color w:val="auto"/>
              </w:rPr>
            </w:pPr>
            <w:r>
              <w:rPr>
                <w:rFonts w:ascii="Arial" w:cs="Arial" w:eastAsia="Arial" w:hAnsi="Arial"/>
                <w:sz w:val="18"/>
                <w:szCs w:val="18"/>
                <w:color w:val="auto"/>
              </w:rPr>
              <w:t xml:space="preserve">Common shares outstanding at May 4, 2019 </w:t>
            </w:r>
            <w:r>
              <w:rPr>
                <w:rFonts w:ascii="Arial" w:cs="Arial" w:eastAsia="Arial" w:hAnsi="Arial"/>
                <w:sz w:val="15"/>
                <w:szCs w:val="15"/>
                <w:color w:val="auto"/>
              </w:rPr>
              <w:t>(4)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49,800,594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120,019,432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60" w:right="360" w:hanging="374"/>
        <w:spacing w:after="0" w:line="276" w:lineRule="auto"/>
        <w:tabs>
          <w:tab w:leader="none" w:pos="7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Dilution for the additional shares requested under the 2016 Plan is calculated as the additional shares requested divided by the sum of common shares outstanding, outstanding stock options, deferred stock and restricted stock units outstanding and shares remaining available for issuance under the 2016 Plan and the additional shares requested. Overhang is calculated as the total equity dilution per the table divided by the sum of common shares outstanding, outstanding stock options, deferred stock and restricted stock units outstanding and shares remaining available for issuance under the 2016 Plan and the additional shares requested.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left="760" w:hanging="374"/>
        <w:spacing w:after="0" w:line="259"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Shareholder Transfer Value is the sum of the fair value of shares available for grant, shares outstanding under existing awards and new shares requested, the sum of which is then divided by the value of total common shares outstanding at May 4, 2019. The average award value for the new shares requested of $1.66 was calculated using the 200-day average stock price of the Company’s common stock at March 1, 2019 of $2.41 divided by a fungible ratio of 1.45.</w:t>
      </w:r>
    </w:p>
    <w:p>
      <w:pPr>
        <w:spacing w:after="0" w:line="186" w:lineRule="exact"/>
        <w:rPr>
          <w:rFonts w:ascii="Arial" w:cs="Arial" w:eastAsia="Arial" w:hAnsi="Arial"/>
          <w:sz w:val="18"/>
          <w:szCs w:val="18"/>
          <w:color w:val="auto"/>
        </w:rPr>
      </w:pPr>
    </w:p>
    <w:p>
      <w:pPr>
        <w:jc w:val="both"/>
        <w:ind w:left="760" w:hanging="374"/>
        <w:spacing w:after="0" w:line="286" w:lineRule="auto"/>
        <w:tabs>
          <w:tab w:leader="none" w:pos="7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dilution calculation assumes all shares granted from the 2016 Plan are options or stock appreciation rights. However, each grant of a full-value award utilizes 1.9 shares from the share reserve. Therefore, if all 2.8 million shares requested were full-value awards only 1.5 million actual shares would affect dilution to our stockholders, with a dilution effect of only 2.6% instead of the 4.8% in the table.</w:t>
      </w:r>
    </w:p>
    <w:p>
      <w:pPr>
        <w:spacing w:after="0" w:line="165" w:lineRule="exact"/>
        <w:rPr>
          <w:rFonts w:ascii="Arial" w:cs="Arial" w:eastAsia="Arial" w:hAnsi="Arial"/>
          <w:sz w:val="17"/>
          <w:szCs w:val="17"/>
          <w:color w:val="auto"/>
        </w:rPr>
      </w:pPr>
    </w:p>
    <w:p>
      <w:pPr>
        <w:ind w:left="760" w:right="140" w:hanging="374"/>
        <w:spacing w:after="0" w:line="264" w:lineRule="auto"/>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common shares outstanding at May 4, 2019 includes 20,000 shares of unvested restricted stock outstanding. The dilutive impact of these shares occurred on the grant date, as they are considered part of our outstanding common stock, and are eligible to vote and receive dividends. As such, they have no future dilutive impact.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2016 Incentive Compensation Plan</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 xml:space="preserve">The following is a summary of the 2016 Plan and is qualified in its entirety by reference to the full text of the 2016 Plan,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The summary of the 2016 Plan may not contain all the information that is important to you and you should read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carefully before you decide how to vote.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Purpose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2016 Plan is to:</w:t>
      </w:r>
    </w:p>
    <w:p>
      <w:pPr>
        <w:spacing w:after="0" w:line="20" w:lineRule="exact"/>
        <w:rPr>
          <w:sz w:val="20"/>
          <w:szCs w:val="20"/>
          <w:color w:val="auto"/>
        </w:rPr>
      </w:pPr>
    </w:p>
    <w:p>
      <w:pPr>
        <w:ind w:left="820" w:right="80" w:hanging="380"/>
        <w:spacing w:after="0" w:line="227" w:lineRule="auto"/>
        <w:tabs>
          <w:tab w:leader="none" w:pos="820" w:val="left"/>
        </w:tabs>
        <w:numPr>
          <w:ilvl w:val="0"/>
          <w:numId w:val="40"/>
        </w:numPr>
        <w:rPr>
          <w:rFonts w:ascii="Arial" w:cs="Arial" w:eastAsia="Arial" w:hAnsi="Arial"/>
          <w:sz w:val="22"/>
          <w:szCs w:val="22"/>
          <w:color w:val="auto"/>
        </w:rPr>
      </w:pPr>
      <w:r>
        <w:rPr>
          <w:rFonts w:ascii="Arial" w:cs="Arial" w:eastAsia="Arial" w:hAnsi="Arial"/>
          <w:sz w:val="18"/>
          <w:szCs w:val="18"/>
          <w:color w:val="auto"/>
        </w:rPr>
        <w:t>assist the Company in attracting, motivating, retaining and rewarding high-quality executives and other employees, officers, directors, consultants and other persons who provide services to the Company;</w:t>
      </w:r>
    </w:p>
    <w:p>
      <w:pPr>
        <w:ind w:left="820" w:hanging="380"/>
        <w:spacing w:after="0" w:line="225" w:lineRule="auto"/>
        <w:tabs>
          <w:tab w:leader="none" w:pos="820" w:val="left"/>
        </w:tabs>
        <w:numPr>
          <w:ilvl w:val="0"/>
          <w:numId w:val="40"/>
        </w:numPr>
        <w:rPr>
          <w:rFonts w:ascii="Arial" w:cs="Arial" w:eastAsia="Arial" w:hAnsi="Arial"/>
          <w:sz w:val="22"/>
          <w:szCs w:val="22"/>
          <w:color w:val="auto"/>
        </w:rPr>
      </w:pPr>
      <w:r>
        <w:rPr>
          <w:rFonts w:ascii="Arial" w:cs="Arial" w:eastAsia="Arial" w:hAnsi="Arial"/>
          <w:sz w:val="18"/>
          <w:szCs w:val="18"/>
          <w:color w:val="auto"/>
        </w:rPr>
        <w:t>enable persons participating in the plan to acquire or increase a proprietary interest in the Company in order to strengthen the mutuality of interests between them and our stockholders, and</w:t>
      </w:r>
    </w:p>
    <w:p>
      <w:pPr>
        <w:ind w:left="820" w:hanging="380"/>
        <w:spacing w:after="0" w:line="214" w:lineRule="auto"/>
        <w:tabs>
          <w:tab w:leader="none" w:pos="820" w:val="left"/>
        </w:tabs>
        <w:numPr>
          <w:ilvl w:val="0"/>
          <w:numId w:val="40"/>
        </w:numPr>
        <w:rPr>
          <w:rFonts w:ascii="Arial" w:cs="Arial" w:eastAsia="Arial" w:hAnsi="Arial"/>
          <w:sz w:val="21"/>
          <w:szCs w:val="21"/>
          <w:color w:val="auto"/>
        </w:rPr>
      </w:pPr>
      <w:r>
        <w:rPr>
          <w:rFonts w:ascii="Arial" w:cs="Arial" w:eastAsia="Arial" w:hAnsi="Arial"/>
          <w:sz w:val="17"/>
          <w:szCs w:val="17"/>
          <w:color w:val="auto"/>
        </w:rPr>
        <w:t>provide persons participating in the plan with performance incentives to expend their maximum efforts in the creation of stockholder value.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Eligible Participants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persons eligible to receive awards under the 2016 Plan are our officers, directors, employees and consultants or other persons who provide services to our Company. An employee on leave of absence may be considered as still employed for purposes of eligibility for participation in the 2016 Plan. As of the date of this proxy statement, there are approximately 32 employees, 7 non-employee directors as well as service providers of the Company and its affiliates who would be eligible to participate in the 2016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has selected the Compensation Committee (the “Committee”) to administer the 2016 Plan. All Committee members must be "non-employee directors" as defined by Rule 16b-3 of the Exchange Act. The Board may in its discretion elect to administer 2016 Plan, provided that it is administered only by those directors who are independent within the meaning of the 2016 Plan. Subject to the terms of the 2016 Plan, the Committee is authorized to select eligible persons to participate in the 2016 Plan, grant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for administration of the 2016 Plan and make all other determinations that it deems necessary or advisable for the administration of the 2016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Shares Available for Awards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shares to be delivered under the 2016 Plan may be authorized but unissued shares of our common stock or treasury shares. Under the 2016 Plan, as proposed to be amended pursuant to this Proposal 3, the total number of shares of common stock that may be subject to the granting of awards under the 2016 Plan shall be equal to the sum of (i) 8,000,000 shares, plus (ii) 525,538 shares that were available for issuance but not granted under the 2006 Plan that rolled into the 2016 Plan on August 4, 2016 and (iii) the number of shares subject to outstanding awards under the 2006 Plan that are forfeited, expire or terminate without delivery of shares. As of May 4, 2019, 2,226,616 shares of our common stock remained available for issuance under our 2016 Plan. In addition, at May 4, 2019, there were 784,251 stock options outstanding that were issued under the 2006 Plan. Of those 784,251 stock options, 608,043 stock options, with an average exercise price of $5.23 per share, will expire in fiscal 2023, if not exercised, and would become available for grant under our 2016 Plan.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3" w:name="page44"/>
    <w:bookmarkEnd w:id="43"/>
    <w:p>
      <w:pPr>
        <w:ind w:right="160"/>
        <w:spacing w:after="0" w:line="264" w:lineRule="auto"/>
        <w:rPr>
          <w:sz w:val="20"/>
          <w:szCs w:val="20"/>
          <w:color w:val="auto"/>
        </w:rPr>
      </w:pPr>
      <w:r>
        <w:rPr>
          <w:rFonts w:ascii="Arial" w:cs="Arial" w:eastAsia="Arial" w:hAnsi="Arial"/>
          <w:sz w:val="18"/>
          <w:szCs w:val="18"/>
          <w:color w:val="auto"/>
        </w:rPr>
        <w:t>Shares issued in respect of any full-value award, such as restricted stock and restricted stock units, are counted against the share limit as 1.9 shares of stock for every 1 share issued. Each share issued in respect of stock options or stock appreciation rights (SARs) are counted against the share limit as 1 share of stock for every 1 share issued.</w:t>
      </w:r>
    </w:p>
    <w:p>
      <w:pPr>
        <w:spacing w:after="0" w:line="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Any shares of stock that again become available for award under the 2016 Plan shall be added as 1 share for every 1 share of stock options or SARs and 1.9 shares for every 1 full-value award.</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Awards that are settled or exercised through the payment of shares, and shares withheld for the payment of taxes on awards, are counted in full against the number of shares available for award under the 2016 Plan, regardless of the number of shares actually issued upon settlement or exercise of any such award.</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2016 Plan pursuant to the acquisition of a business are not subject to, and do not count against, the foregoing limit.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Subject to the increase in the share reserve described above, the maximum aggregate number of shares that may be delivered under the 2016 Plan as a result of the exercise of ISOs is 8,000,000 shares. In addition, a director who is not an employee or a consultant may not be granted an award that has a fair value, as of the date of grant, which exceeds $300,000 in the aggregate.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Annual Per-Person Limitations</w:t>
      </w:r>
    </w:p>
    <w:p>
      <w:pPr>
        <w:spacing w:after="0" w:line="19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any fiscal year during any part of which the 2016 Plan is in effect, the number of options, SARs and performance shares granted to any one participant may not exceed 1,000,000 for each type of such award, subject to adjustment in certain circumstances. Furthermore, the maximum dollar value that may be earned by any one participant as a performance unit in respect of a performance period of one year is $3,000,000, and the maximum dollar value that may be earned by one participant as a performance unit in respect of a performance period greater than one year is $3,000,000 multiplied by the number of full 12-month periods that are in the performance period. The term “performance unit” is defined in the 2016 Plan to mean any grant of a unit valued by reference to a designated amount of property (including cash) other than shares of common stock, which value may be paid in cash, shares of common stock, other property, or any combination thereof, upon the achievement of performance goals set by the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Equitable Adjustments</w:t>
      </w:r>
    </w:p>
    <w:p>
      <w:pPr>
        <w:spacing w:after="0" w:line="2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Committee is authorized to adjust the limitations described in the preceding paragraph and is authorized to adjust outstanding awards (including adjustments to exercise prices of options and other affected terms of awards) in the event that a dividend or other distribution (whether in cash, shares of common stock or other property), recapitalization, forward or reverse split, reorganization, merger, consolidation, spin-off, combination, repurchase, share exchange, liquidation, dissolution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Committee is also authorized to adjust the limitations on the amount of certain awards in the event of any merger, consolidation or other reorganization in which the Company does not survive, or in the event of any change in control (as defined in the 2016 Plan), by taking any of the following approaches, without the requirement of obtaining consent from any plan participant: (1) continuation of the outstanding awards by the Company, if the Company is the surviving entity, (2) the assumption or substitution for the outstanding awards by the surviving entity, (3) full exercisability or vesting and accelerated expiration of the outstanding awards, or (4) settlement of the value of the outstanding awards in cash or cash equivalents or other property followed by cancellation of such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Minimum Vesting Requirement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Except with respect to 5% of the shares of common stock available for awards under the 2016 Plan, no award will become exercisable or otherwise non-forfeitable unless such award has been outstanding for a minimum period of one year from its date of grant. The Committee reserves the general discretion to accelerate vesting of awards in connection with the participant’s death, disability, termination of service or change in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2016 Plan authorizes grants of a variety of awards described below. The Committee, or the Board, if applicable, determines the terms and conditions of each award at the time of grant, including whether the payment of awards may be subject to the achievement of performance goals, consistent with the terms of the 2016 Plan. The material terms and conditions of the awards described below shall be set forth in an award agreement, as established by the Committee, consistent with the provisions of the 2016 Plan. Each award agreement shall either be (i) in writing in a form approved by the Committee and executed by the Company by an officer duly authorized to act on its behalf, or (ii) an electronic notice in a form approved by the Committee and recorded by the Company in an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electronic recordkeeping system used for tracking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Committee is authorized to grant stock options, including both incentive stock options (“ISOs”) (which must comply with provisions of Section 422 of the Internal Revenue Code and can result in potentially favorable tax treatment to the participant) and non-qualified stock options, as well as stock appreciation rights (SARs), which entitle the participant to receive the amount by which the fair market value of a share of common stock on the date of exercise exceeds the grant price of the SAR. The exercise price per share subject to an option is determined by the Committee, but must not be less than the fair market value of a share of common stock on the date of grant. The grant price of an SAR is determined by the Committee, but must not be less than (i) the fair market value of a share of common stock on the date of grant or, (ii) in the case of an SAR issued in tandem with an ISO, the exercise price of the option granted in tandem with the SAR.</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purposes of the 2016 Plan, the term "fair market value" means the fair market value of the common stock, awards or other property as determined by the Committee or under procedures established by the Committee. Unless otherwise determined by the Committee or our Board,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aggregate fair market value with respect to ISOs granted under the Plan that become exercisable for the participant during any calendar year shall not exceed $100,000.</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The 2016 Plan also permits net share settlement of nonqualified stock options. Methods of exercise and settlement and other terms of the SARs are determined by the Committee.</w:t>
      </w:r>
    </w:p>
    <w:p>
      <w:pPr>
        <w:spacing w:after="0" w:line="13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than in connection with standard adjustments (as set forth in Section 11(c) of the 2016 Plan), (i) the terms of outstanding options or SARs may not be amended to reduce the exercise or grant price per share of such options or SARs, as applicable (ii) an outstanding option or SAR may not be cancelled, exchanged, substituted, bought out or surrendered in exchange for (a) cash or other awards, in each case, having a fair market value in excess of the amount by which the fair market value of the shares underlying such option or SAR exceeds the aggregate exercise or grant price of such option or SAR as applicable or (b) options or SARs with an exercise or grant price per share that is less than the exercise or grant price per share of the original option or SAR as applicable and (iii) the Committee shall not be permitted to take any other action with respect to an option or SAR that may be treated as a repricing, in each case, without approval of our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Committee is authorized to grant restricted stock, which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and has the right to receive dividends.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Committee is authorized to grant deferred awards, which include deferred stock and restricted stock units. An award of deferred stock or restricted stock units entitles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or restricted stock units carries no voting or dividend rights or other rights associated with share ownership, although dividend equivalents may be granted, as discussed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Stock and Awards in Lieu of Cash Obligations</w:t>
      </w:r>
    </w:p>
    <w:p>
      <w:pPr>
        <w:spacing w:after="0" w:line="22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2016 Plan or other plans or compensatory arrangements, subject to such terms as the Committee may specify.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Dividend Equivalents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 Notwithstanding the foregoing, in no event shall dividend equivalents be paid in connection with the grant of a performance award until such time as the Committee has certified that the performance goals with respect to such performance award have been achieved for the relevant performance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Awards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specific performance awards, which represent a conditional right to receive cash, shares of common stock or other awards upon achievement of certain pre-established performance goals and subjective individual goals, if any, during a specified fiscal year. The Committee shall, in its sole discretion, determine and grant awards subject to these provisions. This right of a participant to exercise or receive a grant or settlement of an award, and the timing thereof, may be subject to such criteria and performance conditions (including subjective individual goals) as may be specified by the Committee. The amount of any performance awards to be distributed shall be conclusively determined by the Committee. Performance awards may be paid in a lump sum or in installments following the close of an applicable performance period, or, in accordance with procedures established by the Committee, on a deferred basis in a manner that does not violate the requirements of Section 409A of the Internal Revenue Code (“Section 409A”).</w:t>
      </w:r>
    </w:p>
    <w:p>
      <w:pPr>
        <w:spacing w:after="0" w:line="16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Subject to the requirements of the 2016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(1) earnings per share; (2) revenues or margins; (3) cash flow; (4) operating margin; (5) return on net assets, investment, capital, or equity;</w:t>
      </w:r>
    </w:p>
    <w:p>
      <w:pPr>
        <w:spacing w:after="0" w:line="2" w:lineRule="exact"/>
        <w:rPr>
          <w:sz w:val="20"/>
          <w:szCs w:val="20"/>
          <w:color w:val="auto"/>
        </w:rPr>
      </w:pPr>
    </w:p>
    <w:p>
      <w:pPr>
        <w:ind w:firstLine="8"/>
        <w:spacing w:after="0" w:line="267" w:lineRule="auto"/>
        <w:tabs>
          <w:tab w:leader="none" w:pos="2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(14) the Fair Market Value of a Share, and (15) any of the above goals determined on an absolute or relative basis or as compared to the performance of a published or special index deemed applicable by the Committee including, but not limited to, the Standard &amp; Poor's 500 Stock Index or a group of comparable companies. Except as otherwise specified by the Committee at the time the goals are set, the Committee shall exclude the impact of (i) restructurings, discontinued operations, extraordinary items, and other unusual or non-recurring charges, (ii) an event either not directly related to our operations or not within our reasonable control of management, (iii) a change in accounting standards required by generally accepted accounting principles, or (iv) any other item or event specified by the Committee at the time the goals are set. Achievement of performance goals in respect of performance awards shall be measured over a performance period no shorter than 12 months and no longer than 5 years, as further specified by the Committee.</w:t>
      </w:r>
    </w:p>
    <w:p>
      <w:pPr>
        <w:spacing w:after="0" w:line="21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granting performance awards, the Committee may establish unfunded award "pools," the amounts of which will be based upon the achievement of a performance goal or goals based on one or more of certain business criteria described in the 2016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171"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2016 Plan. The Committee may, in its discretion, determine that the amount payable as a performance award will be reduced from the amount of any potential award.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Stock-Based Awards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Committee is authorized to grant awards under the 2016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6" w:name="page47"/>
    <w:bookmarkEnd w:id="46"/>
    <w:p>
      <w:pPr>
        <w:ind w:right="80"/>
        <w:spacing w:after="0" w:line="264" w:lineRule="auto"/>
        <w:rPr>
          <w:sz w:val="20"/>
          <w:szCs w:val="20"/>
          <w:color w:val="auto"/>
        </w:rPr>
      </w:pPr>
      <w:r>
        <w:rPr>
          <w:rFonts w:ascii="Arial" w:cs="Arial" w:eastAsia="Arial" w:hAnsi="Arial"/>
          <w:sz w:val="18"/>
          <w:szCs w:val="18"/>
          <w:color w:val="auto"/>
        </w:rPr>
        <w:t>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Terms of Awards</w:t>
      </w:r>
    </w:p>
    <w:p>
      <w:pPr>
        <w:spacing w:after="0" w:line="1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2016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Awards under the 2016 Plan are generally granted without a requirement that the participant pay consideration in the form of cash or property for the grant (as distinguished from the exercise), except to the extent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 on Repricing</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As described above under “Stock Options and SARs,” repricing of stock options and SARs is not permitted without stockholder approval. The Committee may, however, grant awards in exchange for other awards under the 2016 Plan or under other Company plans, or other rights to payment from us, and may grant awards in addition to such other awards, rights or other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Restrictions on Transferability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the 2016 Plan, no award can be pledged, hypothecated or otherwise encumbered or subject to any lien, obligation or liability of the participant to any party, or assigned or transferred by the participant other than by will or the laws of descent and distribution or to a beneficiary upon the participant’s death. Any award or other rights (other than Incentive Stock Options and Stock Appreciation Rights in tandem therewith) may be transferred to such beneficiaries only if and to the extent such transfers are permitted by the Committee pursuant to the express terms of an Award Agreement, are by gift or pursuant to a domestic relations order, and are to a “Permitted Assignee” that is a permissible transferee under the applicable rules of the Securities and Exchange Commission for registration of shares of stock on a Form S-8 registration statement. A Permitted Assignee means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Clawback</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Awards made under the 2016 Plan shall be subject to the applicable provisions of the Company’s clawback or recoupment policies as may be in effect from time to time. In addition to the terms of the Company’s clawback policy, the 2016 Plan provides that, if a participant, while employed by or providing services to the Company, or after termination of employment or service violates a non-competition, non-solicitation or non-disclosure covenant or agreement, or otherwise engages in activity that is in conflict with or adverse to the interest of the Company, as determined by the Committee, then the participant’s awards under the 2016 Plan may be forfeited and the Committee may require the participant to pay to the Company all or any portion of the gain realized upon exercise or vesting of an award.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 in Control</w:t>
      </w:r>
    </w:p>
    <w:p>
      <w:pPr>
        <w:spacing w:after="0" w:line="13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the event of a change of control, the 2016 Plan provides that Committee in effect immediately preceding the change in control may, in its sole discretion, accelerate the exercisability, the lapsing of restrictions or the expiration of deferral or vesting periods of any award upon a “double trigger,” i.e., upon certain terminations of employment without “justifiable cause” or for “good reason” within 6 months before or 18 months after a change in control. In addition, the Committee may provide in an award agreement that the performance goals relating to any performance based award will be deemed to have been met upon the occurrence of any "change in control," again upon a “double trigger” as described in this paragraph.</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and Termination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Our Board may amend, alter, suspend, discontinue or terminate the 2016 Plan or the Committee's authority to grant awards without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spacing w:after="0" w:line="254" w:lineRule="auto"/>
        <w:rPr>
          <w:sz w:val="20"/>
          <w:szCs w:val="20"/>
          <w:color w:val="auto"/>
        </w:rPr>
      </w:pPr>
      <w:r>
        <w:rPr>
          <w:rFonts w:ascii="Arial" w:cs="Arial" w:eastAsia="Arial" w:hAnsi="Arial"/>
          <w:sz w:val="18"/>
          <w:szCs w:val="18"/>
          <w:color w:val="auto"/>
        </w:rPr>
        <w:t>further stockholder approval, except stockholder approval must be obtained, no later than the next annual meeting following Board approval for such amendment,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2016 Plan which might increase the cost of the 2016 Plan or alter the eligibility of persons to receive awards. Stockholder approval will not be deemed to be required under laws or regulations, such as those relating to incentive stock options, that condition favorable treatment of participants on such approval, although our Board may, in its discretion, seek stockholder approval in any circumstance in which it deems such approval advisable. Unless earlier terminated by our Board, the 2016 Plan will terminate at the earliest of (i) such time as no shares of common stock remain available for issuance under the 2016 Plan or (ii) the tenth anniversary of the effective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131"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The 2016 Plan is not qualified under the provisions of Section 401(a) of the Internal Revenue Code and is not subject to any of the provisions of the Employee Retirement Income Security Act of 1974. The following is a brief summary of the principal United States federal income tax consequences of awards under the 2016 Plan. This summary is not intended to be exhaustive and does not describe state, local or foreign tax laws.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exercise of a non-qualified stock option granted under the 2016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The optionee's tax basis in the number of shares equal to the number of shares delivered on exercise of the option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7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will be entitled to a deduction for Federal income tax purposes equal to the amount of ordinary income taxable to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2016 Plan provides for the grant of stock options that qualify as "incentive stock options" as defined in Section 422 of the Internal Revenue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8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8" w:name="page49"/>
    <w:bookmarkEnd w:id="48"/>
    <w:p>
      <w:pPr>
        <w:ind w:right="20"/>
        <w:spacing w:after="0" w:line="255" w:lineRule="auto"/>
        <w:rPr>
          <w:sz w:val="20"/>
          <w:szCs w:val="20"/>
          <w:color w:val="auto"/>
        </w:rPr>
      </w:pPr>
      <w:r>
        <w:rPr>
          <w:rFonts w:ascii="Arial" w:cs="Arial" w:eastAsia="Arial" w:hAnsi="Arial"/>
          <w:sz w:val="18"/>
          <w:szCs w:val="18"/>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8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is reasonable in amount, is not otherwise disallowed by the Internal Revenue Code and either the employee includes that amount in income or we timely satisfy our reporting requirements with respect to that amount.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2016 Plan (for example, if the employee is required to work for a period of time in order to not forfeit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(Section 83(b) election), within 30 days of the stock award, to recognize ordinary compensation income, as of the date the award is granted, equal to the excess, if any, of the fair market value of the stock on the date the award is granted over any amount paid by the recipient in exchange for the stock.</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2016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the recipient of a SAR will not recognize any taxable income at the time the SAR is granted.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general, there will be no federal income tax deduction allowed to us upon the grant or termination of SARs. Upon the exercise of a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Awards</w:t>
      </w:r>
    </w:p>
    <w:p>
      <w:pPr>
        <w:spacing w:after="0" w:line="11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The recipient will not have income upon the grant of a restricted stock unit or a grant of deferred shares. Also, unlike restricted stock, the recipient is not permitted to make a Section 83(b) election. When the restricted stock unit vests or the deferral period lapses on deferred shares, the recipient will have income on the date payment is made or shares are issued, in an amount equal to the fair market value of the stock on such date (or the amount of cash paid). When the stock, if any, is sold the recipient will have a capital gain or loss equal to the sales proceeds less the value of the stock already taken into income. Any capital gain or loss will be long-term if the recipient holds the stock for more than one year, otherwise it will be short-term.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Equivalents</w:t>
      </w:r>
    </w:p>
    <w:p>
      <w:pPr>
        <w:spacing w:after="0" w:line="1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of the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Section 409A</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2016 Plan is intended to comply with Section 409A to the extent that such section would apply to any Award under the 2016 Plan. Section 409A governs the taxation of deferred compensation. Any participant that is granted an Award that is deemed to be deferred compensation, such as a grant of restricted stock units that does not qualify for an exemption from Section 409A, and does not comply with Section 409A, could be subject to taxation on the Award as soon as the Award is no longer subject to a substantial risk of forfeiture (even if the Award is not exercisable) and an additional 20% tax (and a further additional tax based upon an amount of interest determined under Section 409A) on the value of the Award.</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Section 162(m) Limit on Deductibility of Compensation</w:t>
      </w:r>
      <w:r>
        <w:rPr>
          <w:rFonts w:ascii="Arial" w:cs="Arial" w:eastAsia="Arial" w:hAnsi="Arial"/>
          <w:sz w:val="18"/>
          <w:szCs w:val="18"/>
          <w:color w:val="auto"/>
        </w:rPr>
        <w:t>. Section 162(m) of the Internal Revenue Code limits our deduction to $1 million of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paid per person per year, including compensation arising from awards granted under the 2016 Plan, with respect to certain covered employees, including our Chief Executive Officer and Chief Financial Officer. See “</w:t>
      </w:r>
      <w:r>
        <w:rPr>
          <w:rFonts w:ascii="Arial" w:cs="Arial" w:eastAsia="Arial" w:hAnsi="Arial"/>
          <w:sz w:val="18"/>
          <w:szCs w:val="18"/>
          <w:i w:val="1"/>
          <w:iCs w:val="1"/>
          <w:color w:val="auto"/>
        </w:rPr>
        <w:t>Compensation Discussion and Analysis - Tax Implications</w:t>
      </w:r>
      <w:r>
        <w:rPr>
          <w:rFonts w:ascii="Arial" w:cs="Arial" w:eastAsia="Arial" w:hAnsi="Arial"/>
          <w:sz w:val="18"/>
          <w:szCs w:val="18"/>
          <w:color w:val="auto"/>
        </w:rPr>
        <w:t>” above for additional information about Section 162(m).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Awards granted under the 2016 Plan are within the discretion of the Committee. As discussed above under “</w:t>
      </w:r>
      <w:r>
        <w:rPr>
          <w:rFonts w:ascii="Arial" w:cs="Arial" w:eastAsia="Arial" w:hAnsi="Arial"/>
          <w:sz w:val="18"/>
          <w:szCs w:val="18"/>
          <w:i w:val="1"/>
          <w:iCs w:val="1"/>
          <w:color w:val="auto"/>
        </w:rPr>
        <w:t>Compensation Discussion and Analysis- Long-Term Incentive Plans</w:t>
      </w:r>
      <w:r>
        <w:rPr>
          <w:rFonts w:ascii="Arial" w:cs="Arial" w:eastAsia="Arial" w:hAnsi="Arial"/>
          <w:sz w:val="18"/>
          <w:szCs w:val="18"/>
          <w:color w:val="auto"/>
        </w:rPr>
        <w:t>”, if performance targets under the 2018-2020 LTIP are achieved, performance-based awards earned and approved by the Committee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granted from the 2016 Plan. The number of shares that may be awarded under the LTIP cannot currently be determined due to the fact that the number of shares will be based on the closing price of our common stock on the date of grant. However, assuming that we are able to achieve the performance targets, at target, we can estimate the amount of the award that each participant is entitled to receive. Assuming that the performance targets under the 2018-2020 LTIP are achieved at the target level, the total award value of shares that would be granted would be approximately $1.6 million. Similarly, while we are unable to determine the number of shares that may be granted to our non-employee directors in connection with their Required Equity, we are able to calculate the dollar value of such grants.</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following table reflects the value of performance-based awards that could be earned by each Named Executive Officer, all of our current executive officers as a group (including Named Executive Officers), all employees as a group (excluding executive officers) and all non-executive directors as a group. Mr. Levin is excluded from the following table, because any compensation he is entitled to pursuant to his Transition Agreement would be settled in cash. In connection with his employment agreement, Mr. Kanter waived participation in the 2018-2020 LTIP and therefore is not reflected in the table below. The table also reflects the value of the Required Equity to be paid for the remainder of fiscal 2019 to our non-employee directors. The benefits and amounts that may be awarded under the 2016 Plan beyond fiscal 2019 and the 2018-2020 LTIP and cannot otherwise currently be determined.</w:t>
      </w:r>
    </w:p>
    <w:p>
      <w:pPr>
        <w:spacing w:after="0" w:line="166" w:lineRule="exact"/>
        <w:rPr>
          <w:sz w:val="20"/>
          <w:szCs w:val="20"/>
          <w:color w:val="auto"/>
        </w:rPr>
      </w:pPr>
    </w:p>
    <w:tbl>
      <w:tblPr>
        <w:tblLayout w:type="fixed"/>
        <w:tblInd w:w="900" w:type="dxa"/>
        <w:tblCellMar>
          <w:top w:w="0" w:type="dxa"/>
          <w:left w:w="0" w:type="dxa"/>
          <w:bottom w:w="0" w:type="dxa"/>
          <w:right w:w="0" w:type="dxa"/>
        </w:tblCellMar>
      </w:tblPr>
      <w:tr>
        <w:trPr>
          <w:trHeight w:val="174"/>
        </w:trPr>
        <w:tc>
          <w:tcPr>
            <w:tcW w:w="3320" w:type="dxa"/>
            <w:vAlign w:val="bottom"/>
          </w:tcPr>
          <w:p>
            <w:pPr>
              <w:spacing w:after="0"/>
              <w:rPr>
                <w:sz w:val="20"/>
                <w:szCs w:val="20"/>
                <w:color w:val="auto"/>
              </w:rPr>
            </w:pPr>
            <w:r>
              <w:rPr>
                <w:rFonts w:ascii="Arial" w:cs="Arial" w:eastAsia="Arial" w:hAnsi="Arial"/>
                <w:sz w:val="14"/>
                <w:szCs w:val="14"/>
                <w:b w:val="1"/>
                <w:bCs w:val="1"/>
                <w:color w:val="auto"/>
              </w:rPr>
              <w:t>Plan Name:</w:t>
            </w:r>
          </w:p>
        </w:tc>
        <w:tc>
          <w:tcPr>
            <w:tcW w:w="1240" w:type="dxa"/>
            <w:vAlign w:val="bottom"/>
          </w:tcPr>
          <w:p>
            <w:pPr>
              <w:spacing w:after="0"/>
              <w:rPr>
                <w:sz w:val="15"/>
                <w:szCs w:val="15"/>
                <w:color w:val="auto"/>
              </w:rPr>
            </w:pPr>
          </w:p>
        </w:tc>
        <w:tc>
          <w:tcPr>
            <w:tcW w:w="50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2018-2020 LTIP and Director Plan</w:t>
            </w:r>
            <w:r>
              <w:rPr>
                <w:rFonts w:ascii="Arial" w:cs="Arial" w:eastAsia="Arial" w:hAnsi="Arial"/>
                <w:sz w:val="11"/>
                <w:szCs w:val="11"/>
                <w:b w:val="1"/>
                <w:bCs w:val="1"/>
                <w:color w:val="auto"/>
              </w:rPr>
              <w:t>(1)</w:t>
            </w:r>
          </w:p>
        </w:tc>
      </w:tr>
      <w:tr>
        <w:trPr>
          <w:trHeight w:val="190"/>
        </w:trPr>
        <w:tc>
          <w:tcPr>
            <w:tcW w:w="3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Participant Name</w:t>
            </w:r>
          </w:p>
        </w:tc>
        <w:tc>
          <w:tcPr>
            <w:tcW w:w="12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2260" w:type="dxa"/>
            <w:vAlign w:val="bottom"/>
          </w:tcPr>
          <w:p>
            <w:pPr>
              <w:spacing w:after="0"/>
              <w:rPr>
                <w:sz w:val="16"/>
                <w:szCs w:val="16"/>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color w:val="auto"/>
              </w:rPr>
              <w:t>David A. Levin</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0" w:type="dxa"/>
            <w:vAlign w:val="bottom"/>
          </w:tcPr>
          <w:p>
            <w:pPr>
              <w:ind w:left="1100"/>
              <w:spacing w:after="0"/>
              <w:rPr>
                <w:sz w:val="20"/>
                <w:szCs w:val="20"/>
                <w:color w:val="auto"/>
              </w:rPr>
            </w:pPr>
            <w:r>
              <w:rPr>
                <w:rFonts w:ascii="Arial" w:cs="Arial" w:eastAsia="Arial" w:hAnsi="Arial"/>
                <w:sz w:val="18"/>
                <w:szCs w:val="18"/>
                <w:color w:val="auto"/>
              </w:rPr>
              <w:t>-</w:t>
            </w:r>
          </w:p>
        </w:tc>
        <w:tc>
          <w:tcPr>
            <w:tcW w:w="226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240" w:type="dxa"/>
            <w:vAlign w:val="bottom"/>
            <w:shd w:val="clear" w:color="auto" w:fill="CFF0FC"/>
          </w:tcPr>
          <w:p>
            <w:pPr>
              <w:spacing w:after="0"/>
              <w:rPr>
                <w:sz w:val="19"/>
                <w:szCs w:val="19"/>
                <w:color w:val="auto"/>
              </w:rPr>
            </w:pPr>
          </w:p>
        </w:tc>
        <w:tc>
          <w:tcPr>
            <w:tcW w:w="28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138,250</w:t>
            </w:r>
          </w:p>
        </w:tc>
        <w:tc>
          <w:tcPr>
            <w:tcW w:w="226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Brian S. Reaves</w:t>
            </w:r>
          </w:p>
        </w:tc>
        <w:tc>
          <w:tcPr>
            <w:tcW w:w="1240" w:type="dxa"/>
            <w:vAlign w:val="bottom"/>
          </w:tcPr>
          <w:p>
            <w:pPr>
              <w:spacing w:after="0"/>
              <w:rPr>
                <w:sz w:val="19"/>
                <w:szCs w:val="19"/>
                <w:color w:val="auto"/>
              </w:rPr>
            </w:pPr>
          </w:p>
        </w:tc>
        <w:tc>
          <w:tcPr>
            <w:tcW w:w="2800" w:type="dxa"/>
            <w:vAlign w:val="bottom"/>
          </w:tcPr>
          <w:p>
            <w:pPr>
              <w:ind w:left="1100"/>
              <w:spacing w:after="0"/>
              <w:rPr>
                <w:sz w:val="20"/>
                <w:szCs w:val="20"/>
                <w:color w:val="auto"/>
              </w:rPr>
            </w:pPr>
            <w:r>
              <w:rPr>
                <w:rFonts w:ascii="Arial" w:cs="Arial" w:eastAsia="Arial" w:hAnsi="Arial"/>
                <w:sz w:val="18"/>
                <w:szCs w:val="18"/>
                <w:color w:val="auto"/>
              </w:rPr>
              <w:t>175,000</w:t>
            </w:r>
          </w:p>
        </w:tc>
        <w:tc>
          <w:tcPr>
            <w:tcW w:w="226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James S. Davey</w:t>
            </w:r>
          </w:p>
        </w:tc>
        <w:tc>
          <w:tcPr>
            <w:tcW w:w="1240" w:type="dxa"/>
            <w:vAlign w:val="bottom"/>
            <w:shd w:val="clear" w:color="auto" w:fill="CFF0FC"/>
          </w:tcPr>
          <w:p>
            <w:pPr>
              <w:spacing w:after="0"/>
              <w:rPr>
                <w:sz w:val="19"/>
                <w:szCs w:val="19"/>
                <w:color w:val="auto"/>
              </w:rPr>
            </w:pPr>
          </w:p>
        </w:tc>
        <w:tc>
          <w:tcPr>
            <w:tcW w:w="28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157,500</w:t>
            </w:r>
          </w:p>
        </w:tc>
        <w:tc>
          <w:tcPr>
            <w:tcW w:w="226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Robert S. Molloy</w:t>
            </w:r>
          </w:p>
        </w:tc>
        <w:tc>
          <w:tcPr>
            <w:tcW w:w="1240" w:type="dxa"/>
            <w:vAlign w:val="bottom"/>
          </w:tcPr>
          <w:p>
            <w:pPr>
              <w:spacing w:after="0"/>
              <w:rPr>
                <w:sz w:val="19"/>
                <w:szCs w:val="19"/>
                <w:color w:val="auto"/>
              </w:rPr>
            </w:pPr>
          </w:p>
        </w:tc>
        <w:tc>
          <w:tcPr>
            <w:tcW w:w="2800" w:type="dxa"/>
            <w:vAlign w:val="bottom"/>
          </w:tcPr>
          <w:p>
            <w:pPr>
              <w:ind w:left="1100"/>
              <w:spacing w:after="0"/>
              <w:rPr>
                <w:sz w:val="20"/>
                <w:szCs w:val="20"/>
                <w:color w:val="auto"/>
              </w:rPr>
            </w:pPr>
            <w:r>
              <w:rPr>
                <w:rFonts w:ascii="Arial" w:cs="Arial" w:eastAsia="Arial" w:hAnsi="Arial"/>
                <w:sz w:val="18"/>
                <w:szCs w:val="18"/>
                <w:color w:val="auto"/>
              </w:rPr>
              <w:t>131,250</w:t>
            </w:r>
          </w:p>
        </w:tc>
        <w:tc>
          <w:tcPr>
            <w:tcW w:w="226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Executive Group</w:t>
            </w:r>
          </w:p>
        </w:tc>
        <w:tc>
          <w:tcPr>
            <w:tcW w:w="1240" w:type="dxa"/>
            <w:vAlign w:val="bottom"/>
            <w:shd w:val="clear" w:color="auto" w:fill="CFF0FC"/>
          </w:tcPr>
          <w:p>
            <w:pPr>
              <w:spacing w:after="0"/>
              <w:rPr>
                <w:sz w:val="19"/>
                <w:szCs w:val="19"/>
                <w:color w:val="auto"/>
              </w:rPr>
            </w:pPr>
          </w:p>
        </w:tc>
        <w:tc>
          <w:tcPr>
            <w:tcW w:w="28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901,250</w:t>
            </w:r>
          </w:p>
        </w:tc>
        <w:tc>
          <w:tcPr>
            <w:tcW w:w="2260" w:type="dxa"/>
            <w:vAlign w:val="bottom"/>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Non-Executive Employee grants</w:t>
            </w:r>
          </w:p>
        </w:tc>
        <w:tc>
          <w:tcPr>
            <w:tcW w:w="1240" w:type="dxa"/>
            <w:vAlign w:val="bottom"/>
          </w:tcPr>
          <w:p>
            <w:pPr>
              <w:spacing w:after="0"/>
              <w:rPr>
                <w:sz w:val="19"/>
                <w:szCs w:val="19"/>
                <w:color w:val="auto"/>
              </w:rPr>
            </w:pPr>
          </w:p>
        </w:tc>
        <w:tc>
          <w:tcPr>
            <w:tcW w:w="2800" w:type="dxa"/>
            <w:vAlign w:val="bottom"/>
          </w:tcPr>
          <w:p>
            <w:pPr>
              <w:ind w:left="1100"/>
              <w:spacing w:after="0"/>
              <w:rPr>
                <w:sz w:val="20"/>
                <w:szCs w:val="20"/>
                <w:color w:val="auto"/>
              </w:rPr>
            </w:pPr>
            <w:r>
              <w:rPr>
                <w:rFonts w:ascii="Arial" w:cs="Arial" w:eastAsia="Arial" w:hAnsi="Arial"/>
                <w:sz w:val="18"/>
                <w:szCs w:val="18"/>
                <w:color w:val="auto"/>
              </w:rPr>
              <w:t>734,169</w:t>
            </w:r>
          </w:p>
        </w:tc>
        <w:tc>
          <w:tcPr>
            <w:tcW w:w="2260" w:type="dxa"/>
            <w:vAlign w:val="bottom"/>
          </w:tcPr>
          <w:p>
            <w:pPr>
              <w:spacing w:after="0"/>
              <w:rPr>
                <w:sz w:val="19"/>
                <w:szCs w:val="19"/>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Non-Executive Director Group</w:t>
            </w:r>
          </w:p>
        </w:tc>
        <w:tc>
          <w:tcPr>
            <w:tcW w:w="1240" w:type="dxa"/>
            <w:vAlign w:val="bottom"/>
            <w:shd w:val="clear" w:color="auto" w:fill="CFF0FC"/>
          </w:tcPr>
          <w:p>
            <w:pPr>
              <w:spacing w:after="0"/>
              <w:rPr>
                <w:sz w:val="19"/>
                <w:szCs w:val="19"/>
                <w:color w:val="auto"/>
              </w:rPr>
            </w:pPr>
          </w:p>
        </w:tc>
        <w:tc>
          <w:tcPr>
            <w:tcW w:w="28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248,750</w:t>
            </w:r>
          </w:p>
        </w:tc>
        <w:tc>
          <w:tcPr>
            <w:tcW w:w="226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left="760" w:right="140" w:hanging="374"/>
        <w:spacing w:after="0" w:line="264"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 the 2018-2020 LTIP, 100% of any award earned will be granted in restricted stock units. Any restricted stock units issued would vest on August 31, 2021. For the Non-Executive Director Group, the above amount represents the value of Required Equity and the voluntary election of deferred stock for the remainder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Vote Needed for Approval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affirmative vote of a majority of the votes properly cast is required for approval of Proposal 3.</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We believe that the future success of our Company depends, in large part, upon our ability to maintain a competitive position in attracting, retaining and motivating key personnel. </w:t>
      </w:r>
      <w:r>
        <w:rPr>
          <w:rFonts w:ascii="Arial" w:cs="Arial" w:eastAsia="Arial" w:hAnsi="Arial"/>
          <w:sz w:val="18"/>
          <w:szCs w:val="18"/>
          <w:b w:val="1"/>
          <w:bCs w:val="1"/>
          <w:color w:val="auto"/>
        </w:rPr>
        <w:t>Accordingly, the Board of Directors recommends that you vote “FOR” the amendments to the 2016 Incentive</w:t>
      </w:r>
      <w:r>
        <w:rPr>
          <w:rFonts w:ascii="Arial" w:cs="Arial" w:eastAsia="Arial" w:hAnsi="Arial"/>
          <w:sz w:val="18"/>
          <w:szCs w:val="18"/>
          <w:color w:val="auto"/>
        </w:rPr>
        <w:t xml:space="preserve"> </w:t>
      </w:r>
      <w:r>
        <w:rPr>
          <w:rFonts w:ascii="Arial" w:cs="Arial" w:eastAsia="Arial" w:hAnsi="Arial"/>
          <w:sz w:val="18"/>
          <w:szCs w:val="18"/>
          <w:b w:val="1"/>
          <w:bCs w:val="1"/>
          <w:color w:val="auto"/>
        </w:rPr>
        <w:t>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240" w:top="337" w:right="699" w:bottom="1440" w:gutter="0" w:footer="0" w:header="0"/>
        </w:sectPr>
      </w:pPr>
    </w:p>
    <w:bookmarkStart w:id="51" w:name="page52"/>
    <w:bookmarkEnd w:id="51"/>
    <w:p>
      <w:pPr>
        <w:ind w:left="5160"/>
        <w:spacing w:after="0"/>
        <w:rPr>
          <w:sz w:val="20"/>
          <w:szCs w:val="20"/>
          <w:color w:val="auto"/>
        </w:rPr>
      </w:pPr>
      <w:r>
        <w:rPr>
          <w:rFonts w:ascii="Arial" w:cs="Arial" w:eastAsia="Arial" w:hAnsi="Arial"/>
          <w:sz w:val="18"/>
          <w:szCs w:val="18"/>
          <w:b w:val="1"/>
          <w:bCs w:val="1"/>
          <w:color w:val="auto"/>
        </w:rPr>
        <w:t>PROPOSAL 4</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RATIFICATION OF APPOINTMENT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Subject to ratification by our stockholders, the Audit Committee has appointed KPMG LLP (“KPMG”) as our independent registered public accounting firm for the fiscal year ending February 1, 2020, subject to completion of KPMG’s customary client acceptance procedures. KPMG has served as our independent registered public accounting firm since June 6, 2013.</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Stockholder ratification of our independent registered public accounting firm is not required by our By-Laws or otherwise. However, we are submitting the selection of KPMG to our stockholders for ratification as a matter of good corporate practice. If stockholders fail to ratify the appointment of such auditors, the Audit Committee will reconsider the selection. Even if the selection is ratified, the Audit Committee may, in its discretion, direct the appointment of a different independent auditor at any time during the year if it determines that such a change would be in our best interest.</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Representatives of KPMG are expected to be present at the annual meeting to respond to appropriate stockholders' questions and to make any statements they consider appropriate.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sets forth the fees accrued or paid to the Company’s independent registered accounting firm for the fiscal years ended February 2, 2019 (“fiscal 2018”) and February 3, 2018 (“fiscal 2017”):</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4"/>
              <w:spacing w:after="0"/>
              <w:rPr>
                <w:sz w:val="20"/>
                <w:szCs w:val="20"/>
                <w:color w:val="auto"/>
              </w:rPr>
            </w:pPr>
            <w:r>
              <w:rPr>
                <w:rFonts w:ascii="Arial" w:cs="Arial" w:eastAsia="Arial" w:hAnsi="Arial"/>
                <w:sz w:val="14"/>
                <w:szCs w:val="14"/>
                <w:b w:val="1"/>
                <w:bCs w:val="1"/>
                <w:color w:val="auto"/>
              </w:rPr>
              <w:t>Fiscal 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Fiscal 2017</w:t>
            </w: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Audit fees (1)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948,727</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891,665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Audit-related fees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fees (2)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100" w:type="dxa"/>
            <w:vAlign w:val="bottom"/>
            <w:tcBorders>
              <w:bottom w:val="single" w:sz="8" w:color="CFF0FC"/>
            </w:tcBorders>
          </w:tcPr>
          <w:p>
            <w:pPr>
              <w:spacing w:after="0"/>
              <w:rPr>
                <w:sz w:val="19"/>
                <w:szCs w:val="19"/>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fees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950,507</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893,445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760" w:right="120" w:hanging="374"/>
        <w:spacing w:after="0" w:line="259"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Audit Fees related to professional services rendered in connection with the audits of our financial statements included in our Annual Reports on Form 10-K for fiscal 2018 and fiscal 2017, for services performed related to compliance with Section 404 of the Sarbanes-Oxley Act of 2002, and for reviews of the financial statements included in each of our Quarterly Reports on Form 10-Q. Audit Fees in fiscal 2018 also included work performed in connection with the Company’s adoption of ASC 842.</w:t>
      </w:r>
    </w:p>
    <w:p>
      <w:pPr>
        <w:spacing w:after="0" w:line="78" w:lineRule="exact"/>
        <w:rPr>
          <w:rFonts w:ascii="Arial" w:cs="Arial" w:eastAsia="Arial" w:hAnsi="Arial"/>
          <w:sz w:val="18"/>
          <w:szCs w:val="18"/>
          <w:color w:val="auto"/>
        </w:rPr>
      </w:pPr>
    </w:p>
    <w:p>
      <w:pPr>
        <w:ind w:left="760" w:hanging="374"/>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Fees related to an annual fee for access to an online accounting research tool.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approve the provision of audit services (including audit review and attest services) by our independent registered public accounting firm and consider and pre-approve the provision of certain defined permitted non-audit services within a specified dollar limit. It will also consider on a case-by-case basis and approve specific engagements that do not fit within the definition of pre-approved services or established fee limits, if appropriate.</w:t>
      </w:r>
    </w:p>
    <w:p>
      <w:pPr>
        <w:spacing w:after="0" w:line="8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in fiscal 2018 and fiscal 2017 under Audit Fees and All Other Fees were pre-approved by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affirmative vote of a majority of the shares of common stock properly cast at the Annual Meeting, in person or by proxy, is required for the ratification of the appointment of KPMG LLP as our independent registered public accounting firm for the fiscal year ending February 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720"/>
        <w:spacing w:after="0" w:line="237" w:lineRule="auto"/>
        <w:rPr>
          <w:sz w:val="20"/>
          <w:szCs w:val="20"/>
          <w:color w:val="auto"/>
        </w:rPr>
      </w:pPr>
      <w:r>
        <w:rPr>
          <w:rFonts w:ascii="Arial" w:cs="Arial" w:eastAsia="Arial" w:hAnsi="Arial"/>
          <w:sz w:val="18"/>
          <w:szCs w:val="18"/>
          <w:b w:val="1"/>
          <w:bCs w:val="1"/>
          <w:color w:val="auto"/>
        </w:rPr>
        <w:t>The Audit Committee and the Board of Directors recommends that you vote FOR the ratification of the appointment of KPMG LLP as our independent registered public accounting firm for the fiscal year ending February 1,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Audit Committee reviewed and discussed with KPMG LLP, our independent registered public accounting firm, which was responsible for expressing an opinion on the conformity of our audited consolidated financial statements for the fiscal year ended February 2, 2019 with U.S. generally accepted accounting principles, their judgments as to the quality, not just the acceptability, of our accounting principles and such other matters as are required to be discussed with the Audit Committee by Statement on Auditing Standards No. 16, “Communication with Audit Committees,” as adopted by the Public Company Accounting Oversight Board. In addition, the Committee has discussed with KPMG LLP the firm’s independence from our management and our Company, including the matters in the letter from KPMG LLP required by applicable requirements of the Public Company Accounting Oversight Board regarding KPMG LLP’s communications with the Audit Committee concerning independence. The Audit Committee also considered the compatibility of non-audit services with KPMG LLP’s independence.</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Audit Committee discussed with KPMG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ten meetings during the fiscal year ended February 2, 2019.</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February 2, 2019 for filing with the SEC.</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Pursuant to Section 404 of the Sarbanes-Oxley Act, management was required to prepare as part of our Annual Report on Form 10-K for the year ended February 2, 2019 a report on its assessment of our internal control over financial reporting, including management’s assessment of the effectiveness of such internal controls. KPMG LLP issued an audit report relative to our internal control over financial reporting at February 2, 2019. During the course of fiscal 2018,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KPMG LLP. Management’s assessment report and KPMG LLP’s audit report on our internal control over financial reporting are included as part of our Annual Report on Form 10-K for the year ended February 2, 2019.</w:t>
      </w:r>
    </w:p>
    <w:p>
      <w:pPr>
        <w:spacing w:after="0" w:line="19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The Audit Committee is governed by a written charter, which can be found under “Corporate Governance – Charters &amp; Policies” on the Investor Relations page of our website at </w:t>
      </w:r>
      <w:r>
        <w:rPr>
          <w:rFonts w:ascii="Arial" w:cs="Arial" w:eastAsia="Arial" w:hAnsi="Arial"/>
          <w:sz w:val="17"/>
          <w:szCs w:val="17"/>
          <w:i w:val="1"/>
          <w:iCs w:val="1"/>
          <w:color w:val="auto"/>
        </w:rPr>
        <w:t>https://investor.dxl.com.</w:t>
      </w:r>
      <w:r>
        <w:rPr>
          <w:rFonts w:ascii="Arial" w:cs="Arial" w:eastAsia="Arial" w:hAnsi="Arial"/>
          <w:sz w:val="17"/>
          <w:szCs w:val="17"/>
          <w:color w:val="auto"/>
        </w:rPr>
        <w:t xml:space="preserve"> The members of the Audit Committee are considered independent because they satisfy the independence requirements for Board members prescribed by the Nasdaq listing standards and Rule 10A-3 of the Exchange Act.</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AUDIT COMMITTEE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Ward K. Mooney, Chairman of the Audit Committee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Lionel F. Conacher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John E. Kyees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Willem Mesdag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June 17, 2019. We were informed that, except as indicated, each person has sole voting and investment power with respect to all shares of our common stock shown as beneficially owned by such person, subject to community property laws where applicable.</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jc w:val="right"/>
              <w:ind w:right="32"/>
              <w:spacing w:after="0"/>
              <w:rPr>
                <w:sz w:val="20"/>
                <w:szCs w:val="20"/>
                <w:color w:val="auto"/>
              </w:rPr>
            </w:pPr>
            <w:r>
              <w:rPr>
                <w:rFonts w:ascii="Arial" w:cs="Arial" w:eastAsia="Arial" w:hAnsi="Arial"/>
                <w:sz w:val="16"/>
                <w:szCs w:val="16"/>
                <w:b w:val="1"/>
                <w:bCs w:val="1"/>
                <w:color w:val="auto"/>
                <w:w w:val="97"/>
              </w:rPr>
              <w:t>Number of Shares</w:t>
            </w:r>
          </w:p>
        </w:tc>
        <w:tc>
          <w:tcPr>
            <w:tcW w:w="520" w:type="dxa"/>
            <w:vAlign w:val="bottom"/>
          </w:tcPr>
          <w:p>
            <w:pPr>
              <w:spacing w:after="0"/>
              <w:rPr>
                <w:sz w:val="17"/>
                <w:szCs w:val="17"/>
                <w:color w:val="auto"/>
              </w:rPr>
            </w:pPr>
          </w:p>
        </w:tc>
        <w:tc>
          <w:tcPr>
            <w:tcW w:w="1380" w:type="dxa"/>
            <w:vAlign w:val="bottom"/>
            <w:gridSpan w:val="2"/>
          </w:tcPr>
          <w:p>
            <w:pPr>
              <w:jc w:val="right"/>
              <w:ind w:right="130"/>
              <w:spacing w:after="0"/>
              <w:rPr>
                <w:sz w:val="20"/>
                <w:szCs w:val="20"/>
                <w:color w:val="auto"/>
              </w:rPr>
            </w:pPr>
            <w:r>
              <w:rPr>
                <w:rFonts w:ascii="Arial" w:cs="Arial" w:eastAsia="Arial" w:hAnsi="Arial"/>
                <w:sz w:val="16"/>
                <w:szCs w:val="16"/>
                <w:b w:val="1"/>
                <w:bCs w:val="1"/>
                <w:color w:val="auto"/>
                <w:w w:val="90"/>
              </w:rPr>
              <w:t>Percent of Class</w:t>
            </w:r>
          </w:p>
        </w:tc>
        <w:tc>
          <w:tcPr>
            <w:tcW w:w="0" w:type="dxa"/>
            <w:vAlign w:val="bottom"/>
          </w:tcPr>
          <w:p>
            <w:pPr>
              <w:spacing w:after="0"/>
              <w:rPr>
                <w:sz w:val="1"/>
                <w:szCs w:val="1"/>
                <w:color w:val="auto"/>
              </w:rPr>
            </w:pPr>
          </w:p>
        </w:tc>
      </w:tr>
      <w:tr>
        <w:trPr>
          <w:trHeight w:val="213"/>
        </w:trPr>
        <w:tc>
          <w:tcPr>
            <w:tcW w:w="8040" w:type="dxa"/>
            <w:vAlign w:val="bottom"/>
            <w:gridSpan w:val="3"/>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w w:val="94"/>
              </w:rPr>
              <w:t>Beneficially Owned</w:t>
            </w:r>
          </w:p>
        </w:tc>
        <w:tc>
          <w:tcPr>
            <w:tcW w:w="520" w:type="dxa"/>
            <w:vAlign w:val="bottom"/>
          </w:tcPr>
          <w:p>
            <w:pPr>
              <w:spacing w:after="0"/>
              <w:rPr>
                <w:sz w:val="18"/>
                <w:szCs w:val="18"/>
                <w:color w:val="auto"/>
              </w:rPr>
            </w:pPr>
          </w:p>
        </w:tc>
        <w:tc>
          <w:tcPr>
            <w:tcW w:w="1200" w:type="dxa"/>
            <w:vAlign w:val="bottom"/>
          </w:tcPr>
          <w:p>
            <w:pPr>
              <w:jc w:val="right"/>
              <w:ind w:right="412"/>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Red Mountain Capital Partners, LLC</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8,234,580</w:t>
            </w:r>
          </w:p>
        </w:tc>
        <w:tc>
          <w:tcPr>
            <w:tcW w:w="520" w:type="dxa"/>
            <w:vAlign w:val="bottom"/>
            <w:tcBorders>
              <w:top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Partners,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RMCP GP LLC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Red Mountain Capital Management, Inc.</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Willem Mesdag</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10100 Santa Monica Boulevard, Suite 925</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 Angeles, California 90067</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J. Carlo Cannell</w:t>
            </w:r>
          </w:p>
        </w:tc>
        <w:tc>
          <w:tcPr>
            <w:tcW w:w="1480" w:type="dxa"/>
            <w:vAlign w:val="bottom"/>
          </w:tcPr>
          <w:p>
            <w:pPr>
              <w:jc w:val="right"/>
              <w:spacing w:after="0"/>
              <w:rPr>
                <w:sz w:val="20"/>
                <w:szCs w:val="20"/>
                <w:color w:val="auto"/>
              </w:rPr>
            </w:pPr>
            <w:r>
              <w:rPr>
                <w:rFonts w:ascii="Arial" w:cs="Arial" w:eastAsia="Arial" w:hAnsi="Arial"/>
                <w:sz w:val="18"/>
                <w:szCs w:val="18"/>
                <w:color w:val="auto"/>
              </w:rPr>
              <w:t>5,388,294</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245 Meriwether Circle</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Alta, Wyoming 83414</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Capital Management, L.L.C.</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4,947,881</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Prescott Group Aggressive Small Cap II, L.P.</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Phil Frohlich</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1924 South Utica, Suite 1120</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Tulsa, Oklahoma 74104-6529</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Seymour Holtzman</w:t>
            </w:r>
          </w:p>
        </w:tc>
        <w:tc>
          <w:tcPr>
            <w:tcW w:w="1480" w:type="dxa"/>
            <w:vAlign w:val="bottom"/>
          </w:tcPr>
          <w:p>
            <w:pPr>
              <w:jc w:val="right"/>
              <w:spacing w:after="0"/>
              <w:rPr>
                <w:sz w:val="20"/>
                <w:szCs w:val="20"/>
                <w:color w:val="auto"/>
              </w:rPr>
            </w:pPr>
            <w:r>
              <w:rPr>
                <w:rFonts w:ascii="Arial" w:cs="Arial" w:eastAsia="Arial" w:hAnsi="Arial"/>
                <w:sz w:val="18"/>
                <w:szCs w:val="18"/>
                <w:color w:val="auto"/>
              </w:rPr>
              <w:t>4,633,949</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Wilkes Barre, PA 18702</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 J. Krevlin</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4,104,751</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600 Fifth Avenue, 11th Floor</w:t>
            </w: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New York, New York 10020</w:t>
            </w:r>
          </w:p>
        </w:tc>
        <w:tc>
          <w:tcPr>
            <w:tcW w:w="14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RBC Global Asset Management (U.S.) Inc.</w:t>
            </w:r>
          </w:p>
        </w:tc>
        <w:tc>
          <w:tcPr>
            <w:tcW w:w="1480" w:type="dxa"/>
            <w:vAlign w:val="bottom"/>
          </w:tcPr>
          <w:p>
            <w:pPr>
              <w:jc w:val="right"/>
              <w:spacing w:after="0"/>
              <w:rPr>
                <w:sz w:val="20"/>
                <w:szCs w:val="20"/>
                <w:color w:val="auto"/>
              </w:rPr>
            </w:pPr>
            <w:r>
              <w:rPr>
                <w:rFonts w:ascii="Arial" w:cs="Arial" w:eastAsia="Arial" w:hAnsi="Arial"/>
                <w:sz w:val="18"/>
                <w:szCs w:val="18"/>
                <w:color w:val="auto"/>
              </w:rPr>
              <w:t>2,641,639</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50 South Sixth Street</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Arial" w:cs="Arial" w:eastAsia="Arial" w:hAnsi="Arial"/>
                <w:sz w:val="18"/>
                <w:szCs w:val="18"/>
                <w:color w:val="auto"/>
              </w:rPr>
              <w:t>Suite 2350</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3"/>
          </w:tcPr>
          <w:p>
            <w:pPr>
              <w:spacing w:after="0"/>
              <w:rPr>
                <w:sz w:val="20"/>
                <w:szCs w:val="20"/>
                <w:color w:val="auto"/>
              </w:rPr>
            </w:pPr>
            <w:r>
              <w:rPr>
                <w:rFonts w:ascii="Arial" w:cs="Arial" w:eastAsia="Arial" w:hAnsi="Arial"/>
                <w:sz w:val="18"/>
                <w:szCs w:val="18"/>
                <w:color w:val="auto"/>
              </w:rPr>
              <w:t>Minneapolis, Minnesota 55402</w:t>
            </w:r>
          </w:p>
        </w:tc>
        <w:tc>
          <w:tcPr>
            <w:tcW w:w="1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60" w:right="80" w:hanging="374"/>
        <w:spacing w:after="0" w:line="285"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49,875,955 shares of our common stock outstanding as of June 17, 2019.</w:t>
      </w:r>
    </w:p>
    <w:p>
      <w:pPr>
        <w:spacing w:after="0" w:line="2" w:lineRule="exact"/>
        <w:rPr>
          <w:rFonts w:ascii="Arial" w:cs="Arial" w:eastAsia="Arial" w:hAnsi="Arial"/>
          <w:sz w:val="16"/>
          <w:szCs w:val="16"/>
          <w:color w:val="auto"/>
        </w:rPr>
      </w:pPr>
    </w:p>
    <w:p>
      <w:pPr>
        <w:ind w:left="760" w:right="20" w:hanging="374"/>
        <w:spacing w:after="0" w:line="268"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Beneficial ownership information for Red Mountain Partners, L.P. (“RMP”) and Red Mountain Capital Partners LLC (“RMCP LLC”) is based on a Form 4 dated June 21, 2018. Of the shares reflected in the table, (i), 7,522,354 shares are held directly by RMP, (ii) 537,523 shares are held directly by RMCP LLC, (iii) 15,000 shares are receivable upon exercise of options held by Mr. Mesdag and (iv) 159,703 shares are receivable upon settlement of deferred stock upon Mr. Mesdag’s separation from the Board. RMCP GP LLC (“RMCP GP”) is the general partner of RMP. RMCP LLC is the managing member of RMCP GP. Red Mountain Capital Management, Inc.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left="380" w:right="60"/>
        <w:spacing w:after="0" w:line="266" w:lineRule="auto"/>
        <w:rPr>
          <w:sz w:val="20"/>
          <w:szCs w:val="20"/>
          <w:color w:val="auto"/>
        </w:rPr>
      </w:pPr>
      <w:r>
        <w:rPr>
          <w:rFonts w:ascii="Arial" w:cs="Arial" w:eastAsia="Arial" w:hAnsi="Arial"/>
          <w:sz w:val="17"/>
          <w:szCs w:val="17"/>
          <w:color w:val="auto"/>
        </w:rPr>
        <w:t>control of RMCP LLC, may be deemed to beneficially own some or all of the securities reported as being held by RMCP LLC. Each of RMCP LLC, RMP and RMCP GP affirms membership in a group with each other but disclaims membership in a group with RMCM or Mr. Mesdag. Each of RMCM and Mr. Mesdag disclaims membership in a group with any person. The shares are held in a margin account. There are currently no margin borrowings on the account, nor have there ever been, and the shares are not otherwise pledged. Pursuant to letter agreements between RMCP LLC and the Company, RMCP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RMCP LLC and its affiliates collectively would beneficially own, for purposes of Section 13(d) of the Exchange Act, and Rule 13d-3 thereunder, after giving effect to such acquisition, in excess of 17.12% of the amount of the issued and outstanding common stock of the Company, and up to 20% but only to the extent such increase either results from compensation to Mr. Mesdag for services on the Board or a reduction in the number of shares of common stock issued and outstanding, or (ii) any assets of the Company or any subsidiary thereof or any successor to or person in control of the Company.</w:t>
      </w:r>
    </w:p>
    <w:p>
      <w:pPr>
        <w:spacing w:after="0" w:line="8" w:lineRule="exact"/>
        <w:rPr>
          <w:sz w:val="20"/>
          <w:szCs w:val="20"/>
          <w:color w:val="auto"/>
        </w:rPr>
      </w:pPr>
    </w:p>
    <w:p>
      <w:pPr>
        <w:ind w:left="380" w:right="20" w:hanging="374"/>
        <w:spacing w:after="0" w:line="250"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Amendment No. 5 to Schedule 13D, dated March 11, 2019, and a Form 4 dated June 6, 2019. J. Carlo Cannell, is the sole managing member of Cannell Capital LLC. Cannell Capital LLC is the investment adviser to and general partner of Tonga Partners, L.P. (“Tonga”) and Tristan Partners, L.P. (“Tristan”), an investment adviser to Tristan Offshore Fund Ltd. (“Tristan Offshore”), and an investment sub-advisor for Cuttyhunk Master Portfolio (“Cuttyhunk,” and collectively with Tonga, Tristan and Tristan Offshore, the “Investment Vehicles”). Mr. Cannell is the sole managing member of Cannell Capital LLC. As such, Mr. Cannell possesses the sole power to vote and to direct the disposition of the shares held by the Investment Vehicles.</w:t>
      </w:r>
    </w:p>
    <w:p>
      <w:pPr>
        <w:spacing w:after="0" w:line="2" w:lineRule="exact"/>
        <w:rPr>
          <w:rFonts w:ascii="Arial" w:cs="Arial" w:eastAsia="Arial" w:hAnsi="Arial"/>
          <w:sz w:val="18"/>
          <w:szCs w:val="18"/>
          <w:color w:val="auto"/>
        </w:rPr>
      </w:pPr>
    </w:p>
    <w:p>
      <w:pPr>
        <w:ind w:left="380" w:right="20" w:hanging="374"/>
        <w:spacing w:after="0" w:line="265"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Amendment No. 2 to Schedule 13G, dated February 11, 2019, and a Form 4, dated January 16, 2019. Prescott Group Capital Management, L.L.C., Prescott Group Aggressive Small Cap, L.P., Prescott Group Aggressive Small Cap II L.P. and Mr. Phil Frohlich were the beneficial owners of an aggregate of 4,947,881 shares of common stock. Prescott Capital, as the general partner of the Small Cap Funds, the general partners of Prescott Master Fund, may direct the Small Cap Funds to direct the vote and disposition of the shares held by Prescott Master Fund. As the principal of Prescott Capital, Mr. Phil Frohlich may direct the vote and disposition of the shares held by Prescott Master Fund. Pursuant to a letter agreement between Prescott Group Capital Management, L.L.C. and the Company, Prescott Group Capital Management, L.L.C.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2" w:lineRule="exact"/>
        <w:rPr>
          <w:rFonts w:ascii="Arial" w:cs="Arial" w:eastAsia="Arial" w:hAnsi="Arial"/>
          <w:sz w:val="17"/>
          <w:szCs w:val="17"/>
          <w:color w:val="auto"/>
        </w:rPr>
      </w:pPr>
    </w:p>
    <w:p>
      <w:pPr>
        <w:ind w:left="380" w:right="320" w:hanging="374"/>
        <w:spacing w:after="0" w:line="281"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a Form 4, dated June 17, 2019. Of these shares, 339,594 are held by Jewelcor Management, Inc. Mr. Holtzman is the chairman, chief executive officer and president and, together with his wife, indirectly, the majority shareholder of Jewelcor Management, Inc.</w:t>
      </w:r>
    </w:p>
    <w:p>
      <w:pPr>
        <w:spacing w:after="0" w:line="1" w:lineRule="exact"/>
        <w:rPr>
          <w:rFonts w:ascii="Arial" w:cs="Arial" w:eastAsia="Arial" w:hAnsi="Arial"/>
          <w:sz w:val="16"/>
          <w:szCs w:val="16"/>
          <w:color w:val="auto"/>
        </w:rPr>
      </w:pPr>
    </w:p>
    <w:p>
      <w:pPr>
        <w:ind w:left="380" w:hanging="374"/>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Amendment No. 14 to Schedule 13G, dated April 22, 2019.</w:t>
      </w:r>
    </w:p>
    <w:p>
      <w:pPr>
        <w:spacing w:after="0" w:line="9" w:lineRule="exact"/>
        <w:rPr>
          <w:rFonts w:ascii="Arial" w:cs="Arial" w:eastAsia="Arial" w:hAnsi="Arial"/>
          <w:sz w:val="18"/>
          <w:szCs w:val="18"/>
          <w:color w:val="auto"/>
        </w:rPr>
      </w:pPr>
    </w:p>
    <w:p>
      <w:pPr>
        <w:ind w:left="380" w:hanging="374"/>
        <w:spacing w:after="0" w:line="290"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Amendment No. 11 to Schedule 13G, dated January 30, 2019. RBC Global Asset Management (U.S.) Inc. possesses shared voting power with respect to 1,764,628 of these shares and shared dispositive power with respect to 2,641,639 of these shares.</w:t>
      </w:r>
    </w:p>
    <w:p>
      <w:pPr>
        <w:spacing w:after="0" w:line="37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40"/>
          </w:cols>
          <w:pgMar w:left="620" w:top="34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12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The following table sets forth certain information as of June 17, 2019, with respect to our directors, our Named Executive Officers (as defined above under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our directors and executive officers as a group. Except as indicated, each person has sole voting and investment power with respect to all shares of our common stock shown as beneficially owned by such person, subject to community property laws where applicable.</w:t>
      </w:r>
    </w:p>
    <w:tbl>
      <w:tblPr>
        <w:tblLayout w:type="fixed"/>
        <w:tblInd w:w="0" w:type="dxa"/>
        <w:tblCellMar>
          <w:top w:w="0" w:type="dxa"/>
          <w:left w:w="0" w:type="dxa"/>
          <w:bottom w:w="0" w:type="dxa"/>
          <w:right w:w="0" w:type="dxa"/>
        </w:tblCellMar>
      </w:tblPr>
      <w:tr>
        <w:trPr>
          <w:trHeight w:val="202"/>
        </w:trPr>
        <w:tc>
          <w:tcPr>
            <w:tcW w:w="7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right"/>
              <w:ind w:right="51"/>
              <w:spacing w:after="0"/>
              <w:rPr>
                <w:sz w:val="20"/>
                <w:szCs w:val="20"/>
                <w:color w:val="auto"/>
              </w:rPr>
            </w:pPr>
            <w:r>
              <w:rPr>
                <w:rFonts w:ascii="Arial" w:cs="Arial" w:eastAsia="Arial" w:hAnsi="Arial"/>
                <w:sz w:val="16"/>
                <w:szCs w:val="16"/>
                <w:b w:val="1"/>
                <w:bCs w:val="1"/>
                <w:color w:val="auto"/>
                <w:w w:val="97"/>
              </w:rPr>
              <w:t>Number of Shares</w:t>
            </w:r>
          </w:p>
        </w:tc>
        <w:tc>
          <w:tcPr>
            <w:tcW w:w="5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Percent of Class</w:t>
            </w:r>
          </w:p>
        </w:tc>
      </w:tr>
      <w:tr>
        <w:trPr>
          <w:trHeight w:val="213"/>
        </w:trPr>
        <w:tc>
          <w:tcPr>
            <w:tcW w:w="8060" w:type="dxa"/>
            <w:vAlign w:val="bottom"/>
            <w:gridSpan w:val="2"/>
          </w:tcPr>
          <w:p>
            <w:pPr>
              <w:spacing w:after="0"/>
              <w:rPr>
                <w:sz w:val="20"/>
                <w:szCs w:val="20"/>
                <w:color w:val="auto"/>
              </w:rPr>
            </w:pPr>
            <w:r>
              <w:rPr>
                <w:rFonts w:ascii="Arial" w:cs="Arial" w:eastAsia="Arial" w:hAnsi="Arial"/>
                <w:sz w:val="16"/>
                <w:szCs w:val="16"/>
                <w:b w:val="1"/>
                <w:bCs w:val="1"/>
                <w:color w:val="auto"/>
              </w:rPr>
              <w:t>Name and Title</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w w:val="95"/>
              </w:rPr>
              <w:t>Beneficially Owned</w:t>
            </w:r>
          </w:p>
        </w:tc>
        <w:tc>
          <w:tcPr>
            <w:tcW w:w="500" w:type="dxa"/>
            <w:vAlign w:val="bottom"/>
          </w:tcPr>
          <w:p>
            <w:pPr>
              <w:spacing w:after="0"/>
              <w:rPr>
                <w:sz w:val="18"/>
                <w:szCs w:val="18"/>
                <w:color w:val="auto"/>
              </w:rPr>
            </w:pPr>
          </w:p>
        </w:tc>
        <w:tc>
          <w:tcPr>
            <w:tcW w:w="1180" w:type="dxa"/>
            <w:vAlign w:val="bottom"/>
          </w:tcPr>
          <w:p>
            <w:pPr>
              <w:jc w:val="right"/>
              <w:ind w:right="411"/>
              <w:spacing w:after="0"/>
              <w:rPr>
                <w:sz w:val="20"/>
                <w:szCs w:val="20"/>
                <w:color w:val="auto"/>
              </w:rPr>
            </w:pPr>
            <w:r>
              <w:rPr>
                <w:rFonts w:ascii="Arial" w:cs="Arial" w:eastAsia="Arial" w:hAnsi="Arial"/>
                <w:sz w:val="16"/>
                <w:szCs w:val="16"/>
                <w:b w:val="1"/>
                <w:bCs w:val="1"/>
                <w:color w:val="auto"/>
              </w:rPr>
              <w:t>(1)</w:t>
            </w:r>
          </w:p>
        </w:tc>
        <w:tc>
          <w:tcPr>
            <w:tcW w:w="180" w:type="dxa"/>
            <w:vAlign w:val="bottom"/>
          </w:tcPr>
          <w:p>
            <w:pPr>
              <w:spacing w:after="0"/>
              <w:rPr>
                <w:sz w:val="18"/>
                <w:szCs w:val="18"/>
                <w:color w:val="auto"/>
              </w:rPr>
            </w:pPr>
          </w:p>
        </w:tc>
      </w:tr>
      <w:tr>
        <w:trPr>
          <w:trHeight w:val="226"/>
        </w:trPr>
        <w:tc>
          <w:tcPr>
            <w:tcW w:w="7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John E. Kyees</w:t>
            </w:r>
          </w:p>
        </w:tc>
        <w:tc>
          <w:tcPr>
            <w:tcW w:w="12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157,600</w:t>
            </w:r>
          </w:p>
        </w:tc>
        <w:tc>
          <w:tcPr>
            <w:tcW w:w="5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Chairman of the Board</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Harvey S. Kanter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A. Levin</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1,511,326</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Former President and Chief Executive Officer, former Director, former Acting CEO</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Peter H. Stratton, Jr.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155,969</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Financial Officer and Treasurer</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Brian S. Reaves</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170,985</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Chief Operating Officer</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James S. Davey</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87,092</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and Chief Marketing Officer</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Robert S. Molloy</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275,545</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ind w:left="140"/>
              <w:spacing w:after="0"/>
              <w:rPr>
                <w:sz w:val="20"/>
                <w:szCs w:val="20"/>
                <w:color w:val="auto"/>
              </w:rPr>
            </w:pPr>
            <w:r>
              <w:rPr>
                <w:rFonts w:ascii="Arial" w:cs="Arial" w:eastAsia="Arial" w:hAnsi="Arial"/>
                <w:sz w:val="18"/>
                <w:szCs w:val="18"/>
                <w:color w:val="auto"/>
              </w:rPr>
              <w:t>Senior Vice President, Chief Administrative Officer, General Counsel and Secretary</w:t>
            </w:r>
          </w:p>
        </w:tc>
        <w:tc>
          <w:tcPr>
            <w:tcW w:w="1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Jack Boyle, Director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46,776</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Lionel F. Conacher, 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55,315</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Seymour Holtzman, Director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4,633,949</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w:t>
            </w: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Willem Mesdag, 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8,234,580</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Ward K. Mooney, Director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145,799</w:t>
            </w:r>
          </w:p>
        </w:tc>
        <w:tc>
          <w:tcPr>
            <w:tcW w:w="5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Mitchell S. Presser, 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343,374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r>
      <w:tr>
        <w:trPr>
          <w:trHeight w:val="230"/>
        </w:trPr>
        <w:tc>
          <w:tcPr>
            <w:tcW w:w="8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Ivy Ross, Director</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99,646</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Directors and executive officers as a group (16 persons)</w:t>
            </w:r>
          </w:p>
        </w:tc>
        <w:tc>
          <w:tcPr>
            <w:tcW w:w="1500" w:type="dxa"/>
            <w:vAlign w:val="bottom"/>
          </w:tcPr>
          <w:p>
            <w:pPr>
              <w:jc w:val="right"/>
              <w:spacing w:after="0"/>
              <w:rPr>
                <w:sz w:val="20"/>
                <w:szCs w:val="20"/>
                <w:color w:val="auto"/>
              </w:rPr>
            </w:pPr>
            <w:r>
              <w:rPr>
                <w:rFonts w:ascii="Arial" w:cs="Arial" w:eastAsia="Arial" w:hAnsi="Arial"/>
                <w:sz w:val="18"/>
                <w:szCs w:val="18"/>
                <w:color w:val="auto"/>
              </w:rPr>
              <w:t>14,725,563</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29.1%</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9690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1" w:lineRule="exact"/>
        <w:rPr>
          <w:sz w:val="20"/>
          <w:szCs w:val="20"/>
          <w:color w:val="auto"/>
        </w:rPr>
      </w:pPr>
    </w:p>
    <w:p>
      <w:pPr>
        <w:ind w:left="380" w:right="60" w:hanging="372"/>
        <w:spacing w:after="0" w:line="265"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and shares of deferred stock are deemed outstanding. Such shares, however, are not deemed outstanding for the purpose of computing the percentage ownership of any other person. Percentage ownership is based on 49,875,955 shares of our common stock outstanding as of June 17, 2019.</w:t>
      </w: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43,648 shares subject to stock options exercisable within 60 days and 84,818 shares of deferred stock.</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195,942 shares subject to stock options exercisable within 60 days.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42,403 shares subject to stock options exercisable within 60 days.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63,679 shares subject to stock options exercisable within 60 days.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46,296 shares subject to stock options exercisable within 60 days and 20,000 shares of unvested restricted stock.</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89,512 shares subject to stock options exercisable within 60 days.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10,000 shares subject to stock options exercisable within 60 days.</w:t>
      </w:r>
    </w:p>
    <w:p>
      <w:pPr>
        <w:spacing w:after="0" w:line="18" w:lineRule="exact"/>
        <w:rPr>
          <w:rFonts w:ascii="Arial" w:cs="Arial" w:eastAsia="Arial" w:hAnsi="Arial"/>
          <w:sz w:val="16"/>
          <w:szCs w:val="16"/>
          <w:color w:val="auto"/>
        </w:rPr>
      </w:pPr>
    </w:p>
    <w:p>
      <w:pPr>
        <w:ind w:left="380" w:right="600" w:hanging="372"/>
        <w:spacing w:after="0" w:line="264"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 these shares, 339,594 are held by Jewelcor Management, Inc. Mr. Holtzman is the chairman, chief executive officer and president and, together with his wife, indirectly, the majority shareholder of Jewelcor Management, Inc.</w:t>
      </w:r>
    </w:p>
    <w:p>
      <w:pPr>
        <w:ind w:left="380" w:right="20" w:hanging="372"/>
        <w:spacing w:after="0" w:line="264" w:lineRule="auto"/>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 and 159,703 shares of deferred stock receivable upon Mr. Mesdag’s separation from the Board. Mr. Mesdag is the president, sole executive officer, sole director and sole shareholder of Red Mountain Capital Management, Inc. With the exception of the stock options and deferred stock, all shares are held by Red Mountain Partners, L.P. and Red Mountain Capital Partners, LLC as reported above in footnote (2) to the Security Ownership of Certain Beneficial Owners table. By virtue of his direct or indirect control of Red Mountain Partners, L.P. and Red Mountain Capital Partners, LLC, Mr. Mesdag is deemed to beneficially own all of the securities reported held by Red Mountain Partners, L.P. and Red Mountain Capital Partners, LLC. With the exception of the stock options and deferred stock, these shares are held in a margin account. There are currently no margin borrowings on the account, nor have there ever been, and the shares are not otherwise pledged.</w:t>
      </w:r>
    </w:p>
    <w:p>
      <w:pPr>
        <w:spacing w:after="0" w:line="1"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15,000 shares subject to stock options exercisable within 60 days.</w:t>
      </w:r>
    </w:p>
    <w:p>
      <w:pPr>
        <w:spacing w:after="0" w:line="18" w:lineRule="exact"/>
        <w:rPr>
          <w:rFonts w:ascii="Arial" w:cs="Arial" w:eastAsia="Arial" w:hAnsi="Arial"/>
          <w:sz w:val="16"/>
          <w:szCs w:val="16"/>
          <w:color w:val="auto"/>
        </w:rPr>
      </w:pPr>
    </w:p>
    <w:p>
      <w:pPr>
        <w:ind w:left="380" w:hanging="372"/>
        <w:spacing w:after="0"/>
        <w:tabs>
          <w:tab w:leader="none" w:pos="3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Includes 417,037 shares subject to stock options exercisable within 60 days, 20,000 of unvested shares of restricted stock and 244,521 shares of deferred stock.</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file annual, quarterly and special reports, proxy statements and other information with the SEC under the Exchange Act. The SEC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u w:val="single" w:color="auto"/>
          <w:color w:val="auto"/>
        </w:rPr>
        <w:t>https://investor.dxl.com</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furnish without charge to each person whose proxy is being solicited, upon request of any such person, a copy of the 2019 Annual Report as filed with the SEC, including the financial statements and schedules thereto. A request for a copy of such report should be directed to Destination XL Group, Inc., 555 Turnpike Street, Canton, MA 02021, Attention: Investor Relations</w:t>
      </w:r>
      <w:r>
        <w:rPr>
          <w:rFonts w:ascii="Arial" w:cs="Arial" w:eastAsia="Arial" w:hAnsi="Arial"/>
          <w:sz w:val="18"/>
          <w:szCs w:val="18"/>
          <w:i w:val="1"/>
          <w:iCs w:val="1"/>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$6,000 to aid in solicitation of proxies.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telephone (781)-828-9300 or via the “contact us” dropdown on the investor page of our website. We will send you a copy of the Proxy Statement promptly after we receive your request.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i w:val="1"/>
          <w:iCs w:val="1"/>
          <w:color w:val="auto"/>
        </w:rPr>
        <w:t>Stockholder proposals for inclusion in our proxy statement</w:t>
      </w:r>
      <w:r>
        <w:rPr>
          <w:rFonts w:ascii="Arial" w:cs="Arial" w:eastAsia="Arial" w:hAnsi="Arial"/>
          <w:sz w:val="16"/>
          <w:szCs w:val="16"/>
          <w:color w:val="auto"/>
        </w:rPr>
        <w:t>: Under the rules of the SEC, in order for any stockholder proposal to be included in our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and proxy card for presentation at the 2019 Annual Meeting of Stockholders, the proposal must be received by the Secretary of our Company at our principal executive offices by March 4, 2020 (120 days before the anniversary of the date this Proxy Statement is being mailed to our stockholders).</w:t>
      </w:r>
    </w:p>
    <w:p>
      <w:pPr>
        <w:spacing w:after="0" w:line="14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Other stockholder proposals</w:t>
      </w:r>
      <w:r>
        <w:rPr>
          <w:rFonts w:ascii="Arial" w:cs="Arial" w:eastAsia="Arial" w:hAnsi="Arial"/>
          <w:sz w:val="17"/>
          <w:szCs w:val="17"/>
          <w:color w:val="auto"/>
        </w:rPr>
        <w:t>: Our By-Laws provide that for business to be properly brought before an Annual Meeting of Stockholders (or any Special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in lieu of Annual Meeting of Stockholders), a stockholder must: (i) give timely written notice to the Secretary of our Company describing any proposal to be brought before such meeting; and (ii) be present at such Annual Meeting, either in person or by a representative. Such procedural requirements are fully set forth in Section 3.13 of our By-Laws. A stockholder’s notice will be timely if delivered to, or mailed to and received by, us not less than 90 days nor more than 120 days prior to the anniversary date of the immediately preceding Annual Meeting (the “Anniversary Date”). To bring an item of business before the 2020 Annual Meeting, a stockholder must deliver the requisite notice of such item to the Secretary of our Company not before April 10, 2020 or after May 10, 2020.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90th day prior to the scheduled date of such Annual Meeting or (b) the 10th day following the day on which public announcement of the date of such Annual Meeting is first made by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159"/>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Board of Directors maintains a process for stockholders to communicate with them. Stockholders wishing to communicate with our Board should direct their communications to: Secretary of the Company, Destination XL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53" w:right="379" w:bottom="1440" w:gutter="0" w:footer="0" w:header="0"/>
        </w:sectPr>
      </w:pPr>
    </w:p>
    <w:bookmarkStart w:id="58" w:name="page59"/>
    <w:bookmarkEnd w:id="58"/>
    <w:p>
      <w:pPr>
        <w:ind w:left="10500"/>
        <w:spacing w:after="0"/>
        <w:rPr>
          <w:sz w:val="20"/>
          <w:szCs w:val="20"/>
          <w:color w:val="auto"/>
        </w:rPr>
      </w:pPr>
      <w:r>
        <w:rPr>
          <w:rFonts w:ascii="Arial" w:cs="Arial" w:eastAsia="Arial" w:hAnsi="Arial"/>
          <w:sz w:val="16"/>
          <w:szCs w:val="16"/>
          <w:b w:val="1"/>
          <w:bCs w:val="1"/>
          <w:color w:val="auto"/>
        </w:rPr>
        <w:t>Appendix A</w:t>
      </w:r>
    </w:p>
    <w:p>
      <w:pPr>
        <w:spacing w:after="0" w:line="252"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u w:val="single" w:color="auto"/>
          <w:color w:val="auto"/>
        </w:rPr>
        <w:t>Explanatory Note</w:t>
      </w:r>
      <w:r>
        <w:rPr>
          <w:rFonts w:ascii="Arial" w:cs="Arial" w:eastAsia="Arial" w:hAnsi="Arial"/>
          <w:sz w:val="18"/>
          <w:szCs w:val="18"/>
          <w:color w:val="auto"/>
        </w:rPr>
        <w:t>: This Appendix A contains a copy of the Destination XL Group, Inc. 2016 Incentive Compensation Plan as proposed to be amended by Proposal 3 included in this Proxy Statement to which this Appendix A is attached (proposed additions are shown in bold and as double-underlined text and proposed deletions are shown in bold and as strike-throughs).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DESTINATION XL GROUP, INC.</w:t>
      </w:r>
    </w:p>
    <w:p>
      <w:pPr>
        <w:spacing w:after="0" w:line="38" w:lineRule="exact"/>
        <w:rPr>
          <w:sz w:val="20"/>
          <w:szCs w:val="20"/>
          <w:color w:val="auto"/>
        </w:rPr>
      </w:pPr>
    </w:p>
    <w:p>
      <w:pPr>
        <w:ind w:left="3280"/>
        <w:spacing w:after="0"/>
        <w:rPr>
          <w:sz w:val="20"/>
          <w:szCs w:val="20"/>
          <w:color w:val="auto"/>
        </w:rPr>
      </w:pPr>
      <w:r>
        <w:rPr>
          <w:rFonts w:ascii="Arial" w:cs="Arial" w:eastAsia="Arial" w:hAnsi="Arial"/>
          <w:sz w:val="25"/>
          <w:szCs w:val="25"/>
          <w:b w:val="1"/>
          <w:bCs w:val="1"/>
          <w:color w:val="auto"/>
        </w:rPr>
        <w:t>2016 INCENTIVE COMPENSATION PLAN</w:t>
      </w:r>
    </w:p>
    <w:p>
      <w:pPr>
        <w:spacing w:after="0" w:line="10" w:lineRule="exact"/>
        <w:rPr>
          <w:sz w:val="20"/>
          <w:szCs w:val="20"/>
          <w:color w:val="auto"/>
        </w:rPr>
      </w:pPr>
    </w:p>
    <w:p>
      <w:pPr>
        <w:ind w:left="232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5"/>
          <w:szCs w:val="25"/>
          <w:b w:val="1"/>
          <w:bCs w:val="1"/>
          <w:u w:val="single" w:color="auto"/>
          <w:color w:val="auto"/>
        </w:rPr>
        <w:t>AS AMENDED AND RESTATED EFFECTIVE ______, 2019</w:t>
      </w:r>
      <w:r>
        <w:rPr>
          <w:rFonts w:ascii="Arial" w:cs="Arial" w:eastAsia="Arial" w:hAnsi="Arial"/>
          <w:sz w:val="25"/>
          <w:szCs w:val="2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659130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11430</wp:posOffset>
            </wp:positionV>
            <wp:extent cx="42106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10685"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9" w:name="page60"/>
    <w:bookmarkEnd w:id="59"/>
    <w:p>
      <w:pPr>
        <w:jc w:val="center"/>
        <w:ind w:right="2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1480"/>
        <w:spacing w:after="0"/>
        <w:rPr>
          <w:sz w:val="20"/>
          <w:szCs w:val="20"/>
          <w:color w:val="auto"/>
        </w:rPr>
      </w:pPr>
      <w:r>
        <w:rPr>
          <w:rFonts w:ascii="Arial" w:cs="Arial" w:eastAsia="Arial" w:hAnsi="Arial"/>
          <w:sz w:val="22"/>
          <w:szCs w:val="22"/>
          <w:b w:val="1"/>
          <w:bCs w:val="1"/>
          <w:color w:val="auto"/>
        </w:rPr>
        <w:t xml:space="preserve">2016 INCENTIVE COMPENSATION PLAN, </w:t>
      </w:r>
      <w:r>
        <w:rPr>
          <w:rFonts w:ascii="Arial" w:cs="Arial" w:eastAsia="Arial" w:hAnsi="Arial"/>
          <w:sz w:val="22"/>
          <w:szCs w:val="22"/>
          <w:b w:val="1"/>
          <w:bCs w:val="1"/>
          <w:u w:val="single" w:color="auto"/>
          <w:color w:val="auto"/>
        </w:rPr>
        <w:t>AS AMENDED AND RESTATED ____,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20"/>
                <w:szCs w:val="20"/>
                <w:color w:val="auto"/>
              </w:rPr>
            </w:pPr>
            <w:r>
              <w:rPr>
                <w:rFonts w:ascii="Arial" w:cs="Arial" w:eastAsia="Arial" w:hAnsi="Arial"/>
                <w:sz w:val="18"/>
                <w:szCs w:val="18"/>
                <w:color w:val="auto"/>
              </w:rPr>
              <w:t>1.</w:t>
            </w:r>
          </w:p>
        </w:tc>
        <w:tc>
          <w:tcPr>
            <w:tcW w:w="580" w:type="dxa"/>
            <w:vAlign w:val="bottom"/>
            <w:tcBorders>
              <w:bottom w:val="single" w:sz="8" w:color="0000EE"/>
            </w:tcBorders>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Purpose</w:t>
              </w:r>
            </w:hyperlink>
          </w:p>
        </w:tc>
        <w:tc>
          <w:tcPr>
            <w:tcW w:w="6240" w:type="dxa"/>
            <w:vAlign w:val="bottom"/>
            <w:gridSpan w:val="11"/>
          </w:tcPr>
          <w:p>
            <w:pPr>
              <w:spacing w:after="0"/>
              <w:rPr>
                <w:sz w:val="17"/>
                <w:szCs w:val="17"/>
                <w:color w:val="auto"/>
              </w:rPr>
            </w:pPr>
          </w:p>
        </w:tc>
        <w:tc>
          <w:tcPr>
            <w:tcW w:w="42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2.</w:t>
            </w:r>
          </w:p>
        </w:tc>
        <w:tc>
          <w:tcPr>
            <w:tcW w:w="6820" w:type="dxa"/>
            <w:vAlign w:val="bottom"/>
            <w:gridSpan w:val="12"/>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Definitions</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3.</w:t>
            </w:r>
          </w:p>
        </w:tc>
        <w:tc>
          <w:tcPr>
            <w:tcW w:w="6820" w:type="dxa"/>
            <w:vAlign w:val="bottom"/>
            <w:gridSpan w:val="1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Administration</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r>
      <w:tr>
        <w:trPr>
          <w:trHeight w:val="20"/>
        </w:trPr>
        <w:tc>
          <w:tcPr>
            <w:tcW w:w="3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4.</w:t>
            </w:r>
          </w:p>
        </w:tc>
        <w:tc>
          <w:tcPr>
            <w:tcW w:w="6820" w:type="dxa"/>
            <w:vAlign w:val="bottom"/>
            <w:gridSpan w:val="12"/>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Shares Subject to Plan</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5.</w:t>
            </w:r>
          </w:p>
        </w:tc>
        <w:tc>
          <w:tcPr>
            <w:tcW w:w="6820" w:type="dxa"/>
            <w:vAlign w:val="bottom"/>
            <w:gridSpan w:val="12"/>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Eligibility; Per-Participation Limitations</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6.</w:t>
            </w:r>
          </w:p>
        </w:tc>
        <w:tc>
          <w:tcPr>
            <w:tcW w:w="2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Award Vesting Limitations</w:t>
              </w:r>
            </w:hyperlink>
          </w:p>
        </w:tc>
        <w:tc>
          <w:tcPr>
            <w:tcW w:w="3920" w:type="dxa"/>
            <w:vAlign w:val="bottom"/>
            <w:gridSpan w:val="2"/>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7.</w:t>
            </w:r>
          </w:p>
        </w:tc>
        <w:tc>
          <w:tcPr>
            <w:tcW w:w="18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Specific Terms of Awards</w:t>
              </w:r>
            </w:hyperlink>
          </w:p>
        </w:tc>
        <w:tc>
          <w:tcPr>
            <w:tcW w:w="60" w:type="dxa"/>
            <w:vAlign w:val="bottom"/>
            <w:tcBorders>
              <w:top w:val="single" w:sz="8" w:color="0000EE"/>
            </w:tcBorders>
          </w:tcPr>
          <w:p>
            <w:pPr>
              <w:spacing w:after="0"/>
              <w:rPr>
                <w:sz w:val="17"/>
                <w:szCs w:val="17"/>
                <w:color w:val="auto"/>
              </w:rPr>
            </w:pPr>
          </w:p>
        </w:tc>
        <w:tc>
          <w:tcPr>
            <w:tcW w:w="4900" w:type="dxa"/>
            <w:vAlign w:val="bottom"/>
            <w:gridSpan w:val="4"/>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8.</w:t>
            </w:r>
          </w:p>
        </w:tc>
        <w:tc>
          <w:tcPr>
            <w:tcW w:w="294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Certain Provisions Applicable to Awards</w:t>
              </w:r>
            </w:hyperlink>
          </w:p>
        </w:tc>
        <w:tc>
          <w:tcPr>
            <w:tcW w:w="3880" w:type="dxa"/>
            <w:vAlign w:val="bottom"/>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9.</w:t>
            </w:r>
          </w:p>
        </w:tc>
        <w:tc>
          <w:tcPr>
            <w:tcW w:w="2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Code Section 162(m) Provisions</w:t>
              </w:r>
            </w:hyperlink>
          </w:p>
        </w:tc>
        <w:tc>
          <w:tcPr>
            <w:tcW w:w="4480" w:type="dxa"/>
            <w:vAlign w:val="bottom"/>
            <w:gridSpan w:val="3"/>
          </w:tcPr>
          <w:p>
            <w:pPr>
              <w:spacing w:after="0"/>
              <w:rPr>
                <w:sz w:val="17"/>
                <w:szCs w:val="17"/>
                <w:color w:val="auto"/>
              </w:rPr>
            </w:pPr>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10.</w:t>
            </w:r>
          </w:p>
        </w:tc>
        <w:tc>
          <w:tcPr>
            <w:tcW w:w="6820" w:type="dxa"/>
            <w:vAlign w:val="bottom"/>
            <w:gridSpan w:val="1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Change in Control</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r>
      <w:tr>
        <w:trPr>
          <w:trHeight w:val="20"/>
        </w:trPr>
        <w:tc>
          <w:tcPr>
            <w:tcW w:w="34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196"/>
        </w:trPr>
        <w:tc>
          <w:tcPr>
            <w:tcW w:w="340" w:type="dxa"/>
            <w:vAlign w:val="bottom"/>
          </w:tcPr>
          <w:p>
            <w:pPr>
              <w:spacing w:after="0" w:line="196" w:lineRule="exact"/>
              <w:rPr>
                <w:sz w:val="20"/>
                <w:szCs w:val="20"/>
                <w:color w:val="auto"/>
              </w:rPr>
            </w:pPr>
            <w:r>
              <w:rPr>
                <w:rFonts w:ascii="Arial" w:cs="Arial" w:eastAsia="Arial" w:hAnsi="Arial"/>
                <w:sz w:val="18"/>
                <w:szCs w:val="18"/>
                <w:color w:val="auto"/>
              </w:rPr>
              <w:t>11.</w:t>
            </w:r>
          </w:p>
        </w:tc>
        <w:tc>
          <w:tcPr>
            <w:tcW w:w="6820" w:type="dxa"/>
            <w:vAlign w:val="bottom"/>
            <w:gridSpan w:val="1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General Provisions</w:t>
              </w:r>
            </w:hyperlink>
          </w:p>
        </w:tc>
        <w:tc>
          <w:tcPr>
            <w:tcW w:w="428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743"/>
        </w:trPr>
        <w:tc>
          <w:tcPr>
            <w:tcW w:w="340" w:type="dxa"/>
            <w:vAlign w:val="bottom"/>
            <w:tcBorders>
              <w:bottom w:val="single" w:sz="8" w:color="9A9A9A"/>
            </w:tcBorders>
          </w:tcPr>
          <w:p>
            <w:pPr>
              <w:spacing w:after="0"/>
              <w:rPr>
                <w:sz w:val="24"/>
                <w:szCs w:val="24"/>
                <w:color w:val="auto"/>
              </w:rPr>
            </w:pPr>
          </w:p>
        </w:tc>
        <w:tc>
          <w:tcPr>
            <w:tcW w:w="58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922" w:right="219" w:bottom="1440" w:gutter="0" w:footer="0" w:header="0"/>
        </w:sectPr>
      </w:pPr>
    </w:p>
    <w:bookmarkStart w:id="60" w:name="page61"/>
    <w:bookmarkEnd w:id="60"/>
    <w:p>
      <w:pPr>
        <w:ind w:left="4100"/>
        <w:spacing w:after="0"/>
        <w:rPr>
          <w:sz w:val="20"/>
          <w:szCs w:val="20"/>
          <w:color w:val="auto"/>
        </w:rPr>
      </w:pPr>
      <w:r>
        <w:rPr>
          <w:rFonts w:ascii="Arial" w:cs="Arial" w:eastAsia="Arial" w:hAnsi="Arial"/>
          <w:sz w:val="22"/>
          <w:szCs w:val="22"/>
          <w:b w:val="1"/>
          <w:bCs w:val="1"/>
          <w:color w:val="auto"/>
        </w:rPr>
        <w:t>DESTINATION XL GROUP, INC.</w:t>
      </w:r>
    </w:p>
    <w:p>
      <w:pPr>
        <w:spacing w:after="0" w:line="14"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2016 INCENTIVE COMPENSATION PLAN</w:t>
      </w:r>
    </w:p>
    <w:p>
      <w:pPr>
        <w:spacing w:after="0" w:line="195" w:lineRule="exact"/>
        <w:rPr>
          <w:sz w:val="20"/>
          <w:szCs w:val="20"/>
          <w:color w:val="auto"/>
        </w:rPr>
      </w:pPr>
    </w:p>
    <w:p>
      <w:pPr>
        <w:jc w:val="both"/>
        <w:ind w:firstLine="785"/>
        <w:spacing w:after="0" w:line="272" w:lineRule="auto"/>
        <w:tabs>
          <w:tab w:leader="none" w:pos="156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Purpose</w:t>
      </w:r>
      <w:r>
        <w:rPr>
          <w:rFonts w:ascii="Arial" w:cs="Arial" w:eastAsia="Arial" w:hAnsi="Arial"/>
          <w:sz w:val="17"/>
          <w:szCs w:val="17"/>
          <w:color w:val="auto"/>
        </w:rPr>
        <w:t>. The purpose of this DESTINATION XL GROUP, INC. 2016 INCENTIVE COMPENSATION PLAN (the “Plan”) is to assist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replaces the 2006 Incentive Compensation Plan which was last amended effective as of August 1, 2013. The Plan was originally adopted effective as of August 4, 2016 </w:t>
      </w:r>
      <w:r>
        <w:rPr>
          <w:rFonts w:ascii="Arial" w:cs="Arial" w:eastAsia="Arial" w:hAnsi="Arial"/>
          <w:sz w:val="17"/>
          <w:szCs w:val="17"/>
          <w:u w:val="single" w:color="auto"/>
          <w:color w:val="auto"/>
        </w:rPr>
        <w:t>and was amended effective as of ______, 2019</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785"/>
        <w:spacing w:after="0" w:line="277" w:lineRule="auto"/>
        <w:tabs>
          <w:tab w:leader="none" w:pos="15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Definitions</w:t>
      </w:r>
      <w:r>
        <w:rPr>
          <w:rFonts w:ascii="Arial" w:cs="Arial" w:eastAsia="Arial" w:hAnsi="Arial"/>
          <w:sz w:val="18"/>
          <w:szCs w:val="18"/>
          <w:color w:val="auto"/>
        </w:rPr>
        <w:t>. For purposes of the Plan, the following terms shall be defined as set forth below, in addition to such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1 hereof and elsewhere herein.</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spacing w:after="0" w:line="181" w:lineRule="exact"/>
        <w:rPr>
          <w:rFonts w:ascii="Arial" w:cs="Arial" w:eastAsia="Arial" w:hAnsi="Arial"/>
          <w:sz w:val="18"/>
          <w:szCs w:val="18"/>
          <w:color w:val="auto"/>
        </w:rPr>
      </w:pPr>
    </w:p>
    <w:p>
      <w:pPr>
        <w:ind w:left="2420" w:hanging="859"/>
        <w:spacing w:after="0"/>
        <w:tabs>
          <w:tab w:leader="none" w:pos="24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any written agreement, contract or other instrument or document evidencing any Award granted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Committee hereunder.</w:t>
      </w:r>
    </w:p>
    <w:p>
      <w:pPr>
        <w:spacing w:after="0" w:line="210" w:lineRule="exact"/>
        <w:rPr>
          <w:rFonts w:ascii="Arial" w:cs="Arial" w:eastAsia="Arial" w:hAnsi="Arial"/>
          <w:sz w:val="16"/>
          <w:szCs w:val="16"/>
          <w:color w:val="auto"/>
        </w:rPr>
      </w:pPr>
    </w:p>
    <w:p>
      <w:pPr>
        <w:jc w:val="both"/>
        <w:ind w:firstLine="1561"/>
        <w:spacing w:after="0" w:line="259" w:lineRule="auto"/>
        <w:tabs>
          <w:tab w:leader="none" w:pos="240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11(b) hereof. If, upon a Participant’s death, there is no designated Beneficiary or surviving designated Beneficiary, then the term Beneficiary means the Participant’s estate.</w:t>
      </w:r>
    </w:p>
    <w:p>
      <w:pPr>
        <w:spacing w:after="0" w:line="186" w:lineRule="exact"/>
        <w:rPr>
          <w:rFonts w:ascii="Arial" w:cs="Arial" w:eastAsia="Arial" w:hAnsi="Arial"/>
          <w:sz w:val="18"/>
          <w:szCs w:val="18"/>
          <w:color w:val="auto"/>
        </w:rPr>
      </w:pPr>
    </w:p>
    <w:p>
      <w:pPr>
        <w:ind w:left="2420" w:hanging="859"/>
        <w:spacing w:after="0" w:line="184" w:lineRule="exact"/>
        <w:tabs>
          <w:tab w:leader="none" w:pos="24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w:t>
      </w:r>
      <w:r>
        <w:rPr>
          <w:rFonts w:ascii="MS PGothic" w:cs="MS PGothic" w:eastAsia="MS PGothic" w:hAnsi="MS PGothic"/>
          <w:sz w:val="16"/>
          <w:szCs w:val="16"/>
          <w:color w:val="auto"/>
        </w:rPr>
        <w:t>‑</w:t>
      </w:r>
      <w:r>
        <w:rPr>
          <w:rFonts w:ascii="Arial" w:cs="Arial" w:eastAsia="Arial" w:hAnsi="Arial"/>
          <w:sz w:val="16"/>
          <w:szCs w:val="16"/>
          <w:color w:val="auto"/>
        </w:rPr>
        <w:t>3 under the Exchange Act and any successor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Rule.</w:t>
      </w:r>
    </w:p>
    <w:p>
      <w:pPr>
        <w:spacing w:after="0" w:line="210" w:lineRule="exact"/>
        <w:rPr>
          <w:rFonts w:ascii="Arial" w:cs="Arial" w:eastAsia="Arial" w:hAnsi="Arial"/>
          <w:sz w:val="16"/>
          <w:szCs w:val="16"/>
          <w:color w:val="auto"/>
        </w:rPr>
      </w:pPr>
    </w:p>
    <w:p>
      <w:pPr>
        <w:ind w:left="2400" w:hanging="839"/>
        <w:spacing w:after="0"/>
        <w:tabs>
          <w:tab w:leader="none" w:pos="2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225" w:lineRule="exact"/>
        <w:rPr>
          <w:rFonts w:ascii="Arial" w:cs="Arial" w:eastAsia="Arial" w:hAnsi="Arial"/>
          <w:sz w:val="18"/>
          <w:szCs w:val="18"/>
          <w:color w:val="auto"/>
        </w:rPr>
      </w:pPr>
    </w:p>
    <w:p>
      <w:pPr>
        <w:ind w:left="2380" w:hanging="819"/>
        <w:spacing w:after="0"/>
        <w:tabs>
          <w:tab w:leader="none" w:pos="23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10(b) of the Plan.</w:t>
      </w:r>
    </w:p>
    <w:p>
      <w:pPr>
        <w:spacing w:after="0" w:line="225" w:lineRule="exact"/>
        <w:rPr>
          <w:rFonts w:ascii="Arial" w:cs="Arial" w:eastAsia="Arial" w:hAnsi="Arial"/>
          <w:sz w:val="18"/>
          <w:szCs w:val="18"/>
          <w:color w:val="auto"/>
        </w:rPr>
      </w:pPr>
    </w:p>
    <w:p>
      <w:pPr>
        <w:ind w:firstLine="1561"/>
        <w:spacing w:after="0" w:line="277" w:lineRule="auto"/>
        <w:tabs>
          <w:tab w:leader="none" w:pos="24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70" w:lineRule="exact"/>
        <w:rPr>
          <w:rFonts w:ascii="Arial" w:cs="Arial" w:eastAsia="Arial" w:hAnsi="Arial"/>
          <w:sz w:val="18"/>
          <w:szCs w:val="18"/>
          <w:color w:val="auto"/>
        </w:rPr>
      </w:pPr>
    </w:p>
    <w:p>
      <w:pPr>
        <w:jc w:val="both"/>
        <w:ind w:firstLine="1561"/>
        <w:spacing w:after="0" w:line="255" w:lineRule="auto"/>
        <w:tabs>
          <w:tab w:leader="none" w:pos="241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 (iii) “Independent”; provided, however, the failure of the Committee to be so comprised shall not invalidate any Award that otherwise satisfies the terms of the Plan.</w:t>
      </w:r>
    </w:p>
    <w:p>
      <w:pPr>
        <w:spacing w:after="0" w:line="189" w:lineRule="exact"/>
        <w:rPr>
          <w:rFonts w:ascii="Arial" w:cs="Arial" w:eastAsia="Arial" w:hAnsi="Arial"/>
          <w:sz w:val="18"/>
          <w:szCs w:val="18"/>
          <w:color w:val="auto"/>
        </w:rPr>
      </w:pPr>
    </w:p>
    <w:p>
      <w:pPr>
        <w:jc w:val="both"/>
        <w:ind w:firstLine="1561"/>
        <w:spacing w:after="0" w:line="264" w:lineRule="auto"/>
        <w:tabs>
          <w:tab w:leader="none" w:pos="23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181" w:lineRule="exact"/>
        <w:rPr>
          <w:rFonts w:ascii="Arial" w:cs="Arial" w:eastAsia="Arial" w:hAnsi="Arial"/>
          <w:sz w:val="18"/>
          <w:szCs w:val="18"/>
          <w:color w:val="auto"/>
        </w:rPr>
      </w:pPr>
    </w:p>
    <w:p>
      <w:pPr>
        <w:jc w:val="both"/>
        <w:ind w:firstLine="1561"/>
        <w:spacing w:after="0" w:line="255" w:lineRule="auto"/>
        <w:tabs>
          <w:tab w:leader="none" w:pos="2371" w:val="left"/>
        </w:tabs>
        <w:numPr>
          <w:ilvl w:val="1"/>
          <w:numId w:val="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Continuous Service</w:t>
      </w:r>
      <w:r>
        <w:rPr>
          <w:rFonts w:ascii="Arial" w:cs="Arial" w:eastAsia="Arial" w:hAnsi="Arial"/>
          <w:sz w:val="18"/>
          <w:szCs w:val="18"/>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-6033770</wp:posOffset>
            </wp:positionV>
            <wp:extent cx="21437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61" w:name="page62"/>
    <w:bookmarkEnd w:id="61"/>
    <w:p>
      <w:pPr>
        <w:ind w:right="20" w:firstLine="1561"/>
        <w:spacing w:after="0" w:line="277" w:lineRule="auto"/>
        <w:tabs>
          <w:tab w:leader="none" w:pos="24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w:t>
      </w:r>
      <w:r>
        <w:rPr>
          <w:rFonts w:ascii="Arial" w:cs="Arial" w:eastAsia="Arial" w:hAnsi="Arial"/>
          <w:sz w:val="18"/>
          <w:szCs w:val="18"/>
          <w:color w:val="auto"/>
        </w:rPr>
        <w:t>ck”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spacing w:after="0" w:line="181" w:lineRule="exact"/>
        <w:rPr>
          <w:rFonts w:ascii="Arial" w:cs="Arial" w:eastAsia="Arial" w:hAnsi="Arial"/>
          <w:sz w:val="18"/>
          <w:szCs w:val="18"/>
          <w:color w:val="auto"/>
        </w:rPr>
      </w:pPr>
    </w:p>
    <w:p>
      <w:pPr>
        <w:ind w:left="2460" w:hanging="899"/>
        <w:spacing w:after="0"/>
        <w:tabs>
          <w:tab w:leader="none" w:pos="2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Deferred Award</w:t>
      </w:r>
      <w:r>
        <w:rPr>
          <w:rFonts w:ascii="Arial" w:cs="Arial" w:eastAsia="Arial" w:hAnsi="Arial"/>
          <w:sz w:val="16"/>
          <w:szCs w:val="16"/>
          <w:color w:val="auto"/>
        </w:rPr>
        <w:t>” means an Award of Deferred Stock or Restricted Stock Units granted to a Participant under Section 7(e)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210" w:lineRule="exact"/>
        <w:rPr>
          <w:rFonts w:ascii="Arial" w:cs="Arial" w:eastAsia="Arial" w:hAnsi="Arial"/>
          <w:sz w:val="16"/>
          <w:szCs w:val="16"/>
          <w:color w:val="auto"/>
        </w:rPr>
      </w:pPr>
    </w:p>
    <w:p>
      <w:pPr>
        <w:ind w:left="2420" w:hanging="859"/>
        <w:spacing w:after="0"/>
        <w:tabs>
          <w:tab w:leader="none" w:pos="2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225" w:lineRule="exact"/>
        <w:rPr>
          <w:rFonts w:ascii="Arial" w:cs="Arial" w:eastAsia="Arial" w:hAnsi="Arial"/>
          <w:sz w:val="18"/>
          <w:szCs w:val="18"/>
          <w:color w:val="auto"/>
        </w:rPr>
      </w:pPr>
    </w:p>
    <w:p>
      <w:pPr>
        <w:ind w:firstLine="1561"/>
        <w:spacing w:after="0" w:line="277" w:lineRule="auto"/>
        <w:tabs>
          <w:tab w:leader="none" w:pos="24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70" w:lineRule="exact"/>
        <w:rPr>
          <w:rFonts w:ascii="Arial" w:cs="Arial" w:eastAsia="Arial" w:hAnsi="Arial"/>
          <w:sz w:val="18"/>
          <w:szCs w:val="18"/>
          <w:color w:val="auto"/>
        </w:rPr>
      </w:pPr>
    </w:p>
    <w:p>
      <w:pPr>
        <w:ind w:right="20" w:firstLine="1561"/>
        <w:spacing w:after="0" w:line="308" w:lineRule="auto"/>
        <w:tabs>
          <w:tab w:leader="none" w:pos="2411"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Dividend Equivalent</w:t>
      </w:r>
      <w:r>
        <w:rPr>
          <w:rFonts w:ascii="Arial" w:cs="Arial" w:eastAsia="Arial" w:hAnsi="Arial"/>
          <w:sz w:val="17"/>
          <w:szCs w:val="17"/>
          <w:color w:val="auto"/>
        </w:rPr>
        <w:t>” means a right, granted to a Participant under Section 7(g) hereof, to receive cash, Shares, other Awards or other property equal in value to dividends paid with respect to a specified number of Shares, or other periodic payments.</w:t>
      </w:r>
    </w:p>
    <w:p>
      <w:pPr>
        <w:spacing w:after="0" w:line="146" w:lineRule="exact"/>
        <w:rPr>
          <w:rFonts w:ascii="Arial" w:cs="Arial" w:eastAsia="Arial" w:hAnsi="Arial"/>
          <w:sz w:val="17"/>
          <w:szCs w:val="17"/>
          <w:color w:val="auto"/>
        </w:rPr>
      </w:pPr>
    </w:p>
    <w:p>
      <w:pPr>
        <w:ind w:left="2420" w:hanging="859"/>
        <w:spacing w:after="0"/>
        <w:tabs>
          <w:tab w:leader="none" w:pos="2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38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spacing w:after="0" w:line="189" w:lineRule="exact"/>
        <w:rPr>
          <w:rFonts w:ascii="Arial" w:cs="Arial" w:eastAsia="Arial" w:hAnsi="Arial"/>
          <w:sz w:val="18"/>
          <w:szCs w:val="18"/>
          <w:color w:val="auto"/>
        </w:rPr>
      </w:pPr>
    </w:p>
    <w:p>
      <w:pPr>
        <w:jc w:val="both"/>
        <w:ind w:firstLine="1561"/>
        <w:spacing w:after="0" w:line="259" w:lineRule="auto"/>
        <w:tabs>
          <w:tab w:leader="none" w:pos="23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spacing w:after="0" w:line="186" w:lineRule="exact"/>
        <w:rPr>
          <w:rFonts w:ascii="Arial" w:cs="Arial" w:eastAsia="Arial" w:hAnsi="Arial"/>
          <w:sz w:val="18"/>
          <w:szCs w:val="18"/>
          <w:color w:val="auto"/>
        </w:rPr>
      </w:pPr>
    </w:p>
    <w:p>
      <w:pPr>
        <w:ind w:firstLine="1561"/>
        <w:spacing w:after="0" w:line="277" w:lineRule="auto"/>
        <w:tabs>
          <w:tab w:leader="none" w:pos="237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70" w:lineRule="exact"/>
        <w:rPr>
          <w:rFonts w:ascii="Arial" w:cs="Arial" w:eastAsia="Arial" w:hAnsi="Arial"/>
          <w:sz w:val="18"/>
          <w:szCs w:val="18"/>
          <w:color w:val="auto"/>
        </w:rPr>
      </w:pPr>
    </w:p>
    <w:p>
      <w:pPr>
        <w:jc w:val="both"/>
        <w:ind w:firstLine="1561"/>
        <w:spacing w:after="0" w:line="257" w:lineRule="auto"/>
        <w:tabs>
          <w:tab w:leader="none" w:pos="2411"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88" w:lineRule="exact"/>
        <w:rPr>
          <w:rFonts w:ascii="Arial" w:cs="Arial" w:eastAsia="Arial" w:hAnsi="Arial"/>
          <w:sz w:val="18"/>
          <w:szCs w:val="18"/>
          <w:color w:val="auto"/>
        </w:rPr>
      </w:pPr>
    </w:p>
    <w:p>
      <w:pPr>
        <w:ind w:left="2420" w:hanging="859"/>
        <w:spacing w:after="0"/>
        <w:tabs>
          <w:tab w:leader="none" w:pos="24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Full Value Award</w:t>
      </w:r>
      <w:r>
        <w:rPr>
          <w:rFonts w:ascii="Arial" w:cs="Arial" w:eastAsia="Arial" w:hAnsi="Arial"/>
          <w:sz w:val="17"/>
          <w:szCs w:val="17"/>
          <w:color w:val="auto"/>
        </w:rPr>
        <w:t>” means any Award other than an option or a Stock Appreciation Right and that is settled in Shares.</w:t>
      </w:r>
    </w:p>
    <w:p>
      <w:pPr>
        <w:spacing w:after="0" w:line="236" w:lineRule="exact"/>
        <w:rPr>
          <w:rFonts w:ascii="Arial" w:cs="Arial" w:eastAsia="Arial" w:hAnsi="Arial"/>
          <w:sz w:val="17"/>
          <w:szCs w:val="17"/>
          <w:color w:val="auto"/>
        </w:rPr>
      </w:pPr>
    </w:p>
    <w:p>
      <w:pPr>
        <w:jc w:val="both"/>
        <w:ind w:firstLine="1561"/>
        <w:spacing w:after="0" w:line="287" w:lineRule="auto"/>
        <w:tabs>
          <w:tab w:leader="none" w:pos="2451" w:val="left"/>
        </w:tabs>
        <w:numPr>
          <w:ilvl w:val="0"/>
          <w:numId w:val="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Good Reason</w:t>
      </w:r>
      <w:r>
        <w:rPr>
          <w:rFonts w:ascii="Arial" w:cs="Arial" w:eastAsia="Arial" w:hAnsi="Arial"/>
          <w:sz w:val="16"/>
          <w:szCs w:val="16"/>
          <w:color w:val="auto"/>
        </w:rPr>
        <w:t>”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case such material diminution in the Participant’s base salary shall not constitute Good Reason; (ii) a material change in the geographic location at which the Participant must perform his or her job functions to which the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spacing w:after="0" w:line="188" w:lineRule="exact"/>
        <w:rPr>
          <w:sz w:val="20"/>
          <w:szCs w:val="20"/>
          <w:color w:val="auto"/>
        </w:rPr>
      </w:pPr>
    </w:p>
    <w:p>
      <w:pPr>
        <w:ind w:firstLine="1561"/>
        <w:spacing w:after="0" w:line="277" w:lineRule="auto"/>
        <w:tabs>
          <w:tab w:leader="none" w:pos="24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81" w:lineRule="exact"/>
        <w:rPr>
          <w:rFonts w:ascii="Arial" w:cs="Arial" w:eastAsia="Arial" w:hAnsi="Arial"/>
          <w:sz w:val="18"/>
          <w:szCs w:val="18"/>
          <w:color w:val="auto"/>
        </w:rPr>
      </w:pPr>
    </w:p>
    <w:p>
      <w:pPr>
        <w:ind w:left="2400" w:hanging="839"/>
        <w:spacing w:after="0"/>
        <w:tabs>
          <w:tab w:leader="none" w:pos="2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10(b)(ii) of the Plan.</w:t>
      </w:r>
    </w:p>
    <w:p>
      <w:pPr>
        <w:spacing w:after="0" w:line="225" w:lineRule="exact"/>
        <w:rPr>
          <w:sz w:val="20"/>
          <w:szCs w:val="20"/>
          <w:color w:val="auto"/>
        </w:rPr>
      </w:pPr>
    </w:p>
    <w:p>
      <w:pPr>
        <w:jc w:val="both"/>
        <w:ind w:firstLine="1561"/>
        <w:spacing w:after="0" w:line="288" w:lineRule="auto"/>
        <w:tabs>
          <w:tab w:leader="none" w:pos="248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Justifiable Cause</w:t>
      </w:r>
      <w:r>
        <w:rPr>
          <w:rFonts w:ascii="Arial" w:cs="Arial" w:eastAsia="Arial" w:hAnsi="Arial"/>
          <w:sz w:val="16"/>
          <w:szCs w:val="16"/>
          <w:color w:val="auto"/>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please of guilty to, or please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spacing w:after="0" w:line="169" w:lineRule="exact"/>
        <w:rPr>
          <w:rFonts w:ascii="Arial" w:cs="Arial" w:eastAsia="Arial" w:hAnsi="Arial"/>
          <w:sz w:val="16"/>
          <w:szCs w:val="16"/>
          <w:color w:val="auto"/>
        </w:rPr>
      </w:pPr>
    </w:p>
    <w:p>
      <w:pPr>
        <w:ind w:right="20" w:firstLine="1561"/>
        <w:spacing w:after="0" w:line="342" w:lineRule="auto"/>
        <w:tabs>
          <w:tab w:leader="none" w:pos="2501"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Listing Market</w:t>
      </w:r>
      <w:r>
        <w:rPr>
          <w:rFonts w:ascii="Arial" w:cs="Arial" w:eastAsia="Arial" w:hAnsi="Arial"/>
          <w:sz w:val="16"/>
          <w:szCs w:val="16"/>
          <w:color w:val="auto"/>
        </w:rPr>
        <w:t>” means the Nasdaq Stock Market or any national securities exchange on which the Company’s securities are listed for trading and, if not listed for trading on the Nasdaq Stock Market or a national securities exchange, then the Nasdaq Stock Market.</w:t>
      </w:r>
    </w:p>
    <w:p>
      <w:pPr>
        <w:spacing w:after="0" w:line="123" w:lineRule="exact"/>
        <w:rPr>
          <w:rFonts w:ascii="Arial" w:cs="Arial" w:eastAsia="Arial" w:hAnsi="Arial"/>
          <w:sz w:val="16"/>
          <w:szCs w:val="16"/>
          <w:color w:val="auto"/>
        </w:rPr>
      </w:pPr>
    </w:p>
    <w:p>
      <w:pPr>
        <w:ind w:firstLine="1561"/>
        <w:spacing w:after="0" w:line="277" w:lineRule="auto"/>
        <w:tabs>
          <w:tab w:leader="none" w:pos="24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to a Participant under Section 7(b) hereof, to purchase Shares or other Awards at a specified price during specified time periods.</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under this Plan.</w:t>
      </w:r>
    </w:p>
    <w:p>
      <w:pPr>
        <w:spacing w:after="0" w:line="210" w:lineRule="exact"/>
        <w:rPr>
          <w:rFonts w:ascii="Arial" w:cs="Arial" w:eastAsia="Arial" w:hAnsi="Arial"/>
          <w:sz w:val="16"/>
          <w:szCs w:val="16"/>
          <w:color w:val="auto"/>
        </w:rPr>
      </w:pPr>
    </w:p>
    <w:p>
      <w:pPr>
        <w:ind w:left="2480" w:hanging="919"/>
        <w:spacing w:after="0"/>
        <w:tabs>
          <w:tab w:leader="none" w:pos="2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7(i) hereof.</w:t>
      </w:r>
    </w:p>
    <w:p>
      <w:pPr>
        <w:spacing w:after="0" w:line="225" w:lineRule="exact"/>
        <w:rPr>
          <w:rFonts w:ascii="Arial" w:cs="Arial" w:eastAsia="Arial" w:hAnsi="Arial"/>
          <w:sz w:val="18"/>
          <w:szCs w:val="18"/>
          <w:color w:val="auto"/>
        </w:rPr>
      </w:pPr>
    </w:p>
    <w:p>
      <w:pPr>
        <w:ind w:firstLine="1561"/>
        <w:spacing w:after="0" w:line="277" w:lineRule="auto"/>
        <w:tabs>
          <w:tab w:leader="none" w:pos="2438"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any Award of Performance Shares or Performance Units granted pursuant to Section 7(h).</w:t>
      </w:r>
    </w:p>
    <w:p>
      <w:pPr>
        <w:spacing w:after="0" w:line="248" w:lineRule="exact"/>
        <w:rPr>
          <w:rFonts w:ascii="Arial" w:cs="Arial" w:eastAsia="Arial" w:hAnsi="Arial"/>
          <w:sz w:val="16"/>
          <w:szCs w:val="16"/>
          <w:color w:val="auto"/>
        </w:rPr>
      </w:pPr>
    </w:p>
    <w:p>
      <w:pPr>
        <w:ind w:firstLine="1561"/>
        <w:spacing w:after="0" w:line="308" w:lineRule="auto"/>
        <w:tabs>
          <w:tab w:leader="none" w:pos="2501"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Period</w:t>
      </w:r>
      <w:r>
        <w:rPr>
          <w:rFonts w:ascii="Arial" w:cs="Arial" w:eastAsia="Arial" w:hAnsi="Arial"/>
          <w:sz w:val="17"/>
          <w:szCs w:val="17"/>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46" w:lineRule="exact"/>
        <w:rPr>
          <w:rFonts w:ascii="Arial" w:cs="Arial" w:eastAsia="Arial" w:hAnsi="Arial"/>
          <w:sz w:val="17"/>
          <w:szCs w:val="17"/>
          <w:color w:val="auto"/>
        </w:rPr>
      </w:pPr>
    </w:p>
    <w:p>
      <w:pPr>
        <w:jc w:val="both"/>
        <w:ind w:firstLine="1561"/>
        <w:spacing w:after="0" w:line="259" w:lineRule="auto"/>
        <w:tabs>
          <w:tab w:leader="none" w:pos="24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6" w:lineRule="exact"/>
        <w:rPr>
          <w:rFonts w:ascii="Arial" w:cs="Arial" w:eastAsia="Arial" w:hAnsi="Arial"/>
          <w:sz w:val="18"/>
          <w:szCs w:val="18"/>
          <w:color w:val="auto"/>
        </w:rPr>
      </w:pPr>
    </w:p>
    <w:p>
      <w:pPr>
        <w:jc w:val="both"/>
        <w:ind w:firstLine="1561"/>
        <w:spacing w:after="0" w:line="259" w:lineRule="auto"/>
        <w:tabs>
          <w:tab w:leader="none" w:pos="2421" w:val="left"/>
        </w:tabs>
        <w:numPr>
          <w:ilvl w:val="0"/>
          <w:numId w:val="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3" w:name="page64"/>
    <w:bookmarkEnd w:id="63"/>
    <w:p>
      <w:pPr>
        <w:ind w:firstLine="1561"/>
        <w:spacing w:after="0" w:line="277" w:lineRule="auto"/>
        <w:tabs>
          <w:tab w:leader="none" w:pos="25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70" w:lineRule="exact"/>
        <w:rPr>
          <w:rFonts w:ascii="Arial" w:cs="Arial" w:eastAsia="Arial" w:hAnsi="Arial"/>
          <w:sz w:val="18"/>
          <w:szCs w:val="18"/>
          <w:color w:val="auto"/>
        </w:rPr>
      </w:pPr>
    </w:p>
    <w:p>
      <w:pPr>
        <w:ind w:left="2420" w:hanging="859"/>
        <w:spacing w:after="0"/>
        <w:tabs>
          <w:tab w:leader="none" w:pos="2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2006 Incentive Compensation Plan.</w:t>
      </w:r>
    </w:p>
    <w:p>
      <w:pPr>
        <w:spacing w:after="0" w:line="225" w:lineRule="exact"/>
        <w:rPr>
          <w:rFonts w:ascii="Arial" w:cs="Arial" w:eastAsia="Arial" w:hAnsi="Arial"/>
          <w:sz w:val="18"/>
          <w:szCs w:val="18"/>
          <w:color w:val="auto"/>
        </w:rPr>
      </w:pPr>
    </w:p>
    <w:p>
      <w:pPr>
        <w:jc w:val="both"/>
        <w:ind w:firstLine="1561"/>
        <w:spacing w:after="0" w:line="257" w:lineRule="auto"/>
        <w:tabs>
          <w:tab w:leader="none" w:pos="26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spacing w:after="0" w:line="188" w:lineRule="exact"/>
        <w:rPr>
          <w:rFonts w:ascii="Arial" w:cs="Arial" w:eastAsia="Arial" w:hAnsi="Arial"/>
          <w:sz w:val="18"/>
          <w:szCs w:val="18"/>
          <w:color w:val="auto"/>
        </w:rPr>
      </w:pPr>
    </w:p>
    <w:p>
      <w:pPr>
        <w:jc w:val="both"/>
        <w:ind w:firstLine="1561"/>
        <w:spacing w:after="0" w:line="286" w:lineRule="auto"/>
        <w:tabs>
          <w:tab w:leader="none" w:pos="2501"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65" w:lineRule="exact"/>
        <w:rPr>
          <w:rFonts w:ascii="Arial" w:cs="Arial" w:eastAsia="Arial" w:hAnsi="Arial"/>
          <w:sz w:val="17"/>
          <w:szCs w:val="17"/>
          <w:color w:val="auto"/>
        </w:rPr>
      </w:pPr>
    </w:p>
    <w:p>
      <w:pPr>
        <w:ind w:left="2500" w:hanging="939"/>
        <w:spacing w:after="0"/>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means an Award of Restricted Stock granted to a Participant under Section 7(d) hereof.</w:t>
      </w:r>
    </w:p>
    <w:p>
      <w:pPr>
        <w:spacing w:after="0" w:line="236" w:lineRule="exact"/>
        <w:rPr>
          <w:rFonts w:ascii="Arial" w:cs="Arial" w:eastAsia="Arial" w:hAnsi="Arial"/>
          <w:sz w:val="17"/>
          <w:szCs w:val="17"/>
          <w:color w:val="auto"/>
        </w:rPr>
      </w:pPr>
    </w:p>
    <w:p>
      <w:pPr>
        <w:ind w:right="20" w:firstLine="1561"/>
        <w:spacing w:after="0" w:line="277" w:lineRule="auto"/>
        <w:tabs>
          <w:tab w:leader="none" w:pos="25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 which right is subject to a risk of forfeiture.</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1"/>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 Award</w:t>
      </w:r>
      <w:r>
        <w:rPr>
          <w:rFonts w:ascii="Arial" w:cs="Arial" w:eastAsia="Arial" w:hAnsi="Arial"/>
          <w:sz w:val="17"/>
          <w:szCs w:val="17"/>
          <w:color w:val="auto"/>
        </w:rPr>
        <w:t>” means an Award of Restricted Stock Unit granted to a Participant under Section 7(e)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210" w:lineRule="exact"/>
        <w:rPr>
          <w:rFonts w:ascii="Arial" w:cs="Arial" w:eastAsia="Arial" w:hAnsi="Arial"/>
          <w:sz w:val="17"/>
          <w:szCs w:val="17"/>
          <w:color w:val="auto"/>
        </w:rPr>
      </w:pPr>
    </w:p>
    <w:p>
      <w:pPr>
        <w:ind w:firstLine="1561"/>
        <w:spacing w:after="0" w:line="277" w:lineRule="auto"/>
        <w:tabs>
          <w:tab w:leader="none" w:pos="24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70" w:lineRule="exact"/>
        <w:rPr>
          <w:rFonts w:ascii="Arial" w:cs="Arial" w:eastAsia="Arial" w:hAnsi="Arial"/>
          <w:sz w:val="18"/>
          <w:szCs w:val="18"/>
          <w:color w:val="auto"/>
        </w:rPr>
      </w:pPr>
    </w:p>
    <w:p>
      <w:pPr>
        <w:jc w:val="both"/>
        <w:ind w:firstLine="1561"/>
        <w:spacing w:after="0" w:line="264" w:lineRule="auto"/>
        <w:tabs>
          <w:tab w:leader="none" w:pos="246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by shareholders of the Company eligible to vote in the election of directors, by a vote sufficient to meet the requirements Sections 162(m) and 422 of the Code, Rule 16b-3 under the Exchange Act and applicable requirements under the rules of the Listing Market.</w:t>
      </w:r>
    </w:p>
    <w:p>
      <w:pPr>
        <w:spacing w:after="0" w:line="181" w:lineRule="exact"/>
        <w:rPr>
          <w:rFonts w:ascii="Arial" w:cs="Arial" w:eastAsia="Arial" w:hAnsi="Arial"/>
          <w:sz w:val="18"/>
          <w:szCs w:val="18"/>
          <w:color w:val="auto"/>
        </w:rPr>
      </w:pPr>
    </w:p>
    <w:p>
      <w:pPr>
        <w:ind w:firstLine="1561"/>
        <w:spacing w:after="0" w:line="277" w:lineRule="auto"/>
        <w:tabs>
          <w:tab w:leader="none" w:pos="242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11(c) hereof.</w:t>
      </w:r>
    </w:p>
    <w:p>
      <w:pPr>
        <w:spacing w:after="0" w:line="170" w:lineRule="exact"/>
        <w:rPr>
          <w:rFonts w:ascii="Arial" w:cs="Arial" w:eastAsia="Arial" w:hAnsi="Arial"/>
          <w:sz w:val="18"/>
          <w:szCs w:val="18"/>
          <w:color w:val="auto"/>
        </w:rPr>
      </w:pPr>
    </w:p>
    <w:p>
      <w:pPr>
        <w:ind w:left="2500" w:hanging="939"/>
        <w:spacing w:after="0"/>
        <w:tabs>
          <w:tab w:leader="none" w:pos="25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7(c) hereof.</w:t>
      </w:r>
    </w:p>
    <w:p>
      <w:pPr>
        <w:spacing w:after="0" w:line="225" w:lineRule="exact"/>
        <w:rPr>
          <w:rFonts w:ascii="Arial" w:cs="Arial" w:eastAsia="Arial" w:hAnsi="Arial"/>
          <w:sz w:val="18"/>
          <w:szCs w:val="18"/>
          <w:color w:val="auto"/>
        </w:rPr>
      </w:pPr>
    </w:p>
    <w:p>
      <w:pPr>
        <w:jc w:val="both"/>
        <w:ind w:firstLine="1561"/>
        <w:spacing w:after="0" w:line="259" w:lineRule="auto"/>
        <w:tabs>
          <w:tab w:leader="none" w:pos="250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86" w:lineRule="exact"/>
        <w:rPr>
          <w:rFonts w:ascii="Arial" w:cs="Arial" w:eastAsia="Arial" w:hAnsi="Arial"/>
          <w:sz w:val="18"/>
          <w:szCs w:val="18"/>
          <w:color w:val="auto"/>
        </w:rPr>
      </w:pPr>
    </w:p>
    <w:p>
      <w:pPr>
        <w:jc w:val="both"/>
        <w:ind w:right="20" w:firstLine="1561"/>
        <w:spacing w:after="0" w:line="264" w:lineRule="auto"/>
        <w:tabs>
          <w:tab w:leader="none" w:pos="2581"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181" w:lineRule="exact"/>
        <w:rPr>
          <w:rFonts w:ascii="Arial" w:cs="Arial" w:eastAsia="Arial" w:hAnsi="Arial"/>
          <w:sz w:val="18"/>
          <w:szCs w:val="18"/>
          <w:color w:val="auto"/>
        </w:rPr>
      </w:pPr>
    </w:p>
    <w:p>
      <w:pPr>
        <w:ind w:left="1560" w:hanging="775"/>
        <w:spacing w:after="0"/>
        <w:tabs>
          <w:tab w:leader="none" w:pos="15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70" w:lineRule="auto"/>
        <w:tabs>
          <w:tab w:leader="none" w:pos="2401" w:val="left"/>
        </w:tabs>
        <w:numPr>
          <w:ilvl w:val="1"/>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Authority of the Committee</w:t>
      </w:r>
      <w:r>
        <w:rPr>
          <w:rFonts w:ascii="Arial" w:cs="Arial" w:eastAsia="Arial" w:hAnsi="Arial"/>
          <w:sz w:val="17"/>
          <w:szCs w:val="17"/>
          <w:color w:val="auto"/>
        </w:rPr>
        <w:t>. The Plan shall be administered by the Committee, except to the extent the Board elects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4" w:name="page65"/>
    <w:bookmarkEnd w:id="64"/>
    <w:p>
      <w:pPr>
        <w:jc w:val="both"/>
        <w:ind w:firstLine="1561"/>
        <w:spacing w:after="0" w:line="268" w:lineRule="auto"/>
        <w:tabs>
          <w:tab w:leader="none" w:pos="2411" w:val="left"/>
        </w:tabs>
        <w:numPr>
          <w:ilvl w:val="1"/>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Manner of Exercise of Committee Authority</w:t>
      </w:r>
      <w:r>
        <w:rPr>
          <w:rFonts w:ascii="Arial" w:cs="Arial" w:eastAsia="Arial" w:hAnsi="Arial"/>
          <w:sz w:val="17"/>
          <w:szCs w:val="17"/>
          <w:color w:val="auto"/>
        </w:rPr>
        <w:t>. The Committee, and not the Board, shall exercise sole and exclusive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discretion (i) on any matter relating to a Participant then subject to Section 16 of the Exchange Act with respect to the Company to the extent necessary in order that transactions by such Participant shall be exempt under Rule 16b-3 under the Exchange Act, (ii) with respect to any Award that is intended to qualify as “performance-based compensation” under Section 162(m), to the extent necessary in order for such Award to so qualify; and (iii) with respect to any Award to an Independent Director. Any action of the Committee shall be final, conclusive and binding on all persons, including the Company, its Related Entities, Eligible Persons, Participants, Beneficiaries, transferees under Section 11(b)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87" w:lineRule="exact"/>
        <w:rPr>
          <w:rFonts w:ascii="Arial" w:cs="Arial" w:eastAsia="Arial" w:hAnsi="Arial"/>
          <w:sz w:val="17"/>
          <w:szCs w:val="17"/>
          <w:color w:val="auto"/>
        </w:rPr>
      </w:pPr>
    </w:p>
    <w:p>
      <w:pPr>
        <w:jc w:val="both"/>
        <w:ind w:firstLine="1561"/>
        <w:spacing w:after="0" w:line="276" w:lineRule="auto"/>
        <w:tabs>
          <w:tab w:leader="none" w:pos="2401" w:val="left"/>
        </w:tabs>
        <w:numPr>
          <w:ilvl w:val="1"/>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 of Liability</w:t>
      </w:r>
      <w:r>
        <w:rPr>
          <w:rFonts w:ascii="Arial" w:cs="Arial" w:eastAsia="Arial" w:hAnsi="Arial"/>
          <w:sz w:val="17"/>
          <w:szCs w:val="17"/>
          <w:color w:val="auto"/>
        </w:rPr>
        <w:t>. The Committee and the Board, and each member thereof, shall be entitled to, in good faith, rely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72" w:lineRule="exact"/>
        <w:rPr>
          <w:rFonts w:ascii="Arial" w:cs="Arial" w:eastAsia="Arial" w:hAnsi="Arial"/>
          <w:sz w:val="17"/>
          <w:szCs w:val="17"/>
          <w:color w:val="auto"/>
        </w:rPr>
      </w:pPr>
    </w:p>
    <w:p>
      <w:pPr>
        <w:ind w:left="1560" w:hanging="775"/>
        <w:spacing w:after="0"/>
        <w:tabs>
          <w:tab w:leader="none" w:pos="156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Shares Subject to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401"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 on Overall Number of Shares Available for Delivery Under Plan</w:t>
      </w:r>
      <w:r>
        <w:rPr>
          <w:rFonts w:ascii="Arial" w:cs="Arial" w:eastAsia="Arial" w:hAnsi="Arial"/>
          <w:sz w:val="18"/>
          <w:szCs w:val="18"/>
          <w:color w:val="auto"/>
        </w:rPr>
        <w:t>. Subject to adjustment as provided in Section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11(c) hereof, the aggregate number of Shares reserved and available for delivery under the Plan shall be equal to the sum of (i) </w:t>
      </w:r>
      <w:r>
        <w:rPr>
          <w:rFonts w:ascii="Arial" w:cs="Arial" w:eastAsia="Arial" w:hAnsi="Arial"/>
          <w:sz w:val="18"/>
          <w:szCs w:val="18"/>
          <w:b w:val="1"/>
          <w:bCs w:val="1"/>
          <w:color w:val="auto"/>
          <w:strike w:val="1"/>
        </w:rPr>
        <w:t>5,200,000</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8,000,000</w:t>
      </w:r>
      <w:r>
        <w:rPr>
          <w:rFonts w:ascii="Arial" w:cs="Arial" w:eastAsia="Arial" w:hAnsi="Arial"/>
          <w:sz w:val="18"/>
          <w:szCs w:val="18"/>
          <w:color w:val="auto"/>
        </w:rPr>
        <w:t xml:space="preserve">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the such Full Value Award. Each Share issued in respect of Options and SARs shall be counted against the share limit as one Share. Any Shares delivered under the Plan may consist, in whole or in part, of authorized and unissued shares or treasury shares.</w:t>
      </w:r>
    </w:p>
    <w:p>
      <w:pPr>
        <w:spacing w:after="0" w:line="189" w:lineRule="exact"/>
        <w:rPr>
          <w:rFonts w:ascii="Arial" w:cs="Arial" w:eastAsia="Arial" w:hAnsi="Arial"/>
          <w:sz w:val="18"/>
          <w:szCs w:val="18"/>
          <w:color w:val="auto"/>
        </w:rPr>
      </w:pPr>
    </w:p>
    <w:p>
      <w:pPr>
        <w:jc w:val="both"/>
        <w:ind w:firstLine="1561"/>
        <w:spacing w:after="0" w:line="257" w:lineRule="auto"/>
        <w:tabs>
          <w:tab w:leader="none" w:pos="2411"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Application of Limitation to Grants of Award</w:t>
      </w:r>
      <w:r>
        <w:rPr>
          <w:rFonts w:ascii="Arial" w:cs="Arial" w:eastAsia="Arial" w:hAnsi="Arial"/>
          <w:sz w:val="18"/>
          <w:szCs w:val="18"/>
          <w:color w:val="auto"/>
        </w:rPr>
        <w:t>. No Award may be granted if the number of Shares that would be counted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88" w:lineRule="exact"/>
        <w:rPr>
          <w:rFonts w:ascii="Arial" w:cs="Arial" w:eastAsia="Arial" w:hAnsi="Arial"/>
          <w:sz w:val="18"/>
          <w:szCs w:val="18"/>
          <w:color w:val="auto"/>
        </w:rPr>
      </w:pPr>
    </w:p>
    <w:p>
      <w:pPr>
        <w:ind w:left="2400" w:hanging="839"/>
        <w:spacing w:after="0"/>
        <w:tabs>
          <w:tab w:leader="none" w:pos="2400" w:val="left"/>
        </w:tabs>
        <w:numPr>
          <w:ilvl w:val="1"/>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55" w:lineRule="auto"/>
        <w:tabs>
          <w:tab w:leader="none" w:pos="3148" w:val="left"/>
        </w:tabs>
        <w:numPr>
          <w:ilvl w:val="2"/>
          <w:numId w:val="54"/>
        </w:numPr>
        <w:rPr>
          <w:rFonts w:ascii="Arial" w:cs="Arial" w:eastAsia="Arial" w:hAnsi="Arial"/>
          <w:sz w:val="18"/>
          <w:szCs w:val="18"/>
          <w:color w:val="auto"/>
        </w:rPr>
      </w:pPr>
      <w:r>
        <w:rPr>
          <w:rFonts w:ascii="Arial" w:cs="Arial" w:eastAsia="Arial" w:hAnsi="Arial"/>
          <w:sz w:val="18"/>
          <w:szCs w:val="18"/>
          <w:color w:val="auto"/>
        </w:rPr>
        <w:t>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spacing w:after="0" w:line="189" w:lineRule="exact"/>
        <w:rPr>
          <w:rFonts w:ascii="Arial" w:cs="Arial" w:eastAsia="Arial" w:hAnsi="Arial"/>
          <w:sz w:val="18"/>
          <w:szCs w:val="18"/>
          <w:color w:val="auto"/>
        </w:rPr>
      </w:pPr>
    </w:p>
    <w:p>
      <w:pPr>
        <w:jc w:val="both"/>
        <w:ind w:firstLine="2338"/>
        <w:spacing w:after="0" w:line="286" w:lineRule="auto"/>
        <w:tabs>
          <w:tab w:leader="none" w:pos="3198" w:val="left"/>
        </w:tabs>
        <w:numPr>
          <w:ilvl w:val="2"/>
          <w:numId w:val="54"/>
        </w:numPr>
        <w:rPr>
          <w:rFonts w:ascii="Arial" w:cs="Arial" w:eastAsia="Arial" w:hAnsi="Arial"/>
          <w:sz w:val="17"/>
          <w:szCs w:val="17"/>
          <w:color w:val="auto"/>
        </w:rPr>
      </w:pPr>
      <w:r>
        <w:rPr>
          <w:rFonts w:ascii="Arial" w:cs="Arial" w:eastAsia="Arial" w:hAnsi="Arial"/>
          <w:sz w:val="17"/>
          <w:szCs w:val="17"/>
          <w:color w:val="auto"/>
        </w:rPr>
        <w:t>Awards that are settled or exercised through the payment of Shares shall be counted against the number of Shares available for award under the Plan in accordance with Section 4(a) hereof, regardless of the number of Shares actually issued upon settlement or exercise of any such Award. Awards that are settled in cash shall not be counted against the number of Shares available for Award under this Plan.</w:t>
      </w:r>
    </w:p>
    <w:p>
      <w:pPr>
        <w:spacing w:after="0" w:line="165" w:lineRule="exact"/>
        <w:rPr>
          <w:rFonts w:ascii="Arial" w:cs="Arial" w:eastAsia="Arial" w:hAnsi="Arial"/>
          <w:sz w:val="17"/>
          <w:szCs w:val="17"/>
          <w:color w:val="auto"/>
        </w:rPr>
      </w:pPr>
    </w:p>
    <w:p>
      <w:pPr>
        <w:jc w:val="both"/>
        <w:ind w:firstLine="2338"/>
        <w:spacing w:after="0" w:line="259" w:lineRule="auto"/>
        <w:tabs>
          <w:tab w:leader="none" w:pos="3248" w:val="left"/>
        </w:tabs>
        <w:numPr>
          <w:ilvl w:val="2"/>
          <w:numId w:val="54"/>
        </w:numPr>
        <w:rPr>
          <w:rFonts w:ascii="Arial" w:cs="Arial" w:eastAsia="Arial" w:hAnsi="Arial"/>
          <w:sz w:val="18"/>
          <w:szCs w:val="18"/>
          <w:color w:val="auto"/>
        </w:rPr>
      </w:pPr>
      <w:r>
        <w:rPr>
          <w:rFonts w:ascii="Arial" w:cs="Arial" w:eastAsia="Arial" w:hAnsi="Arial"/>
          <w:sz w:val="18"/>
          <w:szCs w:val="18"/>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-4116705</wp:posOffset>
            </wp:positionV>
            <wp:extent cx="4546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7"/>
          <w:szCs w:val="17"/>
          <w:color w:val="auto"/>
        </w:rPr>
        <w:t>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78" w:lineRule="exact"/>
        <w:rPr>
          <w:sz w:val="20"/>
          <w:szCs w:val="20"/>
          <w:color w:val="auto"/>
        </w:rPr>
      </w:pPr>
    </w:p>
    <w:p>
      <w:pPr>
        <w:jc w:val="both"/>
        <w:ind w:firstLine="2338"/>
        <w:spacing w:after="0" w:line="259" w:lineRule="auto"/>
        <w:tabs>
          <w:tab w:leader="none" w:pos="3238" w:val="left"/>
        </w:tabs>
        <w:numPr>
          <w:ilvl w:val="2"/>
          <w:numId w:val="55"/>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4(c) to the contrary but subject to adjustment as provided in Section 11(c) hereof, the maximum aggregate number of Shares that may be delivered under the Plan as a result of the exercise of the Incentive Stock Options shall be </w:t>
      </w:r>
      <w:r>
        <w:rPr>
          <w:rFonts w:ascii="Arial" w:cs="Arial" w:eastAsia="Arial" w:hAnsi="Arial"/>
          <w:sz w:val="18"/>
          <w:szCs w:val="18"/>
          <w:b w:val="1"/>
          <w:bCs w:val="1"/>
          <w:color w:val="auto"/>
          <w:strike w:val="1"/>
        </w:rPr>
        <w:t>5,200,000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8,000,000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no event shall any Incentive Stock Options be granted under the Plan after the tenth anniversary of the date on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adopts the Plan.</w:t>
      </w:r>
    </w:p>
    <w:p>
      <w:pPr>
        <w:spacing w:after="0" w:line="186" w:lineRule="exact"/>
        <w:rPr>
          <w:rFonts w:ascii="Arial" w:cs="Arial" w:eastAsia="Arial" w:hAnsi="Arial"/>
          <w:sz w:val="18"/>
          <w:szCs w:val="18"/>
          <w:color w:val="auto"/>
        </w:rPr>
      </w:pPr>
    </w:p>
    <w:p>
      <w:pPr>
        <w:jc w:val="both"/>
        <w:ind w:firstLine="2338"/>
        <w:spacing w:after="0" w:line="259" w:lineRule="auto"/>
        <w:tabs>
          <w:tab w:leader="none" w:pos="3188" w:val="left"/>
        </w:tabs>
        <w:numPr>
          <w:ilvl w:val="2"/>
          <w:numId w:val="55"/>
        </w:numPr>
        <w:rPr>
          <w:rFonts w:ascii="Arial" w:cs="Arial" w:eastAsia="Arial" w:hAnsi="Arial"/>
          <w:sz w:val="18"/>
          <w:szCs w:val="18"/>
          <w:color w:val="auto"/>
        </w:rPr>
      </w:pPr>
      <w:r>
        <w:rPr>
          <w:rFonts w:ascii="Arial" w:cs="Arial" w:eastAsia="Arial" w:hAnsi="Arial"/>
          <w:sz w:val="18"/>
          <w:szCs w:val="18"/>
          <w:color w:val="auto"/>
        </w:rPr>
        <w:t>Notwithstanding anything in this Section 4 to the contrary, but subject to adjustment as provided in Section 11(c)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spacing w:after="0" w:line="186" w:lineRule="exact"/>
        <w:rPr>
          <w:rFonts w:ascii="Arial" w:cs="Arial" w:eastAsia="Arial" w:hAnsi="Arial"/>
          <w:sz w:val="18"/>
          <w:szCs w:val="18"/>
          <w:color w:val="auto"/>
        </w:rPr>
      </w:pPr>
    </w:p>
    <w:p>
      <w:pPr>
        <w:ind w:left="2420" w:hanging="859"/>
        <w:spacing w:after="0"/>
        <w:tabs>
          <w:tab w:leader="none" w:pos="2420" w:val="left"/>
        </w:tabs>
        <w:numPr>
          <w:ilvl w:val="1"/>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No Further Awards Under Prior Plan</w:t>
      </w:r>
      <w:r>
        <w:rPr>
          <w:rFonts w:ascii="Arial" w:cs="Arial" w:eastAsia="Arial" w:hAnsi="Arial"/>
          <w:sz w:val="17"/>
          <w:szCs w:val="17"/>
          <w:color w:val="auto"/>
        </w:rPr>
        <w:t>. No further awards shall be made under the Prior Plan after July 31, 2016.</w:t>
      </w:r>
    </w:p>
    <w:p>
      <w:pPr>
        <w:spacing w:after="0" w:line="236" w:lineRule="exact"/>
        <w:rPr>
          <w:rFonts w:ascii="Arial" w:cs="Arial" w:eastAsia="Arial" w:hAnsi="Arial"/>
          <w:sz w:val="17"/>
          <w:szCs w:val="17"/>
          <w:color w:val="auto"/>
        </w:rPr>
      </w:pPr>
    </w:p>
    <w:p>
      <w:pPr>
        <w:jc w:val="both"/>
        <w:ind w:firstLine="785"/>
        <w:spacing w:after="0" w:line="272" w:lineRule="auto"/>
        <w:tabs>
          <w:tab w:leader="none" w:pos="15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Eligibility; Per-Participant Limitations</w:t>
      </w:r>
      <w:r>
        <w:rPr>
          <w:rFonts w:ascii="Arial" w:cs="Arial" w:eastAsia="Arial" w:hAnsi="Arial"/>
          <w:sz w:val="17"/>
          <w:szCs w:val="17"/>
          <w:color w:val="auto"/>
        </w:rPr>
        <w:t>. Awards may be granted under the Plan only to Eligible Persons. Subject to adjustment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in Section 11(c) of this Plan, in any fiscal year of the Company during any part of which the Plan is in effect, no Participant may be granted (i) Options and/or Stock Appreciation Rights with respect to more than 1,000,000 Shares or (ii) Performance Shares that are subject to Section 9 hereof, with respect to more than 1,000,000 Shares. In addition, the maximum dollar value payable to any one Participant with respect to Performance Units that are subject to Section 9 hereof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spacing w:after="0" w:line="177" w:lineRule="exact"/>
        <w:rPr>
          <w:rFonts w:ascii="Arial" w:cs="Arial" w:eastAsia="Arial" w:hAnsi="Arial"/>
          <w:sz w:val="17"/>
          <w:szCs w:val="17"/>
          <w:color w:val="auto"/>
        </w:rPr>
      </w:pPr>
    </w:p>
    <w:p>
      <w:pPr>
        <w:jc w:val="both"/>
        <w:ind w:firstLine="785"/>
        <w:spacing w:after="0" w:line="255" w:lineRule="auto"/>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Award Vesting Limitations</w:t>
      </w:r>
      <w:r>
        <w:rPr>
          <w:rFonts w:ascii="Arial" w:cs="Arial" w:eastAsia="Arial" w:hAnsi="Arial"/>
          <w:sz w:val="18"/>
          <w:szCs w:val="18"/>
          <w:color w:val="auto"/>
        </w:rPr>
        <w:t>. Notwithstanding any other provision of the Plan to the contrary, but subject to Section 10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spacing w:after="0" w:line="193" w:lineRule="exact"/>
        <w:rPr>
          <w:rFonts w:ascii="Arial" w:cs="Arial" w:eastAsia="Arial" w:hAnsi="Arial"/>
          <w:sz w:val="18"/>
          <w:szCs w:val="18"/>
          <w:color w:val="auto"/>
        </w:rPr>
      </w:pPr>
    </w:p>
    <w:p>
      <w:pPr>
        <w:ind w:left="1560" w:hanging="775"/>
        <w:spacing w:after="0"/>
        <w:tabs>
          <w:tab w:leader="none" w:pos="15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4" w:lineRule="auto"/>
        <w:tabs>
          <w:tab w:leader="none" w:pos="2401" w:val="left"/>
        </w:tabs>
        <w:numPr>
          <w:ilvl w:val="1"/>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Awards may be granted on the terms and conditions set forth in this Section 7. In addition, the Committee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 on any Award or the exercise thereof, at the date of grant or thereafter (subject to Section 11(e)),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92" w:lineRule="exact"/>
        <w:rPr>
          <w:rFonts w:ascii="Arial" w:cs="Arial" w:eastAsia="Arial" w:hAnsi="Arial"/>
          <w:sz w:val="18"/>
          <w:szCs w:val="18"/>
          <w:color w:val="auto"/>
        </w:rPr>
      </w:pPr>
    </w:p>
    <w:p>
      <w:pPr>
        <w:ind w:left="2420" w:hanging="859"/>
        <w:spacing w:after="0"/>
        <w:tabs>
          <w:tab w:leader="none" w:pos="2420" w:val="left"/>
        </w:tabs>
        <w:numPr>
          <w:ilvl w:val="1"/>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Options</w:t>
      </w:r>
      <w:r>
        <w:rPr>
          <w:rFonts w:ascii="Arial" w:cs="Arial" w:eastAsia="Arial" w:hAnsi="Arial"/>
          <w:sz w:val="17"/>
          <w:szCs w:val="17"/>
          <w:color w:val="auto"/>
        </w:rPr>
        <w:t>. The Committee is authorized to grant Options to any Eligible Person on the following terms and conditions:</w:t>
      </w:r>
    </w:p>
    <w:p>
      <w:pPr>
        <w:spacing w:after="0" w:line="236" w:lineRule="exact"/>
        <w:rPr>
          <w:rFonts w:ascii="Arial" w:cs="Arial" w:eastAsia="Arial" w:hAnsi="Arial"/>
          <w:sz w:val="17"/>
          <w:szCs w:val="17"/>
          <w:color w:val="auto"/>
        </w:rPr>
      </w:pPr>
    </w:p>
    <w:p>
      <w:pPr>
        <w:jc w:val="both"/>
        <w:ind w:firstLine="2338"/>
        <w:spacing w:after="0" w:line="255" w:lineRule="auto"/>
        <w:tabs>
          <w:tab w:leader="none" w:pos="3148" w:val="left"/>
        </w:tabs>
        <w:numPr>
          <w:ilvl w:val="2"/>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Other than in connection with Substitute Awards, the exercise price per Share purchasable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-5896610</wp:posOffset>
            </wp:positionV>
            <wp:extent cx="4546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6" w:name="page67"/>
    <w:bookmarkEnd w:id="66"/>
    <w:p>
      <w:pPr>
        <w:jc w:val="both"/>
        <w:spacing w:after="0" w:line="291" w:lineRule="auto"/>
        <w:rPr>
          <w:sz w:val="20"/>
          <w:szCs w:val="20"/>
          <w:color w:val="auto"/>
        </w:rPr>
      </w:pPr>
      <w:r>
        <w:rPr>
          <w:rFonts w:ascii="Arial" w:cs="Arial" w:eastAsia="Arial" w:hAnsi="Arial"/>
          <w:sz w:val="16"/>
          <w:szCs w:val="16"/>
          <w:color w:val="auto"/>
        </w:rPr>
        <w:t>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11(c),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spacing w:after="0" w:line="167" w:lineRule="exact"/>
        <w:rPr>
          <w:sz w:val="20"/>
          <w:szCs w:val="20"/>
          <w:color w:val="auto"/>
        </w:rPr>
      </w:pPr>
    </w:p>
    <w:p>
      <w:pPr>
        <w:jc w:val="both"/>
        <w:ind w:firstLine="2338"/>
        <w:spacing w:after="0" w:line="270" w:lineRule="auto"/>
        <w:tabs>
          <w:tab w:leader="none" w:pos="3198"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Time and Method of Exercise</w:t>
      </w:r>
      <w:r>
        <w:rPr>
          <w:rFonts w:ascii="Arial" w:cs="Arial" w:eastAsia="Arial" w:hAnsi="Arial"/>
          <w:sz w:val="17"/>
          <w:szCs w:val="17"/>
          <w:color w:val="auto"/>
        </w:rPr>
        <w:t>. Subject to the maximum term of any Option set forth in Section 7(b),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spacing w:after="0" w:line="177" w:lineRule="exact"/>
        <w:rPr>
          <w:rFonts w:ascii="Arial" w:cs="Arial" w:eastAsia="Arial" w:hAnsi="Arial"/>
          <w:sz w:val="17"/>
          <w:szCs w:val="17"/>
          <w:color w:val="auto"/>
        </w:rPr>
      </w:pPr>
    </w:p>
    <w:p>
      <w:pPr>
        <w:ind w:firstLine="2338"/>
        <w:spacing w:after="0" w:line="277" w:lineRule="auto"/>
        <w:tabs>
          <w:tab w:leader="none" w:pos="3248" w:val="left"/>
        </w:tabs>
        <w:numPr>
          <w:ilvl w:val="1"/>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Form of Settlement</w:t>
      </w:r>
      <w:r>
        <w:rPr>
          <w:rFonts w:ascii="Arial" w:cs="Arial" w:eastAsia="Arial" w:hAnsi="Arial"/>
          <w:sz w:val="18"/>
          <w:szCs w:val="18"/>
          <w:color w:val="auto"/>
        </w:rPr>
        <w:t>. The Committee may, in its sole discretion, provide that the Shares to be issued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 Option shall be in the form of Restricted Stock or other similar securities.</w:t>
      </w:r>
    </w:p>
    <w:p>
      <w:pPr>
        <w:spacing w:after="0" w:line="170" w:lineRule="exact"/>
        <w:rPr>
          <w:rFonts w:ascii="Arial" w:cs="Arial" w:eastAsia="Arial" w:hAnsi="Arial"/>
          <w:sz w:val="18"/>
          <w:szCs w:val="18"/>
          <w:color w:val="auto"/>
        </w:rPr>
      </w:pPr>
    </w:p>
    <w:p>
      <w:pPr>
        <w:jc w:val="both"/>
        <w:ind w:firstLine="2338"/>
        <w:spacing w:after="0" w:line="273" w:lineRule="auto"/>
        <w:tabs>
          <w:tab w:leader="none" w:pos="3238"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Incentive Stock Options</w:t>
      </w:r>
      <w:r>
        <w:rPr>
          <w:rFonts w:ascii="Arial" w:cs="Arial" w:eastAsia="Arial" w:hAnsi="Arial"/>
          <w:sz w:val="17"/>
          <w:szCs w:val="17"/>
          <w:color w:val="auto"/>
        </w:rPr>
        <w:t>. The terms of any Incentive Stock Option granted under the Plan shall comply in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78" w:lineRule="exact"/>
        <w:rPr>
          <w:rFonts w:ascii="Arial" w:cs="Arial" w:eastAsia="Arial" w:hAnsi="Arial"/>
          <w:sz w:val="17"/>
          <w:szCs w:val="17"/>
          <w:color w:val="auto"/>
        </w:rPr>
      </w:pPr>
    </w:p>
    <w:p>
      <w:pPr>
        <w:jc w:val="both"/>
        <w:ind w:firstLine="3114"/>
        <w:spacing w:after="0" w:line="297" w:lineRule="auto"/>
        <w:tabs>
          <w:tab w:leader="none" w:pos="4004"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58" w:lineRule="exact"/>
        <w:rPr>
          <w:rFonts w:ascii="Arial" w:cs="Arial" w:eastAsia="Arial" w:hAnsi="Arial"/>
          <w:sz w:val="16"/>
          <w:szCs w:val="16"/>
          <w:color w:val="auto"/>
        </w:rPr>
      </w:pPr>
    </w:p>
    <w:p>
      <w:pPr>
        <w:jc w:val="both"/>
        <w:ind w:right="20" w:firstLine="3114"/>
        <w:spacing w:after="0" w:line="302" w:lineRule="auto"/>
        <w:tabs>
          <w:tab w:leader="none" w:pos="3994" w:val="left"/>
        </w:tabs>
        <w:numPr>
          <w:ilvl w:val="2"/>
          <w:numId w:val="58"/>
        </w:numPr>
        <w:rPr>
          <w:rFonts w:ascii="Arial" w:cs="Arial" w:eastAsia="Arial" w:hAnsi="Arial"/>
          <w:sz w:val="16"/>
          <w:szCs w:val="16"/>
          <w:color w:val="auto"/>
        </w:rPr>
      </w:pPr>
      <w:r>
        <w:rPr>
          <w:rFonts w:ascii="Arial" w:cs="Arial" w:eastAsia="Arial" w:hAnsi="Arial"/>
          <w:sz w:val="16"/>
          <w:szCs w:val="16"/>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spacing w:after="0" w:line="154" w:lineRule="exact"/>
        <w:rPr>
          <w:rFonts w:ascii="Arial" w:cs="Arial" w:eastAsia="Arial" w:hAnsi="Arial"/>
          <w:sz w:val="16"/>
          <w:szCs w:val="16"/>
          <w:color w:val="auto"/>
        </w:rPr>
      </w:pPr>
    </w:p>
    <w:p>
      <w:pPr>
        <w:jc w:val="both"/>
        <w:ind w:firstLine="3114"/>
        <w:spacing w:after="0" w:line="259" w:lineRule="auto"/>
        <w:tabs>
          <w:tab w:leader="none" w:pos="3994" w:val="left"/>
        </w:tabs>
        <w:numPr>
          <w:ilvl w:val="2"/>
          <w:numId w:val="58"/>
        </w:numPr>
        <w:rPr>
          <w:rFonts w:ascii="Arial" w:cs="Arial" w:eastAsia="Arial" w:hAnsi="Arial"/>
          <w:sz w:val="18"/>
          <w:szCs w:val="18"/>
          <w:color w:val="auto"/>
        </w:rPr>
      </w:pPr>
      <w:r>
        <w:rPr>
          <w:rFonts w:ascii="Arial" w:cs="Arial" w:eastAsia="Arial" w:hAnsi="Arial"/>
          <w:sz w:val="18"/>
          <w:szCs w:val="18"/>
          <w:color w:val="auto"/>
        </w:rPr>
        <w:t>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spacing w:after="0" w:line="186" w:lineRule="exact"/>
        <w:rPr>
          <w:rFonts w:ascii="Arial" w:cs="Arial" w:eastAsia="Arial" w:hAnsi="Arial"/>
          <w:sz w:val="18"/>
          <w:szCs w:val="18"/>
          <w:color w:val="auto"/>
        </w:rPr>
      </w:pPr>
    </w:p>
    <w:p>
      <w:pPr>
        <w:jc w:val="both"/>
        <w:ind w:firstLine="1561"/>
        <w:spacing w:after="0" w:line="264" w:lineRule="auto"/>
        <w:tabs>
          <w:tab w:leader="none" w:pos="2401"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(a “Freestanding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Appreciation Right”), upon such terms and conditions as the Committee may establish in its sole discretion, not inconsistent with the provisions of the Plan, including the following:</w:t>
      </w:r>
    </w:p>
    <w:p>
      <w:pPr>
        <w:spacing w:after="0" w:line="181" w:lineRule="exact"/>
        <w:rPr>
          <w:rFonts w:ascii="Arial" w:cs="Arial" w:eastAsia="Arial" w:hAnsi="Arial"/>
          <w:sz w:val="18"/>
          <w:szCs w:val="18"/>
          <w:color w:val="auto"/>
        </w:rPr>
      </w:pPr>
    </w:p>
    <w:p>
      <w:pPr>
        <w:jc w:val="both"/>
        <w:ind w:firstLine="2338"/>
        <w:spacing w:after="0" w:line="257" w:lineRule="auto"/>
        <w:tabs>
          <w:tab w:leader="none" w:pos="3148" w:val="left"/>
        </w:tabs>
        <w:numPr>
          <w:ilvl w:val="1"/>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Right to Payment</w:t>
      </w:r>
      <w:r>
        <w:rPr>
          <w:rFonts w:ascii="Arial" w:cs="Arial" w:eastAsia="Arial" w:hAnsi="Arial"/>
          <w:sz w:val="18"/>
          <w:szCs w:val="18"/>
          <w:color w:val="auto"/>
        </w:rPr>
        <w:t>. A Stock Appreciation Right shall confer on the Participant to whom it is granted a right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7" w:name="page68"/>
    <w:bookmarkEnd w:id="67"/>
    <w:p>
      <w:pPr>
        <w:jc w:val="both"/>
        <w:spacing w:after="0" w:line="273" w:lineRule="auto"/>
        <w:rPr>
          <w:sz w:val="20"/>
          <w:szCs w:val="20"/>
          <w:color w:val="auto"/>
        </w:rPr>
      </w:pPr>
      <w:r>
        <w:rPr>
          <w:rFonts w:ascii="Arial" w:cs="Arial" w:eastAsia="Arial" w:hAnsi="Arial"/>
          <w:sz w:val="17"/>
          <w:szCs w:val="17"/>
          <w:color w:val="auto"/>
        </w:rPr>
        <w:t>11(c),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spacing w:after="0" w:line="178" w:lineRule="exact"/>
        <w:rPr>
          <w:sz w:val="20"/>
          <w:szCs w:val="20"/>
          <w:color w:val="auto"/>
        </w:rPr>
      </w:pPr>
    </w:p>
    <w:p>
      <w:pPr>
        <w:jc w:val="both"/>
        <w:ind w:firstLine="2338"/>
        <w:spacing w:after="0" w:line="255" w:lineRule="auto"/>
        <w:tabs>
          <w:tab w:leader="none" w:pos="3198" w:val="left"/>
        </w:tabs>
        <w:numPr>
          <w:ilvl w:val="1"/>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Other Terms</w:t>
      </w:r>
      <w:r>
        <w:rPr>
          <w:rFonts w:ascii="Arial" w:cs="Arial" w:eastAsia="Arial" w:hAnsi="Arial"/>
          <w:sz w:val="18"/>
          <w:szCs w:val="18"/>
          <w:color w:val="auto"/>
        </w:rPr>
        <w:t>. Subject to the maximum term of any Stock Appreciation Right set forth in Section 7(c),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189" w:lineRule="exact"/>
        <w:rPr>
          <w:rFonts w:ascii="Arial" w:cs="Arial" w:eastAsia="Arial" w:hAnsi="Arial"/>
          <w:sz w:val="18"/>
          <w:szCs w:val="18"/>
          <w:color w:val="auto"/>
        </w:rPr>
      </w:pPr>
    </w:p>
    <w:p>
      <w:pPr>
        <w:ind w:left="2420" w:hanging="859"/>
        <w:spacing w:after="0"/>
        <w:tabs>
          <w:tab w:leader="none" w:pos="242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Restricted Stock Awards</w:t>
      </w:r>
      <w:r>
        <w:rPr>
          <w:rFonts w:ascii="Arial" w:cs="Arial" w:eastAsia="Arial" w:hAnsi="Arial"/>
          <w:sz w:val="16"/>
          <w:szCs w:val="16"/>
          <w:color w:val="auto"/>
        </w:rPr>
        <w:t>.  The Committee is authorized to grant Restricted Stock Awards to any Eligible Person 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 terms and conditions:</w:t>
      </w:r>
    </w:p>
    <w:p>
      <w:pPr>
        <w:spacing w:after="0" w:line="210" w:lineRule="exact"/>
        <w:rPr>
          <w:rFonts w:ascii="Arial" w:cs="Arial" w:eastAsia="Arial" w:hAnsi="Arial"/>
          <w:sz w:val="16"/>
          <w:szCs w:val="16"/>
          <w:color w:val="auto"/>
        </w:rPr>
      </w:pPr>
    </w:p>
    <w:p>
      <w:pPr>
        <w:jc w:val="both"/>
        <w:ind w:firstLine="2338"/>
        <w:spacing w:after="0" w:line="253" w:lineRule="auto"/>
        <w:tabs>
          <w:tab w:leader="none" w:pos="3148" w:val="left"/>
        </w:tabs>
        <w:numPr>
          <w:ilvl w:val="1"/>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Grant and Restrictions</w:t>
      </w:r>
      <w:r>
        <w:rPr>
          <w:rFonts w:ascii="Arial" w:cs="Arial" w:eastAsia="Arial" w:hAnsi="Arial"/>
          <w:sz w:val="18"/>
          <w:szCs w:val="18"/>
          <w:color w:val="auto"/>
        </w:rPr>
        <w:t>. Restricted Stock Awards shall be subject to such restrictions on transferability,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11(b) below and except as otherwise provided in the Award Agreement, the Restricted Stock may not be sold, transferred, pledged, hypothecated, margined or otherwise encumbered by the Participant or Beneficiary.</w:t>
      </w:r>
    </w:p>
    <w:p>
      <w:pPr>
        <w:spacing w:after="0" w:line="193" w:lineRule="exact"/>
        <w:rPr>
          <w:sz w:val="20"/>
          <w:szCs w:val="20"/>
          <w:color w:val="auto"/>
        </w:rPr>
      </w:pPr>
    </w:p>
    <w:p>
      <w:pPr>
        <w:jc w:val="both"/>
        <w:ind w:firstLine="2338"/>
        <w:spacing w:after="0" w:line="273" w:lineRule="auto"/>
        <w:tabs>
          <w:tab w:leader="none" w:pos="3198"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spacing w:after="0" w:line="178" w:lineRule="exact"/>
        <w:rPr>
          <w:rFonts w:ascii="Arial" w:cs="Arial" w:eastAsia="Arial" w:hAnsi="Arial"/>
          <w:sz w:val="17"/>
          <w:szCs w:val="17"/>
          <w:color w:val="auto"/>
        </w:rPr>
      </w:pPr>
    </w:p>
    <w:p>
      <w:pPr>
        <w:jc w:val="both"/>
        <w:ind w:firstLine="2338"/>
        <w:spacing w:after="0" w:line="302" w:lineRule="auto"/>
        <w:tabs>
          <w:tab w:leader="none" w:pos="3248"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154" w:lineRule="exact"/>
        <w:rPr>
          <w:rFonts w:ascii="Arial" w:cs="Arial" w:eastAsia="Arial" w:hAnsi="Arial"/>
          <w:sz w:val="16"/>
          <w:szCs w:val="16"/>
          <w:color w:val="auto"/>
        </w:rPr>
      </w:pPr>
    </w:p>
    <w:p>
      <w:pPr>
        <w:jc w:val="both"/>
        <w:ind w:firstLine="2338"/>
        <w:spacing w:after="0" w:line="271" w:lineRule="auto"/>
        <w:tabs>
          <w:tab w:leader="none" w:pos="3238"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Splits</w:t>
      </w:r>
      <w:r>
        <w:rPr>
          <w:rFonts w:ascii="Arial" w:cs="Arial" w:eastAsia="Arial" w:hAnsi="Arial"/>
          <w:sz w:val="17"/>
          <w:szCs w:val="17"/>
          <w:color w:val="auto"/>
        </w:rPr>
        <w:t>. As a condition to the grant of a Restricted Stock Award, the Committee may require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permit a Participant to elect that any cash dividends paid on a Share of Restricted Stock be automatically reinvested in additional Shares of Restricted Stock or applied to the purchase of additional Awards under the Plan, or except as otherwise provided in the last sentence of Section 7(h)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79" w:lineRule="exact"/>
        <w:rPr>
          <w:sz w:val="20"/>
          <w:szCs w:val="20"/>
          <w:color w:val="auto"/>
        </w:rPr>
      </w:pPr>
    </w:p>
    <w:p>
      <w:pPr>
        <w:ind w:firstLine="1561"/>
        <w:spacing w:after="0" w:line="277" w:lineRule="auto"/>
        <w:tabs>
          <w:tab w:leader="none" w:pos="2401"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Deferred Award</w:t>
      </w:r>
      <w:r>
        <w:rPr>
          <w:rFonts w:ascii="Arial" w:cs="Arial" w:eastAsia="Arial" w:hAnsi="Arial"/>
          <w:sz w:val="18"/>
          <w:szCs w:val="18"/>
          <w:color w:val="auto"/>
        </w:rPr>
        <w:t>. The Committee is authorized to grant “Deferred Awards,” which include Deferred Stock and Restricted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Unit Awards, to any Eligible Person on the following terms and conditions.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8" w:name="page69"/>
    <w:bookmarkEnd w:id="68"/>
    <w:p>
      <w:pPr>
        <w:jc w:val="both"/>
        <w:ind w:firstLine="2338"/>
        <w:spacing w:after="0" w:line="270" w:lineRule="auto"/>
        <w:tabs>
          <w:tab w:leader="none" w:pos="3148" w:val="left"/>
        </w:tabs>
        <w:numPr>
          <w:ilvl w:val="2"/>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Award and Restrictions</w:t>
      </w:r>
      <w:r>
        <w:rPr>
          <w:rFonts w:ascii="Arial" w:cs="Arial" w:eastAsia="Arial" w:hAnsi="Arial"/>
          <w:sz w:val="17"/>
          <w:szCs w:val="17"/>
          <w:color w:val="auto"/>
        </w:rPr>
        <w:t>. Satisfaction of a Deferred Award shall occur upon expiration of the deferral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spacing w:after="0" w:line="177" w:lineRule="exact"/>
        <w:rPr>
          <w:rFonts w:ascii="Arial" w:cs="Arial" w:eastAsia="Arial" w:hAnsi="Arial"/>
          <w:sz w:val="17"/>
          <w:szCs w:val="17"/>
          <w:color w:val="auto"/>
        </w:rPr>
      </w:pPr>
    </w:p>
    <w:p>
      <w:pPr>
        <w:jc w:val="both"/>
        <w:ind w:firstLine="2338"/>
        <w:spacing w:after="0" w:line="272" w:lineRule="auto"/>
        <w:tabs>
          <w:tab w:leader="none" w:pos="3198" w:val="left"/>
        </w:tabs>
        <w:numPr>
          <w:ilvl w:val="2"/>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Forfeiture</w:t>
      </w:r>
      <w:r>
        <w:rPr>
          <w:rFonts w:ascii="Arial" w:cs="Arial" w:eastAsia="Arial" w:hAnsi="Arial"/>
          <w:sz w:val="17"/>
          <w:szCs w:val="17"/>
          <w:color w:val="auto"/>
        </w:rPr>
        <w:t>. Except as otherwise determined by the Committee, upon termination of a Participant’s Continuous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spacing w:after="0" w:line="177" w:lineRule="exact"/>
        <w:rPr>
          <w:rFonts w:ascii="Arial" w:cs="Arial" w:eastAsia="Arial" w:hAnsi="Arial"/>
          <w:sz w:val="17"/>
          <w:szCs w:val="17"/>
          <w:color w:val="auto"/>
        </w:rPr>
      </w:pPr>
    </w:p>
    <w:p>
      <w:pPr>
        <w:jc w:val="both"/>
        <w:ind w:firstLine="2338"/>
        <w:spacing w:after="0" w:line="291" w:lineRule="auto"/>
        <w:tabs>
          <w:tab w:leader="none" w:pos="3248" w:val="left"/>
        </w:tabs>
        <w:numPr>
          <w:ilvl w:val="2"/>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the date of grant, and except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otherwise provided in the last sentence of Section 7(h) hereof, any Dividend Equivalents that are granted with respect to any Deferred Award shall be either</w:t>
      </w:r>
    </w:p>
    <w:p>
      <w:pPr>
        <w:jc w:val="both"/>
        <w:ind w:firstLine="8"/>
        <w:spacing w:after="0" w:line="269" w:lineRule="auto"/>
        <w:tabs>
          <w:tab w:leader="none" w:pos="299" w:val="left"/>
        </w:tabs>
        <w:numPr>
          <w:ilvl w:val="0"/>
          <w:numId w:val="65"/>
        </w:numPr>
        <w:rPr>
          <w:rFonts w:ascii="Arial" w:cs="Arial" w:eastAsia="Arial" w:hAnsi="Arial"/>
          <w:sz w:val="17"/>
          <w:szCs w:val="17"/>
          <w:color w:val="auto"/>
        </w:rPr>
      </w:pPr>
      <w:r>
        <w:rPr>
          <w:rFonts w:ascii="Arial" w:cs="Arial" w:eastAsia="Arial" w:hAnsi="Arial"/>
          <w:sz w:val="17"/>
          <w:szCs w:val="17"/>
          <w:color w:val="auto"/>
        </w:rPr>
        <w:t>paid with respect to such Deferred Award at the dividend payment date in cash or in Shares of unrestricted stock having a Fair Market Value equal to the amount of such dividends,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spacing w:after="0" w:line="180" w:lineRule="exact"/>
        <w:rPr>
          <w:rFonts w:ascii="Arial" w:cs="Arial" w:eastAsia="Arial" w:hAnsi="Arial"/>
          <w:sz w:val="17"/>
          <w:szCs w:val="17"/>
          <w:color w:val="auto"/>
        </w:rPr>
      </w:pPr>
    </w:p>
    <w:p>
      <w:pPr>
        <w:jc w:val="both"/>
        <w:ind w:firstLine="1561"/>
        <w:spacing w:after="0" w:line="297" w:lineRule="auto"/>
        <w:tabs>
          <w:tab w:leader="none" w:pos="2381"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58" w:lineRule="exact"/>
        <w:rPr>
          <w:rFonts w:ascii="Arial" w:cs="Arial" w:eastAsia="Arial" w:hAnsi="Arial"/>
          <w:sz w:val="16"/>
          <w:szCs w:val="16"/>
          <w:color w:val="auto"/>
        </w:rPr>
      </w:pPr>
    </w:p>
    <w:p>
      <w:pPr>
        <w:jc w:val="both"/>
        <w:ind w:firstLine="1561"/>
        <w:spacing w:after="0" w:line="270" w:lineRule="auto"/>
        <w:tabs>
          <w:tab w:leader="none" w:pos="2411"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The Committee is authorized to grant Dividend Equivalents to any Eligible Person entitling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the last sentence of Section 7(h)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spacing w:after="0" w:line="181" w:lineRule="exact"/>
        <w:rPr>
          <w:rFonts w:ascii="Arial" w:cs="Arial" w:eastAsia="Arial" w:hAnsi="Arial"/>
          <w:sz w:val="17"/>
          <w:szCs w:val="17"/>
          <w:color w:val="auto"/>
        </w:rPr>
      </w:pPr>
    </w:p>
    <w:p>
      <w:pPr>
        <w:jc w:val="both"/>
        <w:ind w:firstLine="1561"/>
        <w:spacing w:after="0" w:line="271" w:lineRule="auto"/>
        <w:tabs>
          <w:tab w:leader="none" w:pos="2411" w:val="left"/>
        </w:tabs>
        <w:numPr>
          <w:ilvl w:val="1"/>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Performance Awards</w:t>
      </w:r>
      <w:r>
        <w:rPr>
          <w:rFonts w:ascii="Arial" w:cs="Arial" w:eastAsia="Arial" w:hAnsi="Arial"/>
          <w:sz w:val="17"/>
          <w:szCs w:val="17"/>
          <w:color w:val="auto"/>
        </w:rPr>
        <w:t>. The Committee is authorized to grant Performance Awards to any Eligible Person payable in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or other Awards, on terms and conditions established by the Committee, subject to the provisions of Section 9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10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9(b), or in the case of an Award that the Committee determines shall not be subject to Section 9 hereof, any other criteria that the Committee, in its sole discretion, shall determine should be used for that purpose. The amount of the Award to be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distributed shall be conclusively determined by the Committee. Performance Awards may be paid in a lump sum or in installments following the close of the Performance Period or, in accordance with procedures established by the Committee, on a deferred basis in a manner that does not violate the requirements of Section 409A of the Code.</w:t>
      </w:r>
    </w:p>
    <w:p>
      <w:pPr>
        <w:spacing w:after="0" w:line="181" w:lineRule="exact"/>
        <w:rPr>
          <w:sz w:val="20"/>
          <w:szCs w:val="20"/>
          <w:color w:val="auto"/>
        </w:rPr>
      </w:pPr>
    </w:p>
    <w:p>
      <w:pPr>
        <w:jc w:val="both"/>
        <w:ind w:firstLine="1561"/>
        <w:spacing w:after="0" w:line="270" w:lineRule="auto"/>
        <w:tabs>
          <w:tab w:leader="none" w:pos="2371" w:val="left"/>
        </w:tabs>
        <w:numPr>
          <w:ilvl w:val="1"/>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Other Stock-Based Awards</w:t>
      </w:r>
      <w:r>
        <w:rPr>
          <w:rFonts w:ascii="Arial" w:cs="Arial" w:eastAsia="Arial" w:hAnsi="Arial"/>
          <w:sz w:val="17"/>
          <w:szCs w:val="17"/>
          <w:color w:val="auto"/>
        </w:rPr>
        <w:t>. The Committee is authorized, subject to limitations under applicable law, to grant to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the last sentence of Section 7(h)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81" w:lineRule="exact"/>
        <w:rPr>
          <w:rFonts w:ascii="Arial" w:cs="Arial" w:eastAsia="Arial" w:hAnsi="Arial"/>
          <w:sz w:val="17"/>
          <w:szCs w:val="17"/>
          <w:color w:val="auto"/>
        </w:rPr>
      </w:pPr>
    </w:p>
    <w:p>
      <w:pPr>
        <w:ind w:left="1560" w:hanging="775"/>
        <w:spacing w:after="0"/>
        <w:tabs>
          <w:tab w:leader="none" w:pos="156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69" w:lineRule="auto"/>
        <w:tabs>
          <w:tab w:leader="none" w:pos="2401" w:val="left"/>
        </w:tabs>
        <w:numPr>
          <w:ilvl w:val="1"/>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Stand-Alone, Additional, Tandem, and Substitute Awards</w:t>
      </w:r>
      <w:r>
        <w:rPr>
          <w:rFonts w:ascii="Arial" w:cs="Arial" w:eastAsia="Arial" w:hAnsi="Arial"/>
          <w:sz w:val="17"/>
          <w:szCs w:val="17"/>
          <w:color w:val="auto"/>
        </w:rPr>
        <w:t>. Awards granted under the Plan may, in the discretion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spacing w:after="0" w:line="179" w:lineRule="exact"/>
        <w:rPr>
          <w:rFonts w:ascii="Arial" w:cs="Arial" w:eastAsia="Arial" w:hAnsi="Arial"/>
          <w:sz w:val="17"/>
          <w:szCs w:val="17"/>
          <w:color w:val="auto"/>
        </w:rPr>
      </w:pPr>
    </w:p>
    <w:p>
      <w:pPr>
        <w:jc w:val="both"/>
        <w:ind w:firstLine="1561"/>
        <w:spacing w:after="0" w:line="264" w:lineRule="auto"/>
        <w:tabs>
          <w:tab w:leader="none" w:pos="2411" w:val="left"/>
        </w:tabs>
        <w:numPr>
          <w:ilvl w:val="1"/>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Term of Awards</w:t>
      </w:r>
      <w:r>
        <w:rPr>
          <w:rFonts w:ascii="Arial" w:cs="Arial" w:eastAsia="Arial" w:hAnsi="Arial"/>
          <w:sz w:val="18"/>
          <w:szCs w:val="18"/>
          <w:color w:val="auto"/>
        </w:rPr>
        <w:t>. The term of each Award shall be for such period as may be determined by the Committee; provided that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event shall the term of any Option or Stock Appreciation Right exceed a period of ten years (or in the case of an Incentive Stock Option such shorter term as may be required under Section 422 of the Code).</w:t>
      </w:r>
    </w:p>
    <w:p>
      <w:pPr>
        <w:spacing w:after="0" w:line="181" w:lineRule="exact"/>
        <w:rPr>
          <w:rFonts w:ascii="Arial" w:cs="Arial" w:eastAsia="Arial" w:hAnsi="Arial"/>
          <w:sz w:val="18"/>
          <w:szCs w:val="18"/>
          <w:color w:val="auto"/>
        </w:rPr>
      </w:pPr>
    </w:p>
    <w:p>
      <w:pPr>
        <w:jc w:val="both"/>
        <w:ind w:firstLine="1561"/>
        <w:spacing w:after="0" w:line="286" w:lineRule="auto"/>
        <w:tabs>
          <w:tab w:leader="none" w:pos="2401"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11(e)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71" w:lineRule="exact"/>
        <w:rPr>
          <w:rFonts w:ascii="Arial" w:cs="Arial" w:eastAsia="Arial" w:hAnsi="Arial"/>
          <w:sz w:val="16"/>
          <w:szCs w:val="16"/>
          <w:color w:val="auto"/>
        </w:rPr>
      </w:pPr>
    </w:p>
    <w:p>
      <w:pPr>
        <w:jc w:val="both"/>
        <w:ind w:firstLine="1561"/>
        <w:spacing w:after="0" w:line="297" w:lineRule="auto"/>
        <w:tabs>
          <w:tab w:leader="none" w:pos="2411" w:val="left"/>
        </w:tabs>
        <w:numPr>
          <w:ilvl w:val="1"/>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0" w:name="page71"/>
    <w:bookmarkEnd w:id="70"/>
    <w:p>
      <w:pPr>
        <w:ind w:firstLine="1561"/>
        <w:spacing w:after="0" w:line="277" w:lineRule="auto"/>
        <w:tabs>
          <w:tab w:leader="none" w:pos="2401"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The following provisions shall apply to any Award that is or may potentially be subject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of Section 409A of the Code.</w:t>
      </w:r>
    </w:p>
    <w:p>
      <w:pPr>
        <w:spacing w:after="0" w:line="170" w:lineRule="exact"/>
        <w:rPr>
          <w:rFonts w:ascii="Arial" w:cs="Arial" w:eastAsia="Arial" w:hAnsi="Arial"/>
          <w:sz w:val="18"/>
          <w:szCs w:val="18"/>
          <w:color w:val="auto"/>
        </w:rPr>
      </w:pPr>
    </w:p>
    <w:p>
      <w:pPr>
        <w:jc w:val="both"/>
        <w:ind w:firstLine="2338"/>
        <w:spacing w:after="0" w:line="276" w:lineRule="auto"/>
        <w:tabs>
          <w:tab w:leader="none" w:pos="3148"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spacing w:after="0" w:line="172" w:lineRule="exact"/>
        <w:rPr>
          <w:rFonts w:ascii="Arial" w:cs="Arial" w:eastAsia="Arial" w:hAnsi="Arial"/>
          <w:sz w:val="17"/>
          <w:szCs w:val="17"/>
          <w:color w:val="auto"/>
        </w:rPr>
      </w:pPr>
    </w:p>
    <w:p>
      <w:pPr>
        <w:ind w:firstLine="2338"/>
        <w:spacing w:after="0" w:line="277" w:lineRule="auto"/>
        <w:tabs>
          <w:tab w:leader="none" w:pos="3198" w:val="left"/>
        </w:tabs>
        <w:numPr>
          <w:ilvl w:val="1"/>
          <w:numId w:val="68"/>
        </w:numPr>
        <w:rPr>
          <w:rFonts w:ascii="Arial" w:cs="Arial" w:eastAsia="Arial" w:hAnsi="Arial"/>
          <w:sz w:val="18"/>
          <w:szCs w:val="18"/>
          <w:color w:val="auto"/>
        </w:rPr>
      </w:pPr>
      <w:r>
        <w:rPr>
          <w:rFonts w:ascii="Arial" w:cs="Arial" w:eastAsia="Arial" w:hAnsi="Arial"/>
          <w:sz w:val="18"/>
          <w:szCs w:val="18"/>
          <w:color w:val="auto"/>
        </w:rPr>
        <w:t>If any Award constitutes a Section 409A Plan, then the Award shall be subject to the following additional requirements, if and to the extent required to comply with Section 409A of the Code:</w:t>
      </w:r>
    </w:p>
    <w:p>
      <w:pPr>
        <w:spacing w:after="0" w:line="170" w:lineRule="exact"/>
        <w:rPr>
          <w:rFonts w:ascii="Arial" w:cs="Arial" w:eastAsia="Arial" w:hAnsi="Arial"/>
          <w:sz w:val="18"/>
          <w:szCs w:val="18"/>
          <w:color w:val="auto"/>
        </w:rPr>
      </w:pPr>
    </w:p>
    <w:p>
      <w:pPr>
        <w:jc w:val="both"/>
        <w:ind w:firstLine="3114"/>
        <w:spacing w:after="0" w:line="279" w:lineRule="auto"/>
        <w:tabs>
          <w:tab w:leader="none" w:pos="4004" w:val="left"/>
        </w:tabs>
        <w:numPr>
          <w:ilvl w:val="2"/>
          <w:numId w:val="68"/>
        </w:numPr>
        <w:rPr>
          <w:rFonts w:ascii="Arial" w:cs="Arial" w:eastAsia="Arial" w:hAnsi="Arial"/>
          <w:sz w:val="17"/>
          <w:szCs w:val="17"/>
          <w:color w:val="auto"/>
        </w:rPr>
      </w:pPr>
      <w:r>
        <w:rPr>
          <w:rFonts w:ascii="Arial" w:cs="Arial" w:eastAsia="Arial" w:hAnsi="Arial"/>
          <w:sz w:val="17"/>
          <w:szCs w:val="17"/>
          <w:color w:val="auto"/>
        </w:rPr>
        <w:t>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spacing w:after="0" w:line="171" w:lineRule="exact"/>
        <w:rPr>
          <w:rFonts w:ascii="Arial" w:cs="Arial" w:eastAsia="Arial" w:hAnsi="Arial"/>
          <w:sz w:val="17"/>
          <w:szCs w:val="17"/>
          <w:color w:val="auto"/>
        </w:rPr>
      </w:pPr>
    </w:p>
    <w:p>
      <w:pPr>
        <w:ind w:left="4000" w:hanging="886"/>
        <w:spacing w:after="0"/>
        <w:tabs>
          <w:tab w:leader="none" w:pos="4000"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time or schedule for any payment of the deferred compensation may not be accelerated, except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provided in applicable Treasury Regulations or other applicable guidance issued by the Internal Revenue Service;</w:t>
      </w:r>
    </w:p>
    <w:p>
      <w:pPr>
        <w:spacing w:after="0" w:line="210" w:lineRule="exact"/>
        <w:rPr>
          <w:rFonts w:ascii="Arial" w:cs="Arial" w:eastAsia="Arial" w:hAnsi="Arial"/>
          <w:sz w:val="16"/>
          <w:szCs w:val="16"/>
          <w:color w:val="auto"/>
        </w:rPr>
      </w:pPr>
    </w:p>
    <w:p>
      <w:pPr>
        <w:ind w:left="4000" w:hanging="886"/>
        <w:spacing w:after="0"/>
        <w:tabs>
          <w:tab w:leader="none" w:pos="4000" w:val="left"/>
        </w:tabs>
        <w:numPr>
          <w:ilvl w:val="2"/>
          <w:numId w:val="68"/>
        </w:numPr>
        <w:rPr>
          <w:rFonts w:ascii="Arial" w:cs="Arial" w:eastAsia="Arial" w:hAnsi="Arial"/>
          <w:sz w:val="16"/>
          <w:szCs w:val="16"/>
          <w:color w:val="auto"/>
        </w:rPr>
      </w:pPr>
      <w:r>
        <w:rPr>
          <w:rFonts w:ascii="Arial" w:cs="Arial" w:eastAsia="Arial" w:hAnsi="Arial"/>
          <w:sz w:val="16"/>
          <w:szCs w:val="16"/>
          <w:color w:val="auto"/>
        </w:rPr>
        <w:t>Any elections with respect to the deferral of such compensation or the time and form of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deferred compensation shall comply with the requirements of Section 409A(a)(4) of the Code; and</w:t>
      </w:r>
    </w:p>
    <w:p>
      <w:pPr>
        <w:spacing w:after="0" w:line="210" w:lineRule="exact"/>
        <w:rPr>
          <w:rFonts w:ascii="Arial" w:cs="Arial" w:eastAsia="Arial" w:hAnsi="Arial"/>
          <w:sz w:val="16"/>
          <w:szCs w:val="16"/>
          <w:color w:val="auto"/>
        </w:rPr>
      </w:pPr>
    </w:p>
    <w:p>
      <w:pPr>
        <w:jc w:val="both"/>
        <w:ind w:firstLine="3114"/>
        <w:spacing w:after="0" w:line="264" w:lineRule="auto"/>
        <w:tabs>
          <w:tab w:leader="none" w:pos="4004" w:val="left"/>
        </w:tabs>
        <w:numPr>
          <w:ilvl w:val="2"/>
          <w:numId w:val="68"/>
        </w:numPr>
        <w:rPr>
          <w:rFonts w:ascii="Arial" w:cs="Arial" w:eastAsia="Arial" w:hAnsi="Arial"/>
          <w:sz w:val="18"/>
          <w:szCs w:val="18"/>
          <w:color w:val="auto"/>
        </w:rPr>
      </w:pPr>
      <w:r>
        <w:rPr>
          <w:rFonts w:ascii="Arial" w:cs="Arial" w:eastAsia="Arial" w:hAnsi="Arial"/>
          <w:sz w:val="18"/>
          <w:szCs w:val="18"/>
          <w:color w:val="auto"/>
        </w:rPr>
        <w:t>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spacing w:after="0" w:line="181" w:lineRule="exact"/>
        <w:rPr>
          <w:sz w:val="20"/>
          <w:szCs w:val="20"/>
          <w:color w:val="auto"/>
        </w:rPr>
      </w:pPr>
    </w:p>
    <w:p>
      <w:pPr>
        <w:jc w:val="both"/>
        <w:ind w:firstLine="2338"/>
        <w:spacing w:after="0" w:line="255" w:lineRule="auto"/>
        <w:tabs>
          <w:tab w:leader="none" w:pos="3248"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spacing w:after="0" w:line="193" w:lineRule="exact"/>
        <w:rPr>
          <w:rFonts w:ascii="Arial" w:cs="Arial" w:eastAsia="Arial" w:hAnsi="Arial"/>
          <w:sz w:val="18"/>
          <w:szCs w:val="18"/>
          <w:color w:val="auto"/>
        </w:rPr>
      </w:pPr>
    </w:p>
    <w:p>
      <w:pPr>
        <w:ind w:left="2380" w:hanging="819"/>
        <w:spacing w:after="0"/>
        <w:tabs>
          <w:tab w:leader="none" w:pos="238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Clawback of Certain Compensation and Benefits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70" w:lineRule="auto"/>
        <w:tabs>
          <w:tab w:leader="none" w:pos="3220"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Plans) may be unilaterally amended by the Company, without the Participant’s consent, to the extent that the Company in its discretion determines to be necessary or appropriate to comply with any Clawback Policy.</w:t>
      </w:r>
    </w:p>
    <w:p>
      <w:pPr>
        <w:spacing w:after="0" w:line="178" w:lineRule="exact"/>
        <w:rPr>
          <w:sz w:val="20"/>
          <w:szCs w:val="20"/>
          <w:color w:val="auto"/>
        </w:rPr>
      </w:pPr>
    </w:p>
    <w:p>
      <w:pPr>
        <w:jc w:val="both"/>
        <w:ind w:firstLine="2338"/>
        <w:spacing w:after="0" w:line="257" w:lineRule="auto"/>
        <w:tabs>
          <w:tab w:leader="none" w:pos="31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color w:val="auto"/>
        </w:rPr>
        <w:t>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spacing w:after="0" w:line="187" w:lineRule="exact"/>
        <w:rPr>
          <w:sz w:val="20"/>
          <w:szCs w:val="20"/>
          <w:color w:val="auto"/>
        </w:rPr>
      </w:pPr>
    </w:p>
    <w:p>
      <w:pPr>
        <w:ind w:left="1560" w:hanging="775"/>
        <w:spacing w:after="0"/>
        <w:tabs>
          <w:tab w:leader="none" w:pos="1560"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64" w:lineRule="auto"/>
        <w:tabs>
          <w:tab w:leader="none" w:pos="2401" w:val="left"/>
        </w:tabs>
        <w:numPr>
          <w:ilvl w:val="2"/>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is, or is likely to be, as of the end of the tax year in which the Company would claim a tax deduction in connection with such Award, a Covered Employee, that the provisions of this Section 9 shall be applicable to such Award.</w:t>
      </w:r>
    </w:p>
    <w:p>
      <w:pPr>
        <w:spacing w:after="0" w:line="181" w:lineRule="exact"/>
        <w:rPr>
          <w:rFonts w:ascii="Arial" w:cs="Arial" w:eastAsia="Arial" w:hAnsi="Arial"/>
          <w:sz w:val="18"/>
          <w:szCs w:val="18"/>
          <w:color w:val="auto"/>
        </w:rPr>
      </w:pPr>
    </w:p>
    <w:p>
      <w:pPr>
        <w:jc w:val="both"/>
        <w:ind w:firstLine="1561"/>
        <w:spacing w:after="0" w:line="284" w:lineRule="auto"/>
        <w:tabs>
          <w:tab w:leader="none" w:pos="2411" w:val="left"/>
        </w:tabs>
        <w:numPr>
          <w:ilvl w:val="2"/>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9, then the payment or distribution thereof or lapsing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thereon and the distribution of cash, Shares or other 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 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w:t>
      </w:r>
    </w:p>
    <w:p>
      <w:pPr>
        <w:spacing w:after="0" w:line="2" w:lineRule="exact"/>
        <w:rPr>
          <w:rFonts w:ascii="Arial" w:cs="Arial" w:eastAsia="Arial" w:hAnsi="Arial"/>
          <w:sz w:val="16"/>
          <w:szCs w:val="16"/>
          <w:color w:val="auto"/>
        </w:rPr>
      </w:pPr>
    </w:p>
    <w:p>
      <w:pPr>
        <w:jc w:val="both"/>
        <w:ind w:firstLine="8"/>
        <w:spacing w:after="0" w:line="285" w:lineRule="auto"/>
        <w:tabs>
          <w:tab w:leader="none" w:pos="2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or income from operations;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(13) debt reduction; and/or (14) the Fair Market Value of a Share.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Except as otherwise specified by the Committee at the time the goals are set,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specified by the Committee at the time the goals are set.</w:t>
      </w:r>
    </w:p>
    <w:p>
      <w:pPr>
        <w:spacing w:after="0" w:line="172" w:lineRule="exact"/>
        <w:rPr>
          <w:rFonts w:ascii="Arial" w:cs="Arial" w:eastAsia="Arial" w:hAnsi="Arial"/>
          <w:sz w:val="16"/>
          <w:szCs w:val="16"/>
          <w:color w:val="auto"/>
        </w:rPr>
      </w:pPr>
    </w:p>
    <w:p>
      <w:pPr>
        <w:jc w:val="both"/>
        <w:ind w:firstLine="1561"/>
        <w:spacing w:after="0" w:line="257" w:lineRule="auto"/>
        <w:tabs>
          <w:tab w:leader="none" w:pos="2401" w:val="left"/>
        </w:tabs>
        <w:numPr>
          <w:ilvl w:val="2"/>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Performance Period; Timing For Establishing Performance Goals</w:t>
      </w:r>
      <w:r>
        <w:rPr>
          <w:rFonts w:ascii="Arial" w:cs="Arial" w:eastAsia="Arial" w:hAnsi="Arial"/>
          <w:sz w:val="18"/>
          <w:szCs w:val="18"/>
          <w:color w:val="auto"/>
        </w:rPr>
        <w:t>. Achievement of performance goals in respect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Awards subject to this Section 9 shall be measured over a Performance Period no shorter than 12 months and no longer than 5 years, as specified by the Committee. Performance goals shall be established not later than 90 days after the beginning of any Performance Period applicable to Performance Awards, subject to this Section 9, or at such other date as may be required or permitted for “performance-based compensation” under Section 162(m) of the Code.</w:t>
      </w:r>
    </w:p>
    <w:p>
      <w:pPr>
        <w:spacing w:after="0" w:line="188" w:lineRule="exact"/>
        <w:rPr>
          <w:rFonts w:ascii="Arial" w:cs="Arial" w:eastAsia="Arial" w:hAnsi="Arial"/>
          <w:sz w:val="18"/>
          <w:szCs w:val="18"/>
          <w:color w:val="auto"/>
        </w:rPr>
      </w:pPr>
    </w:p>
    <w:p>
      <w:pPr>
        <w:jc w:val="both"/>
        <w:ind w:firstLine="1561"/>
        <w:spacing w:after="0" w:line="259" w:lineRule="auto"/>
        <w:tabs>
          <w:tab w:leader="none" w:pos="2411" w:val="left"/>
        </w:tabs>
        <w:numPr>
          <w:ilvl w:val="2"/>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Awards subject to this Section 9, but may not exercise discretion to increase any such amount payable to a Covered Employee in respect of an Award subject to this Section 9. The Committee shall specify the circumstances in which such Awards shall be paid or forfeited in the event of termination of Continuous Service by the Participant prior to the end of a Performance Period or settlement of Awards.</w:t>
      </w:r>
    </w:p>
    <w:p>
      <w:pPr>
        <w:spacing w:after="0" w:line="186" w:lineRule="exact"/>
        <w:rPr>
          <w:rFonts w:ascii="Arial" w:cs="Arial" w:eastAsia="Arial" w:hAnsi="Arial"/>
          <w:sz w:val="18"/>
          <w:szCs w:val="18"/>
          <w:color w:val="auto"/>
        </w:rPr>
      </w:pPr>
    </w:p>
    <w:p>
      <w:pPr>
        <w:jc w:val="both"/>
        <w:ind w:firstLine="1561"/>
        <w:spacing w:after="0" w:line="259" w:lineRule="auto"/>
        <w:tabs>
          <w:tab w:leader="none" w:pos="2401" w:val="left"/>
        </w:tabs>
        <w:numPr>
          <w:ilvl w:val="2"/>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Committee Certification</w:t>
      </w:r>
      <w:r>
        <w:rPr>
          <w:rFonts w:ascii="Arial" w:cs="Arial" w:eastAsia="Arial" w:hAnsi="Arial"/>
          <w:sz w:val="18"/>
          <w:szCs w:val="18"/>
          <w:color w:val="auto"/>
        </w:rPr>
        <w:t>. No Participant shall receive any payment under the Plan that is subject to this Section 9 unless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has 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Section 162(m) of the Code.</w:t>
      </w:r>
    </w:p>
    <w:p>
      <w:pPr>
        <w:spacing w:after="0" w:line="186" w:lineRule="exact"/>
        <w:rPr>
          <w:rFonts w:ascii="Arial" w:cs="Arial" w:eastAsia="Arial" w:hAnsi="Arial"/>
          <w:sz w:val="18"/>
          <w:szCs w:val="18"/>
          <w:color w:val="auto"/>
        </w:rPr>
      </w:pPr>
    </w:p>
    <w:p>
      <w:pPr>
        <w:ind w:left="1660" w:hanging="875"/>
        <w:spacing w:after="0"/>
        <w:tabs>
          <w:tab w:leader="none" w:pos="1660"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93" w:lineRule="auto"/>
        <w:tabs>
          <w:tab w:leader="none" w:pos="2401" w:val="left"/>
        </w:tabs>
        <w:numPr>
          <w:ilvl w:val="2"/>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Effect of “Change in Control”</w:t>
      </w:r>
      <w:r>
        <w:rPr>
          <w:rFonts w:ascii="Arial" w:cs="Arial" w:eastAsia="Arial" w:hAnsi="Arial"/>
          <w:sz w:val="16"/>
          <w:szCs w:val="16"/>
          <w:color w:val="auto"/>
        </w:rPr>
        <w:t>. Unless otherwise provided in any employment or other agreement between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2" w:name="page73"/>
    <w:bookmarkEnd w:id="72"/>
    <w:p>
      <w:pPr>
        <w:jc w:val="both"/>
        <w:spacing w:after="0" w:line="285" w:lineRule="auto"/>
        <w:rPr>
          <w:sz w:val="20"/>
          <w:szCs w:val="20"/>
          <w:color w:val="auto"/>
        </w:rPr>
      </w:pPr>
      <w:r>
        <w:rPr>
          <w:rFonts w:ascii="Arial" w:cs="Arial" w:eastAsia="Arial" w:hAnsi="Arial"/>
          <w:sz w:val="16"/>
          <w:szCs w:val="16"/>
          <w:color w:val="auto"/>
        </w:rPr>
        <w:t>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10(b) shall be immediately redeemed by the Company (or its successor) for cash payable by the Company (or its successor) in an amount (the “Redemption Price Per Share”) equal to, as 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10(b) shall be immediately cancelled in exchange for cash payable by the Company for each Share subject to the cancelled Option equal to the amount, if any, by which the Redemption Price Per Share exceeds the exercise price per Share of the Option.</w:t>
      </w:r>
    </w:p>
    <w:p>
      <w:pPr>
        <w:spacing w:after="0" w:line="173" w:lineRule="exact"/>
        <w:rPr>
          <w:sz w:val="20"/>
          <w:szCs w:val="20"/>
          <w:color w:val="auto"/>
        </w:rPr>
      </w:pPr>
    </w:p>
    <w:p>
      <w:pPr>
        <w:ind w:firstLine="1561"/>
        <w:spacing w:after="0" w:line="342" w:lineRule="auto"/>
        <w:tabs>
          <w:tab w:leader="none" w:pos="2411"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 of “Change in Control”</w:t>
      </w:r>
      <w:r>
        <w:rPr>
          <w:rFonts w:ascii="Arial" w:cs="Arial" w:eastAsia="Arial" w:hAnsi="Arial"/>
          <w:sz w:val="16"/>
          <w:szCs w:val="16"/>
          <w:color w:val="auto"/>
        </w:rPr>
        <w:t>. Unless otherwise specified in any employment or other agreement for services between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Participant and the Company or any Subsidiary, or in an Award Agreement, a “Change in Control” shall mean the occurrence of any of the following:</w:t>
      </w:r>
    </w:p>
    <w:p>
      <w:pPr>
        <w:spacing w:after="0" w:line="123" w:lineRule="exact"/>
        <w:rPr>
          <w:rFonts w:ascii="Arial" w:cs="Arial" w:eastAsia="Arial" w:hAnsi="Arial"/>
          <w:sz w:val="16"/>
          <w:szCs w:val="16"/>
          <w:color w:val="auto"/>
        </w:rPr>
      </w:pPr>
    </w:p>
    <w:p>
      <w:pPr>
        <w:jc w:val="both"/>
        <w:ind w:firstLine="2338"/>
        <w:spacing w:after="0" w:line="290" w:lineRule="auto"/>
        <w:tabs>
          <w:tab w:leader="none" w:pos="3148" w:val="left"/>
        </w:tabs>
        <w:numPr>
          <w:ilvl w:val="1"/>
          <w:numId w:val="75"/>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10(b),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spacing w:after="0" w:line="166" w:lineRule="exact"/>
        <w:rPr>
          <w:rFonts w:ascii="Arial" w:cs="Arial" w:eastAsia="Arial" w:hAnsi="Arial"/>
          <w:sz w:val="16"/>
          <w:szCs w:val="16"/>
          <w:color w:val="auto"/>
        </w:rPr>
      </w:pPr>
    </w:p>
    <w:p>
      <w:pPr>
        <w:jc w:val="both"/>
        <w:ind w:firstLine="2338"/>
        <w:spacing w:after="0" w:line="255" w:lineRule="auto"/>
        <w:tabs>
          <w:tab w:leader="none" w:pos="3198" w:val="left"/>
        </w:tabs>
        <w:numPr>
          <w:ilvl w:val="1"/>
          <w:numId w:val="75"/>
        </w:numPr>
        <w:rPr>
          <w:rFonts w:ascii="Arial" w:cs="Arial" w:eastAsia="Arial" w:hAnsi="Arial"/>
          <w:sz w:val="18"/>
          <w:szCs w:val="18"/>
          <w:color w:val="auto"/>
        </w:rPr>
      </w:pPr>
      <w:r>
        <w:rPr>
          <w:rFonts w:ascii="Arial" w:cs="Arial" w:eastAsia="Arial" w:hAnsi="Arial"/>
          <w:sz w:val="18"/>
          <w:szCs w:val="18"/>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9" w:lineRule="exact"/>
        <w:rPr>
          <w:rFonts w:ascii="Arial" w:cs="Arial" w:eastAsia="Arial" w:hAnsi="Arial"/>
          <w:sz w:val="18"/>
          <w:szCs w:val="18"/>
          <w:color w:val="auto"/>
        </w:rPr>
      </w:pPr>
    </w:p>
    <w:p>
      <w:pPr>
        <w:jc w:val="both"/>
        <w:ind w:firstLine="2338"/>
        <w:spacing w:after="0" w:line="287" w:lineRule="auto"/>
        <w:tabs>
          <w:tab w:leader="none" w:pos="3248" w:val="left"/>
        </w:tabs>
        <w:numPr>
          <w:ilvl w:val="1"/>
          <w:numId w:val="75"/>
        </w:numPr>
        <w:rPr>
          <w:rFonts w:ascii="Arial" w:cs="Arial" w:eastAsia="Arial" w:hAnsi="Arial"/>
          <w:sz w:val="16"/>
          <w:szCs w:val="16"/>
          <w:color w:val="auto"/>
        </w:rPr>
      </w:pPr>
      <w:r>
        <w:rPr>
          <w:rFonts w:ascii="Arial" w:cs="Arial" w:eastAsia="Arial" w:hAnsi="Arial"/>
          <w:sz w:val="16"/>
          <w:szCs w:val="16"/>
          <w:color w:val="auto"/>
        </w:rPr>
        <w:t>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3" w:name="page74"/>
    <w:bookmarkEnd w:id="73"/>
    <w:p>
      <w:pPr>
        <w:jc w:val="both"/>
        <w:spacing w:after="0" w:line="257" w:lineRule="auto"/>
        <w:rPr>
          <w:sz w:val="20"/>
          <w:szCs w:val="20"/>
          <w:color w:val="auto"/>
        </w:rPr>
      </w:pPr>
      <w:r>
        <w:rPr>
          <w:rFonts w:ascii="Arial" w:cs="Arial" w:eastAsia="Arial" w:hAnsi="Arial"/>
          <w:sz w:val="18"/>
          <w:szCs w:val="18"/>
          <w:color w:val="auto"/>
        </w:rPr>
        <w:t>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spacing w:after="0" w:line="188" w:lineRule="exact"/>
        <w:rPr>
          <w:sz w:val="20"/>
          <w:szCs w:val="20"/>
          <w:color w:val="auto"/>
        </w:rPr>
      </w:pPr>
    </w:p>
    <w:p>
      <w:pPr>
        <w:ind w:left="3240" w:hanging="902"/>
        <w:spacing w:after="0"/>
        <w:tabs>
          <w:tab w:leader="none" w:pos="324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225" w:lineRule="exact"/>
        <w:rPr>
          <w:rFonts w:ascii="Arial" w:cs="Arial" w:eastAsia="Arial" w:hAnsi="Arial"/>
          <w:sz w:val="18"/>
          <w:szCs w:val="18"/>
          <w:color w:val="auto"/>
        </w:rPr>
      </w:pPr>
    </w:p>
    <w:p>
      <w:pPr>
        <w:ind w:left="1660" w:hanging="875"/>
        <w:spacing w:after="0"/>
        <w:tabs>
          <w:tab w:leader="none" w:pos="1660" w:val="left"/>
        </w:tabs>
        <w:numPr>
          <w:ilvl w:val="0"/>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1"/>
        <w:spacing w:after="0" w:line="255" w:lineRule="auto"/>
        <w:tabs>
          <w:tab w:leader="none" w:pos="2401"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Legal and Other Requirements</w:t>
      </w:r>
      <w:r>
        <w:rPr>
          <w:rFonts w:ascii="Arial" w:cs="Arial" w:eastAsia="Arial" w:hAnsi="Arial"/>
          <w:sz w:val="18"/>
          <w:szCs w:val="18"/>
          <w:color w:val="auto"/>
        </w:rPr>
        <w:t>. The Company may, to the extent deemed necessary or advisable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89" w:lineRule="exact"/>
        <w:rPr>
          <w:rFonts w:ascii="Arial" w:cs="Arial" w:eastAsia="Arial" w:hAnsi="Arial"/>
          <w:sz w:val="18"/>
          <w:szCs w:val="18"/>
          <w:color w:val="auto"/>
        </w:rPr>
      </w:pPr>
    </w:p>
    <w:p>
      <w:pPr>
        <w:jc w:val="both"/>
        <w:ind w:firstLine="1561"/>
        <w:spacing w:after="0" w:line="268" w:lineRule="auto"/>
        <w:tabs>
          <w:tab w:leader="none" w:pos="2411" w:val="left"/>
        </w:tabs>
        <w:numPr>
          <w:ilvl w:val="1"/>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Limits on Transferability; Beneficiaries</w:t>
      </w:r>
      <w:r>
        <w:rPr>
          <w:rFonts w:ascii="Arial" w:cs="Arial" w:eastAsia="Arial" w:hAnsi="Arial"/>
          <w:sz w:val="17"/>
          <w:szCs w:val="17"/>
          <w:color w:val="auto"/>
        </w:rPr>
        <w:t>. No Award or other right or interest granted under the Plan shall be pledged,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80" w:lineRule="exact"/>
        <w:rPr>
          <w:rFonts w:ascii="Arial" w:cs="Arial" w:eastAsia="Arial" w:hAnsi="Arial"/>
          <w:sz w:val="17"/>
          <w:szCs w:val="17"/>
          <w:color w:val="auto"/>
        </w:rPr>
      </w:pPr>
    </w:p>
    <w:p>
      <w:pPr>
        <w:ind w:left="2400" w:hanging="839"/>
        <w:spacing w:after="0"/>
        <w:tabs>
          <w:tab w:leader="none" w:pos="2400" w:val="left"/>
        </w:tabs>
        <w:numPr>
          <w:ilvl w:val="1"/>
          <w:numId w:val="77"/>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2338"/>
        <w:spacing w:after="0" w:line="268" w:lineRule="auto"/>
        <w:tabs>
          <w:tab w:leader="none" w:pos="3148" w:val="left"/>
        </w:tabs>
        <w:numPr>
          <w:ilvl w:val="2"/>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Adjustments to Awards</w:t>
      </w:r>
      <w:r>
        <w:rPr>
          <w:rFonts w:ascii="Arial" w:cs="Arial" w:eastAsia="Arial" w:hAnsi="Arial"/>
          <w:sz w:val="17"/>
          <w:szCs w:val="17"/>
          <w:color w:val="auto"/>
        </w:rPr>
        <w:t>. In the event that any extraordinary dividend or other distribution (whether in the form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Board Accounting Standards Codification Topic 718, Compensation - Stock Compensation or any other applicable accounting standard.</w:t>
      </w:r>
    </w:p>
    <w:p>
      <w:pPr>
        <w:spacing w:after="0" w:line="225" w:lineRule="exact"/>
        <w:rPr>
          <w:sz w:val="20"/>
          <w:szCs w:val="20"/>
          <w:color w:val="auto"/>
        </w:rPr>
      </w:pPr>
    </w:p>
    <w:p>
      <w:pPr>
        <w:ind w:left="3200" w:hanging="862"/>
        <w:spacing w:after="0"/>
        <w:tabs>
          <w:tab w:leader="none" w:pos="3200" w:val="left"/>
        </w:tabs>
        <w:numPr>
          <w:ilvl w:val="1"/>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in Case of Certain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3114"/>
        <w:spacing w:after="0" w:line="268" w:lineRule="auto"/>
        <w:tabs>
          <w:tab w:leader="none" w:pos="4004" w:val="left"/>
        </w:tabs>
        <w:numPr>
          <w:ilvl w:val="2"/>
          <w:numId w:val="78"/>
        </w:numPr>
        <w:rPr>
          <w:rFonts w:ascii="Arial" w:cs="Arial" w:eastAsia="Arial" w:hAnsi="Arial"/>
          <w:sz w:val="17"/>
          <w:szCs w:val="17"/>
          <w:color w:val="auto"/>
        </w:rPr>
      </w:pPr>
      <w:r>
        <w:rPr>
          <w:rFonts w:ascii="Arial" w:cs="Arial" w:eastAsia="Arial" w:hAnsi="Arial"/>
          <w:sz w:val="17"/>
          <w:szCs w:val="17"/>
          <w:color w:val="auto"/>
        </w:rPr>
        <w:t>In the event of any merger, consolidation or other reorganization in which the Company does not survive, or in the event of any Change in Control (and subject to the provisions of Section 10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11(c)(ii)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85" w:lineRule="exact"/>
        <w:rPr>
          <w:rFonts w:ascii="Arial" w:cs="Arial" w:eastAsia="Arial" w:hAnsi="Arial"/>
          <w:sz w:val="17"/>
          <w:szCs w:val="17"/>
          <w:color w:val="auto"/>
        </w:rPr>
      </w:pPr>
    </w:p>
    <w:p>
      <w:pPr>
        <w:jc w:val="both"/>
        <w:ind w:firstLine="3114"/>
        <w:spacing w:after="0" w:line="268" w:lineRule="auto"/>
        <w:tabs>
          <w:tab w:leader="none" w:pos="3994" w:val="left"/>
        </w:tabs>
        <w:numPr>
          <w:ilvl w:val="2"/>
          <w:numId w:val="78"/>
        </w:numPr>
        <w:rPr>
          <w:rFonts w:ascii="Arial" w:cs="Arial" w:eastAsia="Arial" w:hAnsi="Arial"/>
          <w:sz w:val="17"/>
          <w:szCs w:val="17"/>
          <w:color w:val="auto"/>
        </w:rPr>
      </w:pPr>
      <w:r>
        <w:rPr>
          <w:rFonts w:ascii="Arial" w:cs="Arial" w:eastAsia="Arial" w:hAnsi="Arial"/>
          <w:sz w:val="17"/>
          <w:szCs w:val="17"/>
          <w:color w:val="auto"/>
        </w:rPr>
        <w:t>For purposes of this Section 11(c)(ii),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spacing w:after="0" w:line="187" w:lineRule="exact"/>
        <w:rPr>
          <w:rFonts w:ascii="Arial" w:cs="Arial" w:eastAsia="Arial" w:hAnsi="Arial"/>
          <w:sz w:val="17"/>
          <w:szCs w:val="17"/>
          <w:color w:val="auto"/>
        </w:rPr>
      </w:pPr>
    </w:p>
    <w:p>
      <w:pPr>
        <w:jc w:val="both"/>
        <w:ind w:firstLine="2338"/>
        <w:spacing w:after="0" w:line="287" w:lineRule="auto"/>
        <w:tabs>
          <w:tab w:leader="none" w:pos="3248"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by the 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9(b)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72" w:lineRule="exact"/>
        <w:rPr>
          <w:rFonts w:ascii="Arial" w:cs="Arial" w:eastAsia="Arial" w:hAnsi="Arial"/>
          <w:sz w:val="16"/>
          <w:szCs w:val="16"/>
          <w:color w:val="auto"/>
        </w:rPr>
      </w:pPr>
    </w:p>
    <w:p>
      <w:pPr>
        <w:jc w:val="both"/>
        <w:ind w:firstLine="1561"/>
        <w:spacing w:after="0" w:line="255" w:lineRule="auto"/>
        <w:tabs>
          <w:tab w:leader="none" w:pos="2411"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Award Agreements</w:t>
      </w:r>
      <w:r>
        <w:rPr>
          <w:rFonts w:ascii="Arial" w:cs="Arial" w:eastAsia="Arial" w:hAnsi="Arial"/>
          <w:sz w:val="18"/>
          <w:szCs w:val="18"/>
          <w:color w:val="auto"/>
        </w:rPr>
        <w:t>. Each Award Agreement shall either be (i) in writing in a form approved by the Committee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5" w:name="page76"/>
    <w:bookmarkEnd w:id="75"/>
    <w:p>
      <w:pPr>
        <w:jc w:val="both"/>
        <w:ind w:firstLine="1561"/>
        <w:spacing w:after="0" w:line="290" w:lineRule="auto"/>
        <w:tabs>
          <w:tab w:leader="none" w:pos="2401"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minimum statutory withholding required with respect to that Award.</w:t>
      </w:r>
    </w:p>
    <w:p>
      <w:pPr>
        <w:spacing w:after="0" w:line="166" w:lineRule="exact"/>
        <w:rPr>
          <w:rFonts w:ascii="Arial" w:cs="Arial" w:eastAsia="Arial" w:hAnsi="Arial"/>
          <w:sz w:val="16"/>
          <w:szCs w:val="16"/>
          <w:color w:val="auto"/>
        </w:rPr>
      </w:pPr>
    </w:p>
    <w:p>
      <w:pPr>
        <w:jc w:val="both"/>
        <w:ind w:firstLine="1561"/>
        <w:spacing w:after="0" w:line="289" w:lineRule="auto"/>
        <w:tabs>
          <w:tab w:leader="none" w:pos="2381"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Changes to the Plan and Awards</w:t>
      </w:r>
      <w:r>
        <w:rPr>
          <w:rFonts w:ascii="Arial" w:cs="Arial" w:eastAsia="Arial" w:hAnsi="Arial"/>
          <w:sz w:val="16"/>
          <w:szCs w:val="16"/>
          <w:color w:val="auto"/>
        </w:rPr>
        <w:t>. The Board may amend, alter, suspend, discontinue or terminate the Plan, 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66" w:lineRule="exact"/>
        <w:rPr>
          <w:rFonts w:ascii="Arial" w:cs="Arial" w:eastAsia="Arial" w:hAnsi="Arial"/>
          <w:sz w:val="16"/>
          <w:szCs w:val="16"/>
          <w:color w:val="auto"/>
        </w:rPr>
      </w:pPr>
    </w:p>
    <w:p>
      <w:pPr>
        <w:jc w:val="both"/>
        <w:ind w:firstLine="1561"/>
        <w:spacing w:after="0" w:line="287" w:lineRule="auto"/>
        <w:tabs>
          <w:tab w:leader="none" w:pos="2411"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Rights Conferred Under Plan</w:t>
      </w:r>
      <w:r>
        <w:rPr>
          <w:rFonts w:ascii="Arial" w:cs="Arial" w:eastAsia="Arial" w:hAnsi="Arial"/>
          <w:sz w:val="16"/>
          <w:szCs w:val="16"/>
          <w:color w:val="auto"/>
        </w:rPr>
        <w:t>. Neither the Plan nor any action taken hereunder or under any Award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spacing w:after="0" w:line="168" w:lineRule="exact"/>
        <w:rPr>
          <w:rFonts w:ascii="Arial" w:cs="Arial" w:eastAsia="Arial" w:hAnsi="Arial"/>
          <w:sz w:val="16"/>
          <w:szCs w:val="16"/>
          <w:color w:val="auto"/>
        </w:rPr>
      </w:pPr>
    </w:p>
    <w:p>
      <w:pPr>
        <w:jc w:val="both"/>
        <w:ind w:firstLine="1561"/>
        <w:spacing w:after="0" w:line="291" w:lineRule="auto"/>
        <w:tabs>
          <w:tab w:leader="none" w:pos="2411"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Unfunded Status of Awards; Creation of Trusts</w:t>
      </w:r>
      <w:r>
        <w:rPr>
          <w:rFonts w:ascii="Arial" w:cs="Arial" w:eastAsia="Arial" w:hAnsi="Arial"/>
          <w:sz w:val="16"/>
          <w:szCs w:val="16"/>
          <w:color w:val="auto"/>
        </w:rPr>
        <w:t>. The Plan is intended to constitute an “unfunded” plan for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167" w:lineRule="exact"/>
        <w:rPr>
          <w:rFonts w:ascii="Arial" w:cs="Arial" w:eastAsia="Arial" w:hAnsi="Arial"/>
          <w:sz w:val="16"/>
          <w:szCs w:val="16"/>
          <w:color w:val="auto"/>
        </w:rPr>
      </w:pPr>
    </w:p>
    <w:p>
      <w:pPr>
        <w:jc w:val="both"/>
        <w:ind w:firstLine="1561"/>
        <w:spacing w:after="0" w:line="286" w:lineRule="auto"/>
        <w:tabs>
          <w:tab w:leader="none" w:pos="2371"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Nonexclusivity of the Plan</w:t>
      </w:r>
      <w:r>
        <w:rPr>
          <w:rFonts w:ascii="Arial" w:cs="Arial" w:eastAsia="Arial" w:hAnsi="Arial"/>
          <w:sz w:val="17"/>
          <w:szCs w:val="17"/>
          <w:color w:val="auto"/>
        </w:rPr>
        <w:t>. Neither the adoption of the Plan by the Board nor its submission to the shareholders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for approval 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165" w:lineRule="exact"/>
        <w:rPr>
          <w:rFonts w:ascii="Arial" w:cs="Arial" w:eastAsia="Arial" w:hAnsi="Arial"/>
          <w:sz w:val="17"/>
          <w:szCs w:val="17"/>
          <w:color w:val="auto"/>
        </w:rPr>
      </w:pPr>
    </w:p>
    <w:p>
      <w:pPr>
        <w:jc w:val="both"/>
        <w:ind w:firstLine="1561"/>
        <w:spacing w:after="0" w:line="257" w:lineRule="auto"/>
        <w:tabs>
          <w:tab w:leader="none" w:pos="2371"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6" w:name="page77"/>
    <w:bookmarkEnd w:id="76"/>
    <w:p>
      <w:pPr>
        <w:jc w:val="both"/>
        <w:ind w:firstLine="1561"/>
        <w:spacing w:after="0" w:line="264" w:lineRule="auto"/>
        <w:tabs>
          <w:tab w:leader="none" w:pos="2411"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Governing Law</w:t>
      </w:r>
      <w:r>
        <w:rPr>
          <w:rFonts w:ascii="Arial" w:cs="Arial" w:eastAsia="Arial" w:hAnsi="Arial"/>
          <w:sz w:val="18"/>
          <w:szCs w:val="18"/>
          <w:color w:val="auto"/>
        </w:rPr>
        <w:t>. Except as otherwise provided in any Award Agreement, the validity, construction and effect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rules and regulations under the Plan, and any Award Agreement shall be determined in accordance with the laws of the State of Delaware without giving effect to principles of conflict of laws, and applicable federal law.</w:t>
      </w:r>
    </w:p>
    <w:p>
      <w:pPr>
        <w:spacing w:after="0" w:line="181" w:lineRule="exact"/>
        <w:rPr>
          <w:rFonts w:ascii="Arial" w:cs="Arial" w:eastAsia="Arial" w:hAnsi="Arial"/>
          <w:sz w:val="18"/>
          <w:szCs w:val="18"/>
          <w:color w:val="auto"/>
        </w:rPr>
      </w:pPr>
    </w:p>
    <w:p>
      <w:pPr>
        <w:jc w:val="both"/>
        <w:ind w:firstLine="1561"/>
        <w:spacing w:after="0" w:line="286" w:lineRule="auto"/>
        <w:tabs>
          <w:tab w:leader="none" w:pos="2371"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Non-U.S. Laws</w:t>
      </w:r>
      <w:r>
        <w:rPr>
          <w:rFonts w:ascii="Arial" w:cs="Arial" w:eastAsia="Arial" w:hAnsi="Arial"/>
          <w:sz w:val="17"/>
          <w:szCs w:val="17"/>
          <w:color w:val="auto"/>
        </w:rPr>
        <w:t>. The Committee shall have the authority to adopt such modifications, procedures, and subplans as may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165" w:lineRule="exact"/>
        <w:rPr>
          <w:rFonts w:ascii="Arial" w:cs="Arial" w:eastAsia="Arial" w:hAnsi="Arial"/>
          <w:sz w:val="17"/>
          <w:szCs w:val="17"/>
          <w:color w:val="auto"/>
        </w:rPr>
      </w:pPr>
    </w:p>
    <w:p>
      <w:pPr>
        <w:jc w:val="both"/>
        <w:ind w:firstLine="1561"/>
        <w:spacing w:after="0" w:line="271" w:lineRule="auto"/>
        <w:tabs>
          <w:tab w:leader="none" w:pos="2461" w:val="left"/>
        </w:tabs>
        <w:numPr>
          <w:ilvl w:val="0"/>
          <w:numId w:val="81"/>
        </w:numPr>
        <w:rPr>
          <w:rFonts w:ascii="Arial" w:cs="Arial" w:eastAsia="Arial" w:hAnsi="Arial"/>
          <w:sz w:val="17"/>
          <w:szCs w:val="17"/>
          <w:color w:val="auto"/>
        </w:rPr>
      </w:pPr>
      <w:r>
        <w:rPr>
          <w:rFonts w:ascii="Arial" w:cs="Arial" w:eastAsia="Arial" w:hAnsi="Arial"/>
          <w:sz w:val="17"/>
          <w:szCs w:val="17"/>
          <w:b w:val="1"/>
          <w:bCs w:val="1"/>
          <w:i w:val="1"/>
          <w:iCs w:val="1"/>
          <w:color w:val="auto"/>
        </w:rPr>
        <w:t>Plan Effective Date and Shareholder Approval; Termination of Plan</w:t>
      </w:r>
      <w:r>
        <w:rPr>
          <w:rFonts w:ascii="Arial" w:cs="Arial" w:eastAsia="Arial" w:hAnsi="Arial"/>
          <w:sz w:val="17"/>
          <w:szCs w:val="17"/>
          <w:color w:val="auto"/>
        </w:rPr>
        <w:t>. The Plan shall become effective on the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Date which is the date 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78" w:lineRule="exact"/>
        <w:rPr>
          <w:rFonts w:ascii="Arial" w:cs="Arial" w:eastAsia="Arial" w:hAnsi="Arial"/>
          <w:sz w:val="17"/>
          <w:szCs w:val="17"/>
          <w:color w:val="auto"/>
        </w:rPr>
      </w:pPr>
    </w:p>
    <w:p>
      <w:pPr>
        <w:jc w:val="both"/>
        <w:ind w:firstLine="1561"/>
        <w:spacing w:after="0" w:line="264" w:lineRule="auto"/>
        <w:tabs>
          <w:tab w:leader="none" w:pos="2411"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Construction and Interpretation</w:t>
      </w:r>
      <w:r>
        <w:rPr>
          <w:rFonts w:ascii="Arial" w:cs="Arial" w:eastAsia="Arial" w:hAnsi="Arial"/>
          <w:sz w:val="18"/>
          <w:szCs w:val="18"/>
          <w:color w:val="auto"/>
        </w:rPr>
        <w:t>. Whenever used herein, nouns in the singular shall include the plural, and the masculine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 shall include the feminine gender. Headings of Articles and Sections hereof are inserted for convenience and reference and constitute no part of the Plan.</w:t>
      </w:r>
    </w:p>
    <w:p>
      <w:pPr>
        <w:spacing w:after="0" w:line="181" w:lineRule="exact"/>
        <w:rPr>
          <w:rFonts w:ascii="Arial" w:cs="Arial" w:eastAsia="Arial" w:hAnsi="Arial"/>
          <w:sz w:val="18"/>
          <w:szCs w:val="18"/>
          <w:color w:val="auto"/>
        </w:rPr>
      </w:pPr>
    </w:p>
    <w:p>
      <w:pPr>
        <w:jc w:val="both"/>
        <w:ind w:firstLine="1561"/>
        <w:spacing w:after="0" w:line="264" w:lineRule="auto"/>
        <w:tabs>
          <w:tab w:leader="none" w:pos="2411"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Severability</w:t>
      </w:r>
      <w:r>
        <w:rPr>
          <w:rFonts w:ascii="Arial" w:cs="Arial" w:eastAsia="Arial" w:hAnsi="Arial"/>
          <w:sz w:val="18"/>
          <w:szCs w:val="18"/>
          <w:color w:val="auto"/>
        </w:rPr>
        <w:t>. If any provision of the Plan or any Award Agreement shall be determined to be illegal or unenforceable by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court of law in any jurisdiction, the remaining provisions hereof and thereof shall be severable and enforceable in accordance with their terms, and all provisions shall remain enforceable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Non-GAAP Financial Measures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loss, adjusted net loss per diluted share and Adjusted EBITDA are non-GAAP measures. These non-GAAP measures are not presented in accordance with GAAP and should not be considered superior to or as a substitute for net loss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 Reconciliations of these non-GAAP measures are presented in the following tables (certain columns may not foot due to rounding):</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Adjusted net loss and adjusted net loss per diluted share</w:t>
      </w:r>
      <w:r>
        <w:rPr>
          <w:rFonts w:ascii="Arial" w:cs="Arial" w:eastAsia="Arial" w:hAnsi="Arial"/>
          <w:sz w:val="18"/>
          <w:szCs w:val="18"/>
          <w:color w:val="auto"/>
        </w:rPr>
        <w:t>. Adjusted net loss and adjusted net loss per share reflect an adjustment assuming a normal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26% and the add-back of CEO transition, corporate restructuring costs and impairment of assets. We have fully reserved against our deferred tax assets and, therefore, net loss is not reflective of earnings assuming a “normal” tax position. Adjusted net loss provides investors with a useful indication of the financial performance of the business, on a comparative basis, assuming a normalized tax rate of 26%. The following table is a reconciliation of net loss and net loss per diluted share (on a GAAP basis) to adjusted net loss and adjusted net loss per diluted share (on a non-GAAP basis) (certain amounts may not foot due to rounding):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Fiscal 2018</w:t>
            </w:r>
          </w:p>
        </w:tc>
        <w:tc>
          <w:tcPr>
            <w:tcW w:w="9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Fiscal 2017</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jc w:val="right"/>
              <w:ind w:right="208"/>
              <w:spacing w:after="0" w:line="137" w:lineRule="exact"/>
              <w:rPr>
                <w:sz w:val="20"/>
                <w:szCs w:val="20"/>
                <w:color w:val="auto"/>
              </w:rPr>
            </w:pPr>
            <w:r>
              <w:rPr>
                <w:rFonts w:ascii="Arial" w:cs="Arial" w:eastAsia="Arial" w:hAnsi="Arial"/>
                <w:sz w:val="14"/>
                <w:szCs w:val="14"/>
                <w:color w:val="auto"/>
                <w:w w:val="95"/>
              </w:rPr>
              <w:t>Per diluted</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ind w:right="208"/>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560" w:type="dxa"/>
            <w:vAlign w:val="bottom"/>
            <w:gridSpan w:val="4"/>
          </w:tcPr>
          <w:p>
            <w:pPr>
              <w:spacing w:after="0" w:line="154" w:lineRule="exact"/>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jc w:val="right"/>
              <w:ind w:right="488"/>
              <w:spacing w:after="0" w:line="154"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right"/>
              <w:ind w:right="680"/>
              <w:spacing w:after="0" w:line="154" w:lineRule="exact"/>
              <w:rPr>
                <w:sz w:val="20"/>
                <w:szCs w:val="20"/>
                <w:color w:val="auto"/>
              </w:rPr>
            </w:pPr>
            <w:r>
              <w:rPr>
                <w:rFonts w:ascii="Arial" w:cs="Arial" w:eastAsia="Arial" w:hAnsi="Arial"/>
                <w:sz w:val="14"/>
                <w:szCs w:val="14"/>
                <w:color w:val="auto"/>
              </w:rPr>
              <w:t>share</w:t>
            </w:r>
          </w:p>
        </w:tc>
        <w:tc>
          <w:tcPr>
            <w:tcW w:w="320" w:type="dxa"/>
            <w:vAlign w:val="bottom"/>
          </w:tcPr>
          <w:p>
            <w:pPr>
              <w:spacing w:after="0"/>
              <w:rPr>
                <w:sz w:val="13"/>
                <w:szCs w:val="13"/>
                <w:color w:val="auto"/>
              </w:rPr>
            </w:pPr>
          </w:p>
        </w:tc>
        <w:tc>
          <w:tcPr>
            <w:tcW w:w="840" w:type="dxa"/>
            <w:vAlign w:val="bottom"/>
          </w:tcPr>
          <w:p>
            <w:pPr>
              <w:jc w:val="right"/>
              <w:ind w:right="468"/>
              <w:spacing w:after="0" w:line="154"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540"/>
              <w:spacing w:after="0" w:line="154" w:lineRule="exact"/>
              <w:rPr>
                <w:sz w:val="20"/>
                <w:szCs w:val="20"/>
                <w:color w:val="auto"/>
              </w:rPr>
            </w:pPr>
            <w:r>
              <w:rPr>
                <w:rFonts w:ascii="Arial" w:cs="Arial" w:eastAsia="Arial" w:hAnsi="Arial"/>
                <w:sz w:val="14"/>
                <w:szCs w:val="14"/>
                <w:color w:val="auto"/>
              </w:rPr>
              <w:t>share</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Loss before tax provision, on a GAAP basis</w:t>
            </w:r>
          </w:p>
        </w:tc>
        <w:tc>
          <w:tcPr>
            <w:tcW w:w="6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(13,581)</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(0.28)</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(21,398)</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color w:val="auto"/>
              </w:rPr>
              <w:t>Provision (benefit) for income taxes</w:t>
            </w:r>
          </w:p>
        </w:tc>
        <w:tc>
          <w:tcPr>
            <w:tcW w:w="6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(50)</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(0.00)</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(2,572)</w:t>
            </w: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tcBorders>
              <w:top w:val="single" w:sz="8" w:color="CFF0FC"/>
            </w:tcBorders>
            <w:gridSpan w:val="3"/>
            <w:shd w:val="clear" w:color="auto" w:fill="CFF0FC"/>
          </w:tcPr>
          <w:p>
            <w:pPr>
              <w:spacing w:after="0" w:line="155" w:lineRule="exact"/>
              <w:rPr>
                <w:sz w:val="20"/>
                <w:szCs w:val="20"/>
                <w:color w:val="auto"/>
              </w:rPr>
            </w:pPr>
            <w:r>
              <w:rPr>
                <w:rFonts w:ascii="Arial" w:cs="Arial" w:eastAsia="Arial" w:hAnsi="Arial"/>
                <w:sz w:val="14"/>
                <w:szCs w:val="14"/>
                <w:color w:val="auto"/>
              </w:rPr>
              <w:t>Net loss, on a GAAP basis</w:t>
            </w:r>
          </w:p>
        </w:tc>
        <w:tc>
          <w:tcPr>
            <w:tcW w:w="3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(13,531)</w:t>
            </w:r>
          </w:p>
        </w:tc>
        <w:tc>
          <w:tcPr>
            <w:tcW w:w="24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(0.28)</w:t>
            </w:r>
          </w:p>
        </w:tc>
        <w:tc>
          <w:tcPr>
            <w:tcW w:w="240" w:type="dxa"/>
            <w:vAlign w:val="bottom"/>
            <w:tcBorders>
              <w:top w:val="single" w:sz="8" w:color="CFF0FC"/>
            </w:tcBorders>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(18,826)</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(0.39)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4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Add back:</w:t>
            </w:r>
          </w:p>
        </w:tc>
        <w:tc>
          <w:tcPr>
            <w:tcW w:w="3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4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540" w:type="dxa"/>
            <w:vAlign w:val="bottom"/>
            <w:gridSpan w:val="3"/>
          </w:tcPr>
          <w:p>
            <w:pPr>
              <w:spacing w:after="0" w:line="155" w:lineRule="exact"/>
              <w:rPr>
                <w:sz w:val="20"/>
                <w:szCs w:val="20"/>
                <w:color w:val="auto"/>
              </w:rPr>
            </w:pPr>
            <w:r>
              <w:rPr>
                <w:rFonts w:ascii="Arial" w:cs="Arial" w:eastAsia="Arial" w:hAnsi="Arial"/>
                <w:sz w:val="14"/>
                <w:szCs w:val="14"/>
                <w:color w:val="auto"/>
              </w:rPr>
              <w:t>Impairment of assets</w:t>
            </w:r>
          </w:p>
        </w:tc>
        <w:tc>
          <w:tcPr>
            <w:tcW w:w="660" w:type="dxa"/>
            <w:vAlign w:val="bottom"/>
            <w:gridSpan w:val="2"/>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4,579</w:t>
            </w:r>
          </w:p>
        </w:tc>
        <w:tc>
          <w:tcPr>
            <w:tcW w:w="24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0.09</w:t>
            </w:r>
          </w:p>
        </w:tc>
        <w:tc>
          <w:tcPr>
            <w:tcW w:w="240" w:type="dxa"/>
            <w:vAlign w:val="bottom"/>
          </w:tcPr>
          <w:p>
            <w:pPr>
              <w:spacing w:after="0"/>
              <w:rPr>
                <w:sz w:val="13"/>
                <w:szCs w:val="13"/>
                <w:color w:val="auto"/>
              </w:rPr>
            </w:pP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4,095</w:t>
            </w:r>
          </w:p>
        </w:tc>
        <w:tc>
          <w:tcPr>
            <w:tcW w:w="260" w:type="dxa"/>
            <w:vAlign w:val="bottom"/>
          </w:tcPr>
          <w:p>
            <w:pPr>
              <w:spacing w:after="0"/>
              <w:rPr>
                <w:sz w:val="13"/>
                <w:szCs w:val="13"/>
                <w:color w:val="auto"/>
              </w:rPr>
            </w:pPr>
          </w:p>
        </w:tc>
        <w:tc>
          <w:tcPr>
            <w:tcW w:w="220" w:type="dxa"/>
            <w:vAlign w:val="bottom"/>
            <w:gridSpan w:val="2"/>
          </w:tcPr>
          <w:p>
            <w:pPr>
              <w:jc w:val="right"/>
              <w:ind w:right="134"/>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Corporate restructuring</w:t>
            </w: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1,904</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0.04</w:t>
            </w:r>
          </w:p>
        </w:tc>
        <w:tc>
          <w:tcPr>
            <w:tcW w:w="2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tcPr>
          <w:p>
            <w:pPr>
              <w:spacing w:after="0"/>
              <w:rPr>
                <w:sz w:val="20"/>
                <w:szCs w:val="20"/>
                <w:color w:val="auto"/>
              </w:rPr>
            </w:pPr>
            <w:r>
              <w:rPr>
                <w:rFonts w:ascii="Arial" w:cs="Arial" w:eastAsia="Arial" w:hAnsi="Arial"/>
                <w:sz w:val="14"/>
                <w:szCs w:val="14"/>
                <w:color w:val="auto"/>
              </w:rPr>
              <w:t>CEO transition costs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2,404</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0.05</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Actual benefit for income taxes</w:t>
            </w:r>
          </w:p>
        </w:tc>
        <w:tc>
          <w:tcPr>
            <w:tcW w:w="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(50)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(0.00)</w:t>
            </w:r>
          </w:p>
        </w:tc>
        <w:tc>
          <w:tcPr>
            <w:tcW w:w="3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(2,572)</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56"/>
        </w:trPr>
        <w:tc>
          <w:tcPr>
            <w:tcW w:w="5560" w:type="dxa"/>
            <w:vAlign w:val="bottom"/>
            <w:gridSpan w:val="4"/>
          </w:tcPr>
          <w:p>
            <w:pPr>
              <w:spacing w:after="0" w:line="155" w:lineRule="exact"/>
              <w:rPr>
                <w:sz w:val="20"/>
                <w:szCs w:val="20"/>
                <w:color w:val="auto"/>
              </w:rPr>
            </w:pPr>
            <w:r>
              <w:rPr>
                <w:rFonts w:ascii="Arial" w:cs="Arial" w:eastAsia="Arial" w:hAnsi="Arial"/>
                <w:sz w:val="14"/>
                <w:szCs w:val="14"/>
                <w:color w:val="auto"/>
              </w:rPr>
              <w:t>Adjusted loss before income taxes</w:t>
            </w:r>
          </w:p>
        </w:tc>
        <w:tc>
          <w:tcPr>
            <w:tcW w:w="3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(4,694)</w:t>
            </w:r>
          </w:p>
        </w:tc>
        <w:tc>
          <w:tcPr>
            <w:tcW w:w="24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(0.10)</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(17,303)</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(0.35)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Income tax benefit, assuming a normalized tax rate of 26%, with no AMT Benefit in 2017</w:t>
            </w:r>
          </w:p>
        </w:tc>
        <w:tc>
          <w:tcPr>
            <w:tcW w:w="660" w:type="dxa"/>
            <w:vAlign w:val="bottom"/>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(1,220)</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(0.02)</w:t>
            </w: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(4,499)</w:t>
            </w:r>
          </w:p>
        </w:tc>
        <w:tc>
          <w:tcPr>
            <w:tcW w:w="220" w:type="dxa"/>
            <w:vAlign w:val="bottom"/>
            <w:gridSpan w:val="2"/>
            <w:shd w:val="clear" w:color="auto" w:fill="CFF0FC"/>
          </w:tcPr>
          <w:p>
            <w:pPr>
              <w:jc w:val="right"/>
              <w:ind w:right="134"/>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56"/>
        </w:trPr>
        <w:tc>
          <w:tcPr>
            <w:tcW w:w="5560" w:type="dxa"/>
            <w:vAlign w:val="bottom"/>
            <w:gridSpan w:val="4"/>
          </w:tcPr>
          <w:p>
            <w:pPr>
              <w:spacing w:after="0" w:line="155" w:lineRule="exact"/>
              <w:rPr>
                <w:sz w:val="20"/>
                <w:szCs w:val="20"/>
                <w:color w:val="auto"/>
              </w:rPr>
            </w:pPr>
            <w:r>
              <w:rPr>
                <w:rFonts w:ascii="Arial" w:cs="Arial" w:eastAsia="Arial" w:hAnsi="Arial"/>
                <w:sz w:val="14"/>
                <w:szCs w:val="14"/>
                <w:color w:val="auto"/>
              </w:rPr>
              <w:t>Adjusted net loss, non-GAAP basis</w:t>
            </w:r>
          </w:p>
        </w:tc>
        <w:tc>
          <w:tcPr>
            <w:tcW w:w="3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(3,474)</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(0.07)</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(12,804)</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Adjusted EBITDA is calculated as earnings before interest, taxes, depreciation and amortization and is before CEO transition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charges and any impairment of assets. We believe that adjusted EBITDA is useful to investors in evaluating our performance. With the significant capital investment we have made over the past several years in connection with DXL store openings, we have had increased levels of depreciation and interest, and therefore, management uses adjusted EBITDA as a key metric to measure profitability and economic productivity. The following table is a reconciliation of net loss to adjusted EBITDA:</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91"/>
              </w:rPr>
              <w:t>(in millions)</w:t>
            </w:r>
          </w:p>
        </w:tc>
        <w:tc>
          <w:tcPr>
            <w:tcW w:w="44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Fiscal 2018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Fiscal 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Fiscal 2016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Fiscal 2015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Fiscal 2014</w:t>
            </w:r>
          </w:p>
        </w:tc>
        <w:tc>
          <w:tcPr>
            <w:tcW w:w="0" w:type="dxa"/>
            <w:vAlign w:val="bottom"/>
          </w:tcPr>
          <w:p>
            <w:pPr>
              <w:spacing w:after="0"/>
              <w:rPr>
                <w:sz w:val="1"/>
                <w:szCs w:val="1"/>
                <w:color w:val="auto"/>
              </w:rPr>
            </w:pPr>
          </w:p>
        </w:tc>
      </w:tr>
      <w:tr>
        <w:trPr>
          <w:trHeight w:val="20"/>
        </w:trPr>
        <w:tc>
          <w:tcPr>
            <w:tcW w:w="5200" w:type="dxa"/>
            <w:vAlign w:val="bottom"/>
            <w:gridSpan w:val="3"/>
            <w:vMerge w:val="restart"/>
            <w:shd w:val="clear" w:color="auto" w:fill="CFF0FC"/>
          </w:tcPr>
          <w:p>
            <w:pPr>
              <w:spacing w:after="0"/>
              <w:rPr>
                <w:sz w:val="20"/>
                <w:szCs w:val="20"/>
                <w:color w:val="auto"/>
              </w:rPr>
            </w:pPr>
            <w:r>
              <w:rPr>
                <w:rFonts w:ascii="Arial" w:cs="Arial" w:eastAsia="Arial" w:hAnsi="Arial"/>
                <w:sz w:val="14"/>
                <w:szCs w:val="14"/>
                <w:color w:val="auto"/>
              </w:rPr>
              <w:t>Net loss, on a GAAP basis</w:t>
            </w:r>
          </w:p>
        </w:tc>
        <w:tc>
          <w:tcPr>
            <w:tcW w:w="60" w:type="dxa"/>
            <w:vAlign w:val="bottom"/>
            <w:vMerge w:val="restart"/>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5200" w:type="dxa"/>
            <w:vAlign w:val="bottom"/>
            <w:gridSpan w:val="3"/>
            <w:vMerge w:val="continue"/>
            <w:shd w:val="clear" w:color="auto" w:fill="CFF0FC"/>
          </w:tcPr>
          <w:p>
            <w:pPr>
              <w:spacing w:after="0"/>
              <w:rPr>
                <w:sz w:val="12"/>
                <w:szCs w:val="12"/>
                <w:color w:val="auto"/>
              </w:rPr>
            </w:pPr>
          </w:p>
        </w:tc>
        <w:tc>
          <w:tcPr>
            <w:tcW w:w="6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(18.8)</w:t>
            </w:r>
          </w:p>
        </w:tc>
        <w:tc>
          <w:tcPr>
            <w:tcW w:w="1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(2.3)</w:t>
            </w:r>
          </w:p>
        </w:tc>
        <w:tc>
          <w:tcPr>
            <w:tcW w:w="1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FF0FC"/>
          </w:tcPr>
          <w:p>
            <w:pPr>
              <w:jc w:val="right"/>
              <w:ind w:right="60"/>
              <w:spacing w:after="0" w:line="149" w:lineRule="exact"/>
              <w:rPr>
                <w:sz w:val="20"/>
                <w:szCs w:val="20"/>
                <w:color w:val="auto"/>
              </w:rPr>
            </w:pPr>
            <w:r>
              <w:rPr>
                <w:rFonts w:ascii="Arial" w:cs="Arial" w:eastAsia="Arial" w:hAnsi="Arial"/>
                <w:sz w:val="14"/>
                <w:szCs w:val="14"/>
                <w:color w:val="auto"/>
              </w:rPr>
              <w:t>(8.4)</w:t>
            </w:r>
          </w:p>
        </w:tc>
        <w:tc>
          <w:tcPr>
            <w:tcW w:w="12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40"/>
              <w:spacing w:after="0" w:line="149" w:lineRule="exact"/>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62"/>
        </w:trPr>
        <w:tc>
          <w:tcPr>
            <w:tcW w:w="5200" w:type="dxa"/>
            <w:vAlign w:val="bottom"/>
            <w:gridSpan w:val="3"/>
          </w:tcPr>
          <w:p>
            <w:pPr>
              <w:spacing w:after="0"/>
              <w:rPr>
                <w:sz w:val="20"/>
                <w:szCs w:val="20"/>
                <w:color w:val="auto"/>
              </w:rPr>
            </w:pPr>
            <w:r>
              <w:rPr>
                <w:rFonts w:ascii="Arial" w:cs="Arial" w:eastAsia="Arial" w:hAnsi="Arial"/>
                <w:sz w:val="14"/>
                <w:szCs w:val="14"/>
                <w:color w:val="auto"/>
              </w:rPr>
              <w:t>Add back: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Benefit (provision) for income taxes</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520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5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Depreciation and amortization</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(31.1)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(30.2)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Arial" w:cs="Arial" w:eastAsia="Arial" w:hAnsi="Arial"/>
                <w:sz w:val="14"/>
                <w:szCs w:val="14"/>
                <w:color w:val="auto"/>
              </w:rPr>
              <w:t>EBITDA</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Deduct: Income (loss) from discontinuing operations</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56"/>
        </w:trPr>
        <w:tc>
          <w:tcPr>
            <w:tcW w:w="5200" w:type="dxa"/>
            <w:vAlign w:val="bottom"/>
            <w:gridSpan w:val="3"/>
          </w:tcPr>
          <w:p>
            <w:pPr>
              <w:spacing w:after="0" w:line="155" w:lineRule="exact"/>
              <w:rPr>
                <w:sz w:val="20"/>
                <w:szCs w:val="20"/>
                <w:color w:val="auto"/>
              </w:rPr>
            </w:pPr>
            <w:r>
              <w:rPr>
                <w:rFonts w:ascii="Arial" w:cs="Arial" w:eastAsia="Arial" w:hAnsi="Arial"/>
                <w:sz w:val="14"/>
                <w:szCs w:val="14"/>
                <w:color w:val="auto"/>
              </w:rPr>
              <w:t>EBITDA from continuing operations</w:t>
            </w: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w:t>
            </w:r>
          </w:p>
        </w:tc>
        <w:tc>
          <w:tcPr>
            <w:tcW w:w="100" w:type="dxa"/>
            <w:vAlign w:val="bottom"/>
          </w:tcPr>
          <w:p>
            <w:pPr>
              <w:spacing w:after="0"/>
              <w:rPr>
                <w:sz w:val="13"/>
                <w:szCs w:val="13"/>
                <w:color w:val="auto"/>
              </w:rPr>
            </w:pPr>
          </w:p>
        </w:tc>
        <w:tc>
          <w:tcPr>
            <w:tcW w:w="2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20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Add back: Corporate restructuring</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00" w:type="dxa"/>
            <w:vAlign w:val="bottom"/>
            <w:gridSpan w:val="3"/>
          </w:tcPr>
          <w:p>
            <w:pPr>
              <w:spacing w:after="0"/>
              <w:rPr>
                <w:sz w:val="20"/>
                <w:szCs w:val="20"/>
                <w:color w:val="auto"/>
              </w:rPr>
            </w:pPr>
            <w:r>
              <w:rPr>
                <w:rFonts w:ascii="Arial" w:cs="Arial" w:eastAsia="Arial" w:hAnsi="Arial"/>
                <w:sz w:val="14"/>
                <w:szCs w:val="14"/>
                <w:color w:val="auto"/>
              </w:rPr>
              <w:t>Add back: CEO transition costs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200" w:type="dxa"/>
            <w:vAlign w:val="bottom"/>
            <w:gridSpan w:val="3"/>
            <w:shd w:val="clear" w:color="auto" w:fill="CFF0FC"/>
          </w:tcPr>
          <w:p>
            <w:pPr>
              <w:spacing w:after="0" w:line="149" w:lineRule="exact"/>
              <w:rPr>
                <w:sz w:val="20"/>
                <w:szCs w:val="20"/>
                <w:color w:val="auto"/>
              </w:rPr>
            </w:pPr>
            <w:r>
              <w:rPr>
                <w:rFonts w:ascii="Arial" w:cs="Arial" w:eastAsia="Arial" w:hAnsi="Arial"/>
                <w:sz w:val="14"/>
                <w:szCs w:val="14"/>
                <w:color w:val="auto"/>
              </w:rPr>
              <w:t>Add back: Impairment charges</w:t>
            </w:r>
          </w:p>
        </w:tc>
        <w:tc>
          <w:tcPr>
            <w:tcW w:w="60" w:type="dxa"/>
            <w:vAlign w:val="bottom"/>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w:t>
            </w:r>
            <w:r>
              <w:rPr>
                <w:rFonts w:ascii="Arial" w:cs="Arial" w:eastAsia="Arial" w:hAnsi="Arial"/>
                <w:sz w:val="14"/>
                <w:szCs w:val="14"/>
                <w:u w:val="single" w:color="auto"/>
                <w:color w:val="auto"/>
              </w:rPr>
              <w:t>6</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49" w:lineRule="exact"/>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Adjusted EBITDA</w:t>
            </w:r>
          </w:p>
        </w:tc>
        <w:tc>
          <w:tcPr>
            <w:tcW w:w="3420" w:type="dxa"/>
            <w:vAlign w:val="bottom"/>
            <w:tcBorders>
              <w:top w:val="single" w:sz="8" w:color="CFF0FC"/>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gridSpan w:val="2"/>
          </w:tcPr>
          <w:p>
            <w:pPr>
              <w:jc w:val="right"/>
              <w:ind w:right="9"/>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8" w:name="page79"/>
    <w:bookmarkEnd w:id="78"/>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Notice of 2019 Annual Meeting of</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auto"/>
        </w:rPr>
        <w:t>Stockholders and Proxy Statement</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Thursday, August 8, 2019</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9:30 A.M. EDT</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Destination XL Group,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Canton, Massachusetts 02021</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Please sign your proxy and</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473075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9" w:name="page80"/>
    <w:bookmarkEnd w:id="79"/>
    <w:p>
      <w:pPr>
        <w:jc w:val="center"/>
        <w:ind w:right="-1039"/>
        <w:spacing w:after="0"/>
        <w:rPr>
          <w:sz w:val="20"/>
          <w:szCs w:val="20"/>
          <w:color w:val="auto"/>
        </w:rPr>
      </w:pPr>
      <w:r>
        <w:rPr>
          <w:rFonts w:ascii="Arial" w:cs="Arial" w:eastAsia="Arial" w:hAnsi="Arial"/>
          <w:sz w:val="18"/>
          <w:szCs w:val="18"/>
          <w:b w:val="1"/>
          <w:bCs w:val="1"/>
          <w:color w:val="auto"/>
        </w:rPr>
        <w:t>ANNUAL MEETING OF STOCKHOLDERS OF</w:t>
      </w:r>
    </w:p>
    <w:p>
      <w:pPr>
        <w:spacing w:after="0" w:line="19" w:lineRule="exact"/>
        <w:rPr>
          <w:sz w:val="20"/>
          <w:szCs w:val="20"/>
          <w:color w:val="auto"/>
        </w:rPr>
      </w:pPr>
    </w:p>
    <w:p>
      <w:pPr>
        <w:jc w:val="center"/>
        <w:ind w:right="-1039"/>
        <w:spacing w:after="0"/>
        <w:rPr>
          <w:sz w:val="20"/>
          <w:szCs w:val="20"/>
          <w:color w:val="auto"/>
        </w:rPr>
      </w:pPr>
      <w:r>
        <w:rPr>
          <w:rFonts w:ascii="Arial" w:cs="Arial" w:eastAsia="Arial" w:hAnsi="Arial"/>
          <w:sz w:val="22"/>
          <w:szCs w:val="22"/>
          <w:color w:val="auto"/>
        </w:rPr>
        <w:t>DESTINATION XL GROUP, INC.</w:t>
      </w:r>
    </w:p>
    <w:p>
      <w:pPr>
        <w:jc w:val="center"/>
        <w:ind w:right="-1039"/>
        <w:spacing w:after="0"/>
        <w:rPr>
          <w:sz w:val="20"/>
          <w:szCs w:val="20"/>
          <w:color w:val="auto"/>
        </w:rPr>
      </w:pPr>
      <w:r>
        <w:rPr>
          <w:rFonts w:ascii="Arial" w:cs="Arial" w:eastAsia="Arial" w:hAnsi="Arial"/>
          <w:sz w:val="18"/>
          <w:szCs w:val="18"/>
          <w:b w:val="1"/>
          <w:bCs w:val="1"/>
          <w:color w:val="auto"/>
        </w:rPr>
        <w:t>August 8, 2019</w:t>
      </w:r>
    </w:p>
    <w:p>
      <w:pPr>
        <w:spacing w:after="0" w:line="88" w:lineRule="exact"/>
        <w:rPr>
          <w:sz w:val="20"/>
          <w:szCs w:val="20"/>
          <w:color w:val="auto"/>
        </w:rPr>
      </w:pPr>
    </w:p>
    <w:p>
      <w:pPr>
        <w:jc w:val="center"/>
        <w:ind w:right="-1039"/>
        <w:spacing w:after="0"/>
        <w:rPr>
          <w:sz w:val="20"/>
          <w:szCs w:val="20"/>
          <w:color w:val="auto"/>
        </w:rPr>
      </w:pPr>
      <w:r>
        <w:rPr>
          <w:rFonts w:ascii="Arial" w:cs="Arial" w:eastAsia="Arial" w:hAnsi="Arial"/>
          <w:sz w:val="11"/>
          <w:szCs w:val="11"/>
          <w:b w:val="1"/>
          <w:bCs w:val="1"/>
          <w:color w:val="auto"/>
        </w:rPr>
        <w:t>GO GREEN</w:t>
      </w:r>
    </w:p>
    <w:p>
      <w:pPr>
        <w:spacing w:after="0" w:line="2" w:lineRule="exact"/>
        <w:rPr>
          <w:sz w:val="20"/>
          <w:szCs w:val="20"/>
          <w:color w:val="auto"/>
        </w:rPr>
      </w:pPr>
    </w:p>
    <w:p>
      <w:pPr>
        <w:jc w:val="center"/>
        <w:ind w:right="-1039"/>
        <w:spacing w:after="0"/>
        <w:rPr>
          <w:sz w:val="20"/>
          <w:szCs w:val="20"/>
          <w:color w:val="auto"/>
        </w:rPr>
      </w:pPr>
      <w:r>
        <w:rPr>
          <w:rFonts w:ascii="Arial" w:cs="Arial" w:eastAsia="Arial" w:hAnsi="Arial"/>
          <w:sz w:val="11"/>
          <w:szCs w:val="11"/>
          <w:color w:val="auto"/>
        </w:rPr>
        <w:t>e-consent makes it easy to go paperless. With e-consent, you can quickly access your proxy material, statements and other eligible documents online, while</w:t>
      </w:r>
    </w:p>
    <w:p>
      <w:pPr>
        <w:jc w:val="center"/>
        <w:ind w:right="-1039"/>
        <w:spacing w:after="0"/>
        <w:rPr>
          <w:sz w:val="20"/>
          <w:szCs w:val="20"/>
          <w:color w:val="auto"/>
        </w:rPr>
      </w:pPr>
      <w:r>
        <w:rPr>
          <w:rFonts w:ascii="Arial" w:cs="Arial" w:eastAsia="Arial" w:hAnsi="Arial"/>
          <w:sz w:val="11"/>
          <w:szCs w:val="11"/>
          <w:color w:val="auto"/>
        </w:rPr>
        <w:t xml:space="preserve">reducing costs, clutter and paper waste. Enroll today via </w:t>
      </w:r>
      <w:r>
        <w:rPr>
          <w:rFonts w:ascii="Arial" w:cs="Arial" w:eastAsia="Arial" w:hAnsi="Arial"/>
          <w:sz w:val="11"/>
          <w:szCs w:val="11"/>
          <w:u w:val="single" w:color="auto"/>
          <w:color w:val="auto"/>
        </w:rPr>
        <w:t>www.astfinancial.com</w:t>
      </w:r>
      <w:r>
        <w:rPr>
          <w:rFonts w:ascii="Arial" w:cs="Arial" w:eastAsia="Arial" w:hAnsi="Arial"/>
          <w:sz w:val="11"/>
          <w:szCs w:val="11"/>
          <w:color w:val="auto"/>
        </w:rPr>
        <w:t xml:space="preserve"> to enjoy online access.</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5"/>
          <w:szCs w:val="15"/>
          <w:u w:val="single" w:color="auto"/>
          <w:color w:val="auto"/>
        </w:rPr>
        <w:t>Important Notice Regarding Internet Availability of Proxy Materials for the Annual Meeting of Stockholders to be Held on August 8, 2019</w:t>
      </w:r>
      <w:r>
        <w:rPr>
          <w:rFonts w:ascii="Arial" w:cs="Arial" w:eastAsia="Arial" w:hAnsi="Arial"/>
          <w:sz w:val="15"/>
          <w:szCs w:val="15"/>
          <w:color w:val="auto"/>
        </w:rPr>
        <w:t>:</w:t>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 xml:space="preserve">The Proxy Statement and 2019 Annual Report to Stockholders are available at </w:t>
      </w:r>
      <w:r>
        <w:rPr>
          <w:rFonts w:ascii="Arial" w:cs="Arial" w:eastAsia="Arial" w:hAnsi="Arial"/>
          <w:sz w:val="15"/>
          <w:szCs w:val="15"/>
          <w:u w:val="single" w:color="auto"/>
          <w:color w:val="auto"/>
        </w:rPr>
        <w:t>https://investor.dxl.com/financial-information/annual-reports</w:t>
      </w:r>
    </w:p>
    <w:p>
      <w:pPr>
        <w:spacing w:after="0" w:line="166" w:lineRule="exact"/>
        <w:rPr>
          <w:sz w:val="20"/>
          <w:szCs w:val="20"/>
          <w:color w:val="auto"/>
        </w:rPr>
      </w:pPr>
    </w:p>
    <w:p>
      <w:pPr>
        <w:jc w:val="center"/>
        <w:ind w:right="-1039"/>
        <w:spacing w:after="0"/>
        <w:rPr>
          <w:sz w:val="20"/>
          <w:szCs w:val="20"/>
          <w:color w:val="auto"/>
        </w:rPr>
      </w:pPr>
      <w:r>
        <w:rPr>
          <w:rFonts w:ascii="Arial" w:cs="Arial" w:eastAsia="Arial" w:hAnsi="Arial"/>
          <w:sz w:val="14"/>
          <w:szCs w:val="14"/>
          <w:color w:val="auto"/>
        </w:rPr>
        <w:t>PLEASE SIGN, DATE AND MAIL</w:t>
      </w:r>
    </w:p>
    <w:p>
      <w:pPr>
        <w:jc w:val="center"/>
        <w:ind w:right="-1039"/>
        <w:spacing w:after="0" w:line="221" w:lineRule="auto"/>
        <w:rPr>
          <w:sz w:val="20"/>
          <w:szCs w:val="20"/>
          <w:color w:val="auto"/>
        </w:rPr>
      </w:pPr>
      <w:r>
        <w:rPr>
          <w:rFonts w:ascii="Arial" w:cs="Arial" w:eastAsia="Arial" w:hAnsi="Arial"/>
          <w:sz w:val="14"/>
          <w:szCs w:val="14"/>
          <w:color w:val="auto"/>
        </w:rPr>
        <w:t>YOUR PROXY CARD IN THE ENVELOPE</w:t>
      </w:r>
    </w:p>
    <w:p>
      <w:pPr>
        <w:jc w:val="center"/>
        <w:ind w:right="-1039"/>
        <w:spacing w:after="0" w:line="229" w:lineRule="auto"/>
        <w:rPr>
          <w:sz w:val="20"/>
          <w:szCs w:val="20"/>
          <w:color w:val="auto"/>
        </w:rPr>
      </w:pPr>
      <w:r>
        <w:rPr>
          <w:rFonts w:ascii="Arial" w:cs="Arial" w:eastAsia="Arial" w:hAnsi="Arial"/>
          <w:sz w:val="14"/>
          <w:szCs w:val="14"/>
          <w:color w:val="auto"/>
        </w:rPr>
        <w:t>PROVIDED AS SOON AS POSSIBLE.</w:t>
      </w:r>
    </w:p>
    <w:p>
      <w:pPr>
        <w:ind w:left="4180"/>
        <w:spacing w:after="0"/>
        <w:rPr>
          <w:sz w:val="20"/>
          <w:szCs w:val="20"/>
          <w:color w:val="auto"/>
        </w:rPr>
      </w:pPr>
      <w:r>
        <w:rPr>
          <w:rFonts w:ascii="Arial" w:cs="Arial" w:eastAsia="Arial" w:hAnsi="Arial"/>
          <w:sz w:val="11"/>
          <w:szCs w:val="11"/>
          <w:color w:val="auto"/>
        </w:rPr>
        <w:t>Please detach along perforated line and mail in the envelope provided</w:t>
      </w:r>
      <w:r>
        <w:rPr>
          <w:rFonts w:ascii="Arial" w:cs="Arial" w:eastAsia="Arial" w:hAnsi="Arial"/>
          <w:sz w:val="8"/>
          <w:szCs w:val="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150495</wp:posOffset>
            </wp:positionV>
            <wp:extent cx="7250430" cy="3130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13055"/>
                    </a:xfrm>
                    <a:prstGeom prst="rect">
                      <a:avLst/>
                    </a:prstGeom>
                    <a:noFill/>
                  </pic:spPr>
                </pic:pic>
              </a:graphicData>
            </a:graphic>
          </wp:anchor>
        </w:drawing>
      </w:r>
    </w:p>
    <w:p>
      <w:pPr>
        <w:spacing w:after="0" w:line="228" w:lineRule="exact"/>
        <w:rPr>
          <w:sz w:val="20"/>
          <w:szCs w:val="20"/>
          <w:color w:val="auto"/>
        </w:rPr>
      </w:pPr>
    </w:p>
    <w:p>
      <w:pPr>
        <w:jc w:val="center"/>
        <w:ind w:right="-1039"/>
        <w:spacing w:after="0"/>
        <w:rPr>
          <w:sz w:val="20"/>
          <w:szCs w:val="20"/>
          <w:color w:val="auto"/>
        </w:rPr>
      </w:pPr>
      <w:r>
        <w:rPr>
          <w:rFonts w:ascii="Arial" w:cs="Arial" w:eastAsia="Arial" w:hAnsi="Arial"/>
          <w:sz w:val="13"/>
          <w:szCs w:val="13"/>
          <w:b w:val="1"/>
          <w:bCs w:val="1"/>
          <w:color w:val="auto"/>
        </w:rPr>
        <w:t>THE BOARD OF DIRECTORS RECOMMENDS A VOTE “FOR” THE ELECTION OF DIRECTORS,</w:t>
      </w:r>
    </w:p>
    <w:p>
      <w:pPr>
        <w:jc w:val="center"/>
        <w:ind w:right="-1039"/>
        <w:spacing w:after="0" w:line="231" w:lineRule="auto"/>
        <w:rPr>
          <w:sz w:val="20"/>
          <w:szCs w:val="20"/>
          <w:color w:val="auto"/>
        </w:rPr>
      </w:pPr>
      <w:r>
        <w:rPr>
          <w:rFonts w:ascii="Arial" w:cs="Arial" w:eastAsia="Arial" w:hAnsi="Arial"/>
          <w:sz w:val="13"/>
          <w:szCs w:val="13"/>
          <w:b w:val="1"/>
          <w:bCs w:val="1"/>
          <w:color w:val="auto"/>
        </w:rPr>
        <w:t>AND “FOR” PROPOSALS 2, 3 AND 4.</w:t>
      </w:r>
    </w:p>
    <w:p>
      <w:pPr>
        <w:ind w:left="1060"/>
        <w:spacing w:after="0" w:line="138" w:lineRule="exact"/>
        <w:rPr>
          <w:sz w:val="20"/>
          <w:szCs w:val="20"/>
          <w:color w:val="auto"/>
        </w:rPr>
      </w:pPr>
      <w:r>
        <w:rPr>
          <w:rFonts w:ascii="Arial" w:cs="Arial" w:eastAsia="Arial" w:hAnsi="Arial"/>
          <w:sz w:val="12"/>
          <w:szCs w:val="12"/>
          <w:b w:val="1"/>
          <w:bCs w:val="1"/>
          <w:color w:val="auto"/>
        </w:rPr>
        <w:t xml:space="preserve">PLEASE SIGN, DATE AND RETURN PROMPTLY IN THE ENCLOSED ENVELOPE. PLEASE MARK YOUR VOTE IN BLUE OR BLACK INK AS SHOWN HERE </w:t>
      </w: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246620" cy="52743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5274310"/>
                    </a:xfrm>
                    <a:prstGeom prst="rect">
                      <a:avLst/>
                    </a:prstGeom>
                    <a:noFill/>
                  </pic:spPr>
                </pic:pic>
              </a:graphicData>
            </a:graphic>
          </wp:anchor>
        </w:drawing>
      </w:r>
    </w:p>
    <w:p>
      <w:pPr>
        <w:spacing w:after="0" w:line="166" w:lineRule="exact"/>
        <w:rPr>
          <w:sz w:val="20"/>
          <w:szCs w:val="20"/>
          <w:color w:val="auto"/>
        </w:rPr>
      </w:pPr>
    </w:p>
    <w:p>
      <w:pPr>
        <w:ind w:left="1740" w:right="2380" w:hanging="1414"/>
        <w:spacing w:after="0" w:line="259" w:lineRule="auto"/>
        <w:tabs>
          <w:tab w:leader="none" w:pos="1740" w:val="left"/>
        </w:tabs>
        <w:numPr>
          <w:ilvl w:val="0"/>
          <w:numId w:val="82"/>
        </w:numPr>
        <w:rPr>
          <w:rFonts w:ascii="Arial" w:cs="Arial" w:eastAsia="Arial" w:hAnsi="Arial"/>
          <w:sz w:val="14"/>
          <w:szCs w:val="14"/>
          <w:color w:val="auto"/>
        </w:rPr>
      </w:pPr>
      <w:r>
        <w:rPr>
          <w:rFonts w:ascii="Arial" w:cs="Arial" w:eastAsia="Arial" w:hAnsi="Arial"/>
          <w:sz w:val="14"/>
          <w:szCs w:val="14"/>
          <w:b w:val="1"/>
          <w:bCs w:val="1"/>
          <w:color w:val="auto"/>
        </w:rPr>
        <w:t xml:space="preserve">Election of Directors. </w:t>
      </w:r>
      <w:r>
        <w:rPr>
          <w:rFonts w:ascii="Arial" w:cs="Arial" w:eastAsia="Arial" w:hAnsi="Arial"/>
          <w:sz w:val="14"/>
          <w:szCs w:val="14"/>
          <w:color w:val="auto"/>
        </w:rPr>
        <w:t>THE BOARD OF DIRECTORS RECOMMENDS A VOTE “FOR” EACH OF THE</w:t>
      </w:r>
      <w:r>
        <w:rPr>
          <w:rFonts w:ascii="Arial" w:cs="Arial" w:eastAsia="Arial" w:hAnsi="Arial"/>
          <w:sz w:val="14"/>
          <w:szCs w:val="14"/>
          <w:b w:val="1"/>
          <w:bCs w:val="1"/>
          <w:color w:val="auto"/>
        </w:rPr>
        <w:t xml:space="preserve"> </w:t>
      </w:r>
      <w:r>
        <w:rPr>
          <w:rFonts w:ascii="Arial" w:cs="Arial" w:eastAsia="Arial" w:hAnsi="Arial"/>
          <w:sz w:val="14"/>
          <w:szCs w:val="14"/>
          <w:color w:val="auto"/>
        </w:rPr>
        <w:t>NOMINEES NAMED BELOW.</w:t>
      </w:r>
    </w:p>
    <w:p>
      <w:pPr>
        <w:spacing w:after="0" w:line="7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327"/>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John E. Kyees</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Harvey S. Kanter</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Jack Boyle</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Lionel F. Conacher</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Seymour Holtzman</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Willem Mesdag</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Ward K. Mooney</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Mitchell S. Presser</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4"/>
                <w:szCs w:val="24"/>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Ivy Ross</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2.</w:t>
            </w:r>
          </w:p>
        </w:tc>
        <w:tc>
          <w:tcPr>
            <w:tcW w:w="7040" w:type="dxa"/>
            <w:vAlign w:val="bottom"/>
          </w:tcPr>
          <w:p>
            <w:pPr>
              <w:ind w:left="660"/>
              <w:spacing w:after="0"/>
              <w:rPr>
                <w:sz w:val="20"/>
                <w:szCs w:val="20"/>
                <w:color w:val="auto"/>
              </w:rPr>
            </w:pPr>
            <w:r>
              <w:rPr>
                <w:rFonts w:ascii="Arial" w:cs="Arial" w:eastAsia="Arial" w:hAnsi="Arial"/>
                <w:sz w:val="14"/>
                <w:szCs w:val="14"/>
                <w:b w:val="1"/>
                <w:bCs w:val="1"/>
                <w:color w:val="auto"/>
              </w:rPr>
              <w:t xml:space="preserve">To approve, on an advisory basis, named executive officer compensation. </w:t>
            </w:r>
            <w:r>
              <w:rPr>
                <w:rFonts w:ascii="Arial" w:cs="Arial" w:eastAsia="Arial" w:hAnsi="Arial"/>
                <w:sz w:val="14"/>
                <w:szCs w:val="14"/>
                <w:color w:val="auto"/>
              </w:rPr>
              <w:t>THE BOARD OF</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DIRECTORS RECOMMENDS A VOTE “FOR” PROPOSAL 2.</w:t>
            </w: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600" w:type="dxa"/>
            <w:vAlign w:val="bottom"/>
          </w:tcPr>
          <w:p>
            <w:pPr>
              <w:jc w:val="center"/>
              <w:ind w:right="8"/>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tcPr>
          <w:p>
            <w:pPr>
              <w:jc w:val="center"/>
              <w:ind w:left="10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62"/>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3.</w:t>
            </w:r>
          </w:p>
        </w:tc>
        <w:tc>
          <w:tcPr>
            <w:tcW w:w="7040" w:type="dxa"/>
            <w:vAlign w:val="bottom"/>
          </w:tcPr>
          <w:p>
            <w:pPr>
              <w:ind w:left="660"/>
              <w:spacing w:after="0"/>
              <w:rPr>
                <w:sz w:val="20"/>
                <w:szCs w:val="20"/>
                <w:color w:val="auto"/>
              </w:rPr>
            </w:pPr>
            <w:r>
              <w:rPr>
                <w:rFonts w:ascii="Arial" w:cs="Arial" w:eastAsia="Arial" w:hAnsi="Arial"/>
                <w:sz w:val="14"/>
                <w:szCs w:val="14"/>
                <w:b w:val="1"/>
                <w:bCs w:val="1"/>
                <w:color w:val="auto"/>
                <w:w w:val="96"/>
              </w:rPr>
              <w:t>To approve amendments to the Company’s 2016 Incentive Compensation Plan to increase the total</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7040" w:type="dxa"/>
            <w:vAlign w:val="bottom"/>
          </w:tcPr>
          <w:p>
            <w:pPr>
              <w:ind w:left="660"/>
              <w:spacing w:after="0" w:line="143" w:lineRule="exact"/>
              <w:rPr>
                <w:sz w:val="20"/>
                <w:szCs w:val="20"/>
                <w:color w:val="auto"/>
              </w:rPr>
            </w:pPr>
            <w:r>
              <w:rPr>
                <w:rFonts w:ascii="Arial" w:cs="Arial" w:eastAsia="Arial" w:hAnsi="Arial"/>
                <w:sz w:val="14"/>
                <w:szCs w:val="14"/>
                <w:b w:val="1"/>
                <w:bCs w:val="1"/>
                <w:color w:val="auto"/>
                <w:w w:val="94"/>
              </w:rPr>
              <w:t xml:space="preserve">number of shares of common stock authorized for issuance under the plan by 2,800,000 shares. </w:t>
            </w:r>
            <w:r>
              <w:rPr>
                <w:rFonts w:ascii="Arial" w:cs="Arial" w:eastAsia="Arial" w:hAnsi="Arial"/>
                <w:sz w:val="14"/>
                <w:szCs w:val="14"/>
                <w:color w:val="auto"/>
                <w:w w:val="94"/>
              </w:rPr>
              <w:t>THE</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760" w:type="dxa"/>
            <w:vAlign w:val="bottom"/>
          </w:tcPr>
          <w:p>
            <w:pPr>
              <w:spacing w:after="0"/>
              <w:rPr>
                <w:sz w:val="15"/>
                <w:szCs w:val="15"/>
                <w:color w:val="auto"/>
              </w:rPr>
            </w:pPr>
          </w:p>
        </w:tc>
        <w:tc>
          <w:tcPr>
            <w:tcW w:w="7040" w:type="dxa"/>
            <w:vAlign w:val="bottom"/>
          </w:tcPr>
          <w:p>
            <w:pPr>
              <w:ind w:left="660"/>
              <w:spacing w:after="0"/>
              <w:rPr>
                <w:sz w:val="20"/>
                <w:szCs w:val="20"/>
                <w:color w:val="auto"/>
              </w:rPr>
            </w:pPr>
            <w:r>
              <w:rPr>
                <w:rFonts w:ascii="Arial" w:cs="Arial" w:eastAsia="Arial" w:hAnsi="Arial"/>
                <w:sz w:val="14"/>
                <w:szCs w:val="14"/>
                <w:color w:val="auto"/>
              </w:rPr>
              <w:t>BOARD OF DIRECTORS RECOMMENDS A VOTE “FOR” PROPOSAL 3.</w:t>
            </w:r>
          </w:p>
        </w:tc>
        <w:tc>
          <w:tcPr>
            <w:tcW w:w="6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For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660" w:type="dxa"/>
            <w:vAlign w:val="bottom"/>
            <w:vMerge w:val="restart"/>
          </w:tcPr>
          <w:p>
            <w:pPr>
              <w:jc w:val="center"/>
              <w:ind w:left="108"/>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760" w:type="dxa"/>
            <w:vAlign w:val="bottom"/>
          </w:tcPr>
          <w:p>
            <w:pPr>
              <w:jc w:val="right"/>
              <w:ind w:right="568"/>
              <w:spacing w:after="0"/>
              <w:rPr>
                <w:sz w:val="20"/>
                <w:szCs w:val="20"/>
                <w:color w:val="auto"/>
              </w:rPr>
            </w:pPr>
            <w:r>
              <w:rPr>
                <w:rFonts w:ascii="Arial" w:cs="Arial" w:eastAsia="Arial" w:hAnsi="Arial"/>
                <w:sz w:val="14"/>
                <w:szCs w:val="14"/>
                <w:color w:val="auto"/>
                <w:w w:val="85"/>
              </w:rPr>
              <w:t>4.</w:t>
            </w:r>
          </w:p>
        </w:tc>
        <w:tc>
          <w:tcPr>
            <w:tcW w:w="7040" w:type="dxa"/>
            <w:vAlign w:val="bottom"/>
          </w:tcPr>
          <w:p>
            <w:pPr>
              <w:ind w:left="660"/>
              <w:spacing w:after="0"/>
              <w:rPr>
                <w:sz w:val="20"/>
                <w:szCs w:val="20"/>
                <w:color w:val="auto"/>
              </w:rPr>
            </w:pPr>
            <w:r>
              <w:rPr>
                <w:rFonts w:ascii="Arial" w:cs="Arial" w:eastAsia="Arial" w:hAnsi="Arial"/>
                <w:sz w:val="14"/>
                <w:szCs w:val="14"/>
                <w:b w:val="1"/>
                <w:bCs w:val="1"/>
                <w:color w:val="auto"/>
                <w:w w:val="95"/>
              </w:rPr>
              <w:t>To ratify the appointment of KPMG LLP as the Company’s independent registered public accounting</w:t>
            </w:r>
          </w:p>
        </w:tc>
        <w:tc>
          <w:tcPr>
            <w:tcW w:w="60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9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ind w:left="12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7040" w:type="dxa"/>
            <w:vAlign w:val="bottom"/>
          </w:tcPr>
          <w:p>
            <w:pPr>
              <w:ind w:left="660"/>
              <w:spacing w:after="0" w:line="155" w:lineRule="exact"/>
              <w:rPr>
                <w:sz w:val="20"/>
                <w:szCs w:val="20"/>
                <w:color w:val="auto"/>
              </w:rPr>
            </w:pPr>
            <w:r>
              <w:rPr>
                <w:rFonts w:ascii="Arial" w:cs="Arial" w:eastAsia="Arial" w:hAnsi="Arial"/>
                <w:sz w:val="14"/>
                <w:szCs w:val="14"/>
                <w:b w:val="1"/>
                <w:bCs w:val="1"/>
                <w:color w:val="auto"/>
              </w:rPr>
              <w:t xml:space="preserve">firm for fiscal year ending February 1, 2020. </w:t>
            </w:r>
            <w:r>
              <w:rPr>
                <w:rFonts w:ascii="Arial" w:cs="Arial" w:eastAsia="Arial" w:hAnsi="Arial"/>
                <w:sz w:val="14"/>
                <w:szCs w:val="14"/>
                <w:color w:val="auto"/>
              </w:rPr>
              <w:t>THE BOARD OF DIRECTORS RECOMMENDS A</w:t>
            </w: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740"/>
        <w:spacing w:after="0"/>
        <w:rPr>
          <w:sz w:val="20"/>
          <w:szCs w:val="20"/>
          <w:color w:val="auto"/>
        </w:rPr>
      </w:pPr>
      <w:r>
        <w:rPr>
          <w:rFonts w:ascii="Arial" w:cs="Arial" w:eastAsia="Arial" w:hAnsi="Arial"/>
          <w:sz w:val="14"/>
          <w:szCs w:val="14"/>
          <w:color w:val="auto"/>
        </w:rPr>
        <w:t>VOTE “FOR” PROPOSAL 4.</w:t>
      </w:r>
    </w:p>
    <w:p>
      <w:pPr>
        <w:sectPr>
          <w:pgSz w:w="11900" w:h="16838" w:orient="portrait"/>
          <w:cols w:equalWidth="0" w:num="1">
            <w:col w:w="10340"/>
          </w:cols>
          <w:pgMar w:left="260" w:top="405" w:right="1299" w:bottom="1440" w:gutter="0" w:footer="0" w:header="0"/>
        </w:sectPr>
      </w:pPr>
    </w:p>
    <w:p>
      <w:pPr>
        <w:spacing w:after="0" w:line="97"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IF THIS PROXY IS PROPERLY EXECUTED AND RETURNED IT WILL BE VOTED AS SPECIFIED HEREIN. IF NO SPECIFIC DIRECTION IS GIVEN, IT WILL BE VOTED “FOR” EACH DIRECTOR NOMINEE AND “FOR” EACH OF THE OTHER PROPOSALS. RECEIPT IS HEREBY ACKNOWLEDGED OF THE NOTICE OF ANNUAL MEETING AND PROXY STATEMENT OF DESTINATION XL GROUP, INC. DATED JULY 2, 2019.</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MARK “X” HERE IF YOU PLAN TO ATTEND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17" w:lineRule="exact"/>
        <w:rPr>
          <w:sz w:val="20"/>
          <w:szCs w:val="20"/>
          <w:color w:val="auto"/>
        </w:rPr>
      </w:pPr>
    </w:p>
    <w:p>
      <w:pPr>
        <w:sectPr>
          <w:pgSz w:w="11900" w:h="16838" w:orient="portrait"/>
          <w:cols w:equalWidth="0" w:num="2">
            <w:col w:w="7920" w:space="400"/>
            <w:col w:w="2020"/>
          </w:cols>
          <w:pgMar w:left="260" w:top="405" w:right="1299" w:bottom="1440" w:gutter="0" w:footer="0" w:header="0"/>
          <w:type w:val="continuous"/>
        </w:sectPr>
      </w:pPr>
    </w:p>
    <w:p>
      <w:pPr>
        <w:ind w:right="180"/>
        <w:spacing w:after="0" w:line="238" w:lineRule="auto"/>
        <w:rPr>
          <w:sz w:val="20"/>
          <w:szCs w:val="20"/>
          <w:color w:val="auto"/>
        </w:rPr>
      </w:pPr>
      <w:r>
        <w:rPr>
          <w:rFonts w:ascii="Arial" w:cs="Arial" w:eastAsia="Arial" w:hAnsi="Arial"/>
          <w:sz w:val="14"/>
          <w:szCs w:val="14"/>
          <w:color w:val="auto"/>
        </w:rPr>
        <w:t>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91" w:lineRule="exact"/>
        <w:rPr>
          <w:sz w:val="20"/>
          <w:szCs w:val="20"/>
          <w:color w:val="auto"/>
        </w:rPr>
      </w:pPr>
    </w:p>
    <w:p>
      <w:pPr>
        <w:ind w:left="260"/>
        <w:spacing w:after="0"/>
        <w:tabs>
          <w:tab w:leader="none" w:pos="3180" w:val="left"/>
          <w:tab w:leader="none" w:pos="5240" w:val="left"/>
          <w:tab w:leader="none" w:pos="9200" w:val="left"/>
        </w:tabs>
        <w:rPr>
          <w:sz w:val="20"/>
          <w:szCs w:val="20"/>
          <w:color w:val="auto"/>
        </w:rPr>
      </w:pPr>
      <w:r>
        <w:rPr>
          <w:rFonts w:ascii="Arial" w:cs="Arial" w:eastAsia="Arial" w:hAnsi="Arial"/>
          <w:sz w:val="14"/>
          <w:szCs w:val="14"/>
          <w:color w:val="auto"/>
        </w:rPr>
        <w:t>Signature of Stockholder</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of Stockholder</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394335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340"/>
          </w:cols>
          <w:pgMar w:left="260" w:top="405" w:right="1299" w:bottom="1440" w:gutter="0" w:footer="0" w:header="0"/>
          <w:type w:val="continuous"/>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DESTINATION XL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246620" cy="2675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675890"/>
                    </a:xfrm>
                    <a:prstGeom prst="rect">
                      <a:avLst/>
                    </a:prstGeom>
                    <a:noFill/>
                  </pic:spPr>
                </pic:pic>
              </a:graphicData>
            </a:graphic>
          </wp:anchor>
        </w:drawing>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555 Turnpike Street</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Canton, Massachusetts 02021</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The Annual Meeting Of Stockholders To Be Held On August 8, 2019</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undersigned stockholder of Destination XL Group, Inc. (the “Company”) hereby appoints John E. Kyees and Harvey S. Kanter, and each of them, as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8, 2019, at 9:30 A.M. local time, at the corporate offices of the Company, 555 Turnpike Street, Canton, Massachusetts, and at any adjournment or postponement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60" w:top="144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lvl w:ilvl="1">
      <w:lvlJc w:val="left"/>
      <w:lvlText w:val="%2)"/>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1)"/>
      <w:numFmt w:val="decimal"/>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decimal"/>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lvl w:ilvl="1">
      <w:lvlJc w:val="left"/>
      <w:lvlText w:val="(%2)"/>
      <w:numFmt w:val="decimal"/>
      <w:start w:val="1"/>
    </w:lvl>
  </w:abstractNum>
  <w:abstractNum w:abstractNumId="23">
    <w:nsid w:val="70C6A529"/>
    <w:multiLevelType w:val="hybridMultilevel"/>
    <w:lvl w:ilvl="0">
      <w:lvlJc w:val="left"/>
      <w:lvlText w:val="(%1)"/>
      <w:numFmt w:val="decimal"/>
      <w:start w:val="1"/>
    </w:lvl>
  </w:abstractNum>
  <w:abstractNum w:abstractNumId="24">
    <w:nsid w:val="520EEDD1"/>
    <w:multiLevelType w:val="hybridMultilevel"/>
    <w:lvl w:ilvl="0">
      <w:lvlJc w:val="left"/>
      <w:lvlText w:val="(%1)"/>
      <w:numFmt w:val="decimal"/>
      <w:start w:val="3"/>
    </w:lvl>
  </w:abstractNum>
  <w:abstractNum w:abstractNumId="25">
    <w:nsid w:val="374A3FE6"/>
    <w:multiLevelType w:val="hybridMultilevel"/>
    <w:lvl w:ilvl="0">
      <w:lvlJc w:val="left"/>
      <w:lvlText w:val="(%1)"/>
      <w:numFmt w:val="decimal"/>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decimal"/>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1)"/>
      <w:numFmt w:val="decimal"/>
      <w:start w:val="1"/>
    </w:lvl>
  </w:abstractNum>
  <w:abstractNum w:abstractNumId="31">
    <w:nsid w:val="1CF10FD8"/>
    <w:multiLevelType w:val="hybridMultilevel"/>
    <w:lvl w:ilvl="0">
      <w:lvlJc w:val="left"/>
      <w:lvlText w:val="(%1)"/>
      <w:numFmt w:val="decimal"/>
      <w:start w:val="1"/>
    </w:lvl>
  </w:abstractNum>
  <w:abstractNum w:abstractNumId="32">
    <w:nsid w:val="180115BE"/>
    <w:multiLevelType w:val="hybridMultilevel"/>
    <w:lvl w:ilvl="0">
      <w:lvlJc w:val="left"/>
      <w:lvlText w:val="(%1)"/>
      <w:numFmt w:val="decimal"/>
      <w:start w:val="1"/>
    </w:lvl>
  </w:abstractNum>
  <w:abstractNum w:abstractNumId="33">
    <w:nsid w:val="235BA861"/>
    <w:multiLevelType w:val="hybridMultilevel"/>
    <w:lvl w:ilvl="0">
      <w:lvlJc w:val="left"/>
      <w:lvlText w:val="(%1)"/>
      <w:numFmt w:val="decimal"/>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1)"/>
      <w:numFmt w:val="decimal"/>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2"/>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1)"/>
      <w:numFmt w:val="decimal"/>
      <w:start w:val="6"/>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abstractNum>
  <w:abstractNum w:abstractNumId="43">
    <w:nsid w:val="77AE35EB"/>
    <w:multiLevelType w:val="hybridMultilevel"/>
    <w:lvl w:ilvl="0">
      <w:lvlJc w:val="left"/>
      <w:lvlText w:val="(%1)"/>
      <w:numFmt w:val="decimal"/>
      <w:start w:val="1"/>
    </w:lvl>
  </w:abstractNum>
  <w:abstractNum w:abstractNumId="44">
    <w:nsid w:val="579BE4F1"/>
    <w:multiLevelType w:val="hybridMultilevel"/>
    <w:lvl w:ilvl="0">
      <w:lvlJc w:val="left"/>
      <w:lvlText w:val="(%1)"/>
      <w:numFmt w:val="decimal"/>
      <w:start w:val="3"/>
    </w:lvl>
  </w:abstractNum>
  <w:abstractNum w:abstractNumId="45">
    <w:nsid w:val="310C50B3"/>
    <w:multiLevelType w:val="hybridMultilevel"/>
    <w:lvl w:ilvl="0">
      <w:lvlJc w:val="left"/>
      <w:lvlText w:val="(%1)"/>
      <w:numFmt w:val="decimal"/>
      <w:start w:val="1"/>
    </w:lvl>
  </w:abstractNum>
  <w:abstractNum w:abstractNumId="46">
    <w:nsid w:val="5FF87E05"/>
    <w:multiLevelType w:val="hybridMultilevel"/>
    <w:lvl w:ilvl="0">
      <w:lvlJc w:val="left"/>
      <w:lvlText w:val="%1."/>
      <w:numFmt w:val="decimal"/>
      <w:start w:val="1"/>
    </w:lvl>
    <w:lvl w:ilvl="1">
      <w:lvlJc w:val="left"/>
      <w:lvlText w:val="(%2)"/>
      <w:numFmt w:val="lowerLetter"/>
      <w:start w:val="1"/>
    </w:lvl>
  </w:abstractNum>
  <w:abstractNum w:abstractNumId="47">
    <w:nsid w:val="2F305DEF"/>
    <w:multiLevelType w:val="hybridMultilevel"/>
    <w:lvl w:ilvl="0">
      <w:lvlJc w:val="left"/>
      <w:lvlText w:val="(%1)"/>
      <w:numFmt w:val="lowerLetter"/>
      <w:start w:val="11"/>
    </w:lvl>
  </w:abstractNum>
  <w:abstractNum w:abstractNumId="48">
    <w:nsid w:val="25A70BF7"/>
    <w:multiLevelType w:val="hybridMultilevel"/>
    <w:lvl w:ilvl="0">
      <w:lvlJc w:val="left"/>
      <w:lvlText w:val="(%1)"/>
      <w:numFmt w:val="lowerLetter"/>
      <w:start w:val="24"/>
    </w:lvl>
  </w:abstractNum>
  <w:abstractNum w:abstractNumId="49">
    <w:nsid w:val="1DBABF00"/>
    <w:multiLevelType w:val="hybridMultilevel"/>
    <w:lvl w:ilvl="0">
      <w:lvlJc w:val="left"/>
      <w:lvlText w:val="(%1)"/>
      <w:numFmt w:val="lowerLetter"/>
      <w:start w:val="27"/>
    </w:lvl>
  </w:abstractNum>
  <w:abstractNum w:abstractNumId="50">
    <w:nsid w:val="4AD084E9"/>
    <w:multiLevelType w:val="hybridMultilevel"/>
    <w:lvl w:ilvl="0">
      <w:lvlJc w:val="left"/>
      <w:lvlText w:val="%1"/>
      <w:numFmt w:val="decimal"/>
      <w:start w:val="1"/>
    </w:lvl>
    <w:lvl w:ilvl="1">
      <w:lvlJc w:val="left"/>
      <w:lvlText w:val="(%2)"/>
      <w:numFmt w:val="lowerLetter"/>
      <w:start w:val="37"/>
    </w:lvl>
  </w:abstractNum>
  <w:abstractNum w:abstractNumId="51">
    <w:nsid w:val="1F48EAA1"/>
    <w:multiLevelType w:val="hybridMultilevel"/>
    <w:lvl w:ilvl="0">
      <w:lvlJc w:val="left"/>
      <w:lvlText w:val="%1."/>
      <w:numFmt w:val="decimal"/>
      <w:start w:val="3"/>
    </w:lvl>
    <w:lvl w:ilvl="1">
      <w:lvlJc w:val="left"/>
      <w:lvlText w:val="(%2)"/>
      <w:numFmt w:val="lowerLetter"/>
      <w:start w:val="1"/>
    </w:lvl>
  </w:abstractNum>
  <w:abstractNum w:abstractNumId="52">
    <w:nsid w:val="1381823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3">
    <w:nsid w:val="5DB70AE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4">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5">
    <w:nsid w:val="6590700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6">
    <w:nsid w:val="15014AC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5F5E7FD0"/>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8">
    <w:nsid w:val="98A314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9">
    <w:nsid w:val="799D0247"/>
    <w:multiLevelType w:val="hybridMultilevel"/>
    <w:lvl w:ilvl="0">
      <w:lvlJc w:val="left"/>
      <w:lvlText w:val="%1"/>
      <w:numFmt w:val="lowerLetter"/>
      <w:start w:val="1"/>
    </w:lvl>
    <w:lvl w:ilvl="1">
      <w:lvlJc w:val="left"/>
      <w:lvlText w:val="(%2)"/>
      <w:numFmt w:val="lowerLetter"/>
      <w:start w:val="35"/>
    </w:lvl>
  </w:abstractNum>
  <w:abstractNum w:abstractNumId="60">
    <w:nsid w:val="6B94764"/>
    <w:multiLevelType w:val="hybridMultilevel"/>
    <w:lvl w:ilvl="0">
      <w:lvlJc w:val="left"/>
      <w:lvlText w:val="(%1)"/>
      <w:numFmt w:val="lowerLetter"/>
      <w:start w:val="4"/>
    </w:lvl>
    <w:lvl w:ilvl="1">
      <w:lvlJc w:val="left"/>
      <w:lvlText w:val="(%2)"/>
      <w:numFmt w:val="lowerLetter"/>
      <w:start w:val="9"/>
    </w:lvl>
  </w:abstractNum>
  <w:abstractNum w:abstractNumId="61">
    <w:nsid w:val="42C296BD"/>
    <w:multiLevelType w:val="hybridMultilevel"/>
    <w:lvl w:ilvl="0">
      <w:lvlJc w:val="left"/>
      <w:lvlText w:val="(%1)"/>
      <w:numFmt w:val="lowerRoman"/>
      <w:start w:val="2"/>
    </w:lvl>
  </w:abstractNum>
  <w:abstractNum w:abstractNumId="62">
    <w:nsid w:val="168E121F"/>
    <w:multiLevelType w:val="hybridMultilevel"/>
    <w:lvl w:ilvl="0">
      <w:lvlJc w:val="left"/>
      <w:lvlText w:val="(%1)"/>
      <w:numFmt w:val="lowerLetter"/>
      <w:start w:val="5"/>
    </w:lvl>
  </w:abstractNum>
  <w:abstractNum w:abstractNumId="63">
    <w:nsid w:val="1EBA5D2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64">
    <w:nsid w:val="661E3F1E"/>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65">
    <w:nsid w:val="5DC79EA8"/>
    <w:multiLevelType w:val="hybridMultilevel"/>
    <w:lvl w:ilvl="0">
      <w:lvlJc w:val="left"/>
      <w:lvlText w:val="%1"/>
      <w:numFmt w:val="decimal"/>
      <w:start w:val="1"/>
    </w:lvl>
    <w:lvl w:ilvl="1">
      <w:lvlJc w:val="left"/>
      <w:lvlText w:val="(%2)"/>
      <w:numFmt w:val="lowerLetter"/>
      <w:start w:val="9"/>
    </w:lvl>
  </w:abstractNum>
  <w:abstractNum w:abstractNumId="66">
    <w:nsid w:val="540A471C"/>
    <w:multiLevelType w:val="hybridMultilevel"/>
    <w:lvl w:ilvl="0">
      <w:lvlJc w:val="left"/>
      <w:lvlText w:val="%1."/>
      <w:numFmt w:val="decimal"/>
      <w:start w:val="8"/>
    </w:lvl>
    <w:lvl w:ilvl="1">
      <w:lvlJc w:val="left"/>
      <w:lvlText w:val="(%2)"/>
      <w:numFmt w:val="lowerLetter"/>
      <w:start w:val="1"/>
    </w:lvl>
  </w:abstractNum>
  <w:abstractNum w:abstractNumId="67">
    <w:nsid w:val="7BD3EE7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68">
    <w:nsid w:val="51D9C564"/>
    <w:multiLevelType w:val="hybridMultilevel"/>
    <w:lvl w:ilvl="0">
      <w:lvlJc w:val="left"/>
      <w:lvlText w:val="%1"/>
      <w:numFmt w:val="lowerLetter"/>
      <w:start w:val="1"/>
    </w:lvl>
    <w:lvl w:ilvl="1">
      <w:lvlJc w:val="left"/>
      <w:lvlText w:val="(%2)"/>
      <w:numFmt w:val="lowerLetter"/>
      <w:start w:val="61"/>
    </w:lvl>
  </w:abstractNum>
  <w:abstractNum w:abstractNumId="69">
    <w:nsid w:val="613EFDC5"/>
    <w:multiLevelType w:val="hybridMultilevel"/>
    <w:lvl w:ilvl="0">
      <w:lvlJc w:val="left"/>
      <w:lvlText w:val="(%1)"/>
      <w:numFmt w:val="lowerLetter"/>
      <w:start w:val="6"/>
    </w:lvl>
    <w:lvl w:ilvl="1">
      <w:lvlJc w:val="left"/>
      <w:lvlText w:val="(%2)"/>
      <w:numFmt w:val="lowerLetter"/>
      <w:start w:val="9"/>
    </w:lvl>
  </w:abstractNum>
  <w:abstractNum w:abstractNumId="70">
    <w:nsid w:val="BF72B14"/>
    <w:multiLevelType w:val="hybridMultilevel"/>
    <w:lvl w:ilvl="0">
      <w:lvlJc w:val="left"/>
      <w:lvlText w:val="(%1)"/>
      <w:numFmt w:val="lowerRoman"/>
      <w:start w:val="2"/>
    </w:lvl>
  </w:abstractNum>
  <w:abstractNum w:abstractNumId="71">
    <w:nsid w:val="11447B73"/>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72">
    <w:nsid w:val="42963E5A"/>
    <w:multiLevelType w:val="hybridMultilevel"/>
    <w:lvl w:ilvl="0">
      <w:lvlJc w:val="left"/>
      <w:lvlText w:val="(%1)"/>
      <w:numFmt w:val="decimal"/>
      <w:start w:val="5"/>
    </w:lvl>
    <w:lvl w:ilvl="1">
      <w:lvlJc w:val="left"/>
      <w:lvlText w:val="%2."/>
      <w:numFmt w:val="decimal"/>
      <w:start w:val="9"/>
    </w:lvl>
    <w:lvl w:ilvl="2">
      <w:lvlJc w:val="left"/>
      <w:lvlText w:val="(%3)"/>
      <w:numFmt w:val="lowerLetter"/>
      <w:start w:val="3"/>
    </w:lvl>
  </w:abstractNum>
  <w:abstractNum w:abstractNumId="73">
    <w:nsid w:val="A0382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4">
    <w:nsid w:val="8F2B15E"/>
    <w:multiLevelType w:val="hybridMultilevel"/>
    <w:lvl w:ilvl="0">
      <w:lvlJc w:val="left"/>
      <w:lvlText w:val="(%1)"/>
      <w:numFmt w:val="lowerLetter"/>
      <w:start w:val="2"/>
    </w:lvl>
    <w:lvl w:ilvl="1">
      <w:lvlJc w:val="left"/>
      <w:lvlText w:val="(%2)"/>
      <w:numFmt w:val="lowerRoman"/>
      <w:start w:val="1"/>
    </w:lvl>
  </w:abstractNum>
  <w:abstractNum w:abstractNumId="75">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6">
    <w:nsid w:val="3B0FD37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7">
    <w:nsid w:val="68EB2F6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8">
    <w:nsid w:val="4962813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9">
    <w:nsid w:val="60B6DF70"/>
    <w:multiLevelType w:val="hybridMultilevel"/>
    <w:lvl w:ilvl="0">
      <w:lvlJc w:val="left"/>
      <w:lvlText w:val="(%1)"/>
      <w:numFmt w:val="lowerLetter"/>
      <w:start w:val="5"/>
    </w:lvl>
  </w:abstractNum>
  <w:abstractNum w:abstractNumId="80">
    <w:nsid w:val="6A5EE64"/>
    <w:multiLevelType w:val="hybridMultilevel"/>
    <w:lvl w:ilvl="0">
      <w:lvlJc w:val="left"/>
      <w:lvlText w:val="(%1)"/>
      <w:numFmt w:val="lowerLetter"/>
      <w:start w:val="1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2019-12-01T06:45:15Z</dcterms:created>
  <dcterms:modified xsi:type="dcterms:W3CDTF">2019-12-01T06:45:15Z</dcterms:modified>
</cp:coreProperties>
</file>