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148711302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Coliseum Capital Management, LLC</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10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3"/>
                <w:szCs w:val="23"/>
                <w:color w:val="auto"/>
              </w:rPr>
            </w:pPr>
          </w:p>
        </w:tc>
        <w:tc>
          <w:tcPr>
            <w:tcW w:w="10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2,853,786</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2,853,786</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2,853,786</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8"/>
              </w:rPr>
              <w:t>OO, IA</w:t>
            </w:r>
          </w:p>
        </w:tc>
        <w:tc>
          <w:tcPr>
            <w:tcW w:w="2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Coliseum Capital, LLC</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10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3"/>
                <w:szCs w:val="23"/>
                <w:color w:val="auto"/>
              </w:rPr>
            </w:pPr>
          </w:p>
        </w:tc>
        <w:tc>
          <w:tcPr>
            <w:tcW w:w="10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1,897,320</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1,897,320</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1,897,320</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3.9%</w:t>
            </w:r>
          </w:p>
        </w:tc>
        <w:tc>
          <w:tcPr>
            <w:tcW w:w="2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OO</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Coliseum Capital Partners, L.P.</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10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3"/>
                <w:szCs w:val="23"/>
                <w:color w:val="auto"/>
              </w:rPr>
            </w:pPr>
          </w:p>
        </w:tc>
        <w:tc>
          <w:tcPr>
            <w:tcW w:w="10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1,658,027</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1,658,027</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1,658,027</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Coliseum Capital Partners II, L.P.</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10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4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3"/>
                <w:szCs w:val="23"/>
                <w:color w:val="auto"/>
              </w:rPr>
            </w:pPr>
          </w:p>
        </w:tc>
        <w:tc>
          <w:tcPr>
            <w:tcW w:w="10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Delaware</w:t>
            </w: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17"/>
                <w:szCs w:val="17"/>
                <w:color w:val="auto"/>
              </w:rPr>
            </w:pPr>
          </w:p>
        </w:tc>
        <w:tc>
          <w:tcPr>
            <w:tcW w:w="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239,293</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239,293</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4"/>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2"/>
              </w:rPr>
              <w:t>239,293</w:t>
            </w: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10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Blackwell Partners, LLC</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Pr>
          <w:p>
            <w:pPr>
              <w:spacing w:after="0"/>
              <w:rPr>
                <w:sz w:val="24"/>
                <w:szCs w:val="24"/>
                <w:color w:val="auto"/>
              </w:rPr>
            </w:pPr>
          </w:p>
        </w:tc>
        <w:tc>
          <w:tcPr>
            <w:tcW w:w="10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40" w:type="dxa"/>
            <w:vAlign w:val="bottom"/>
            <w:tcBorders>
              <w:bottom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3"/>
                <w:szCs w:val="23"/>
                <w:color w:val="auto"/>
              </w:rPr>
            </w:pPr>
          </w:p>
        </w:tc>
        <w:tc>
          <w:tcPr>
            <w:tcW w:w="10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3"/>
              </w:rPr>
              <w:t>Georgia</w:t>
            </w: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40" w:type="dxa"/>
            <w:vAlign w:val="bottom"/>
          </w:tcPr>
          <w:p>
            <w:pPr>
              <w:spacing w:after="0"/>
              <w:rPr>
                <w:sz w:val="17"/>
                <w:szCs w:val="17"/>
                <w:color w:val="auto"/>
              </w:rPr>
            </w:pPr>
          </w:p>
        </w:tc>
        <w:tc>
          <w:tcPr>
            <w:tcW w:w="2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8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956,466</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0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8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0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956,466</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4"/>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2"/>
              </w:rPr>
              <w:t>956,466</w:t>
            </w: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10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OO</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tcPr>
          <w:p>
            <w:pPr>
              <w:ind w:left="4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Adam Gray</w:t>
            </w: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86"/>
              </w:rPr>
              <w:t>United States</w:t>
            </w: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9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2,853,786</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9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998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2,853,786</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2,853,786</w:t>
            </w: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8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80" w:type="dxa"/>
            <w:vAlign w:val="bottom"/>
          </w:tcPr>
          <w:p>
            <w:pPr>
              <w:ind w:left="4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10" w:type="dxa"/>
        <w:tblCellMar>
          <w:top w:w="0" w:type="dxa"/>
          <w:left w:w="0" w:type="dxa"/>
          <w:bottom w:w="0" w:type="dxa"/>
          <w:right w:w="0" w:type="dxa"/>
        </w:tblCellMar>
      </w:tblPr>
      <w:tr>
        <w:trPr>
          <w:trHeight w:val="236"/>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20"/>
                <w:szCs w:val="20"/>
                <w:color w:val="auto"/>
              </w:rPr>
            </w:pPr>
          </w:p>
        </w:tc>
        <w:tc>
          <w:tcPr>
            <w:tcW w:w="1102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Christopher Shackelton</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9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60" w:type="dxa"/>
            <w:vAlign w:val="bottom"/>
            <w:tcBorders>
              <w:left w:val="single" w:sz="8" w:color="auto"/>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10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8"/>
                <w:szCs w:val="18"/>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86"/>
              </w:rPr>
              <w:t>United States</w:t>
            </w: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90"/>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360" w:type="dxa"/>
            <w:vAlign w:val="bottom"/>
            <w:tcBorders>
              <w:left w:val="single" w:sz="8" w:color="auto"/>
            </w:tcBorders>
          </w:tcPr>
          <w:p>
            <w:pPr>
              <w:spacing w:after="0"/>
              <w:rPr>
                <w:sz w:val="17"/>
                <w:szCs w:val="17"/>
                <w:color w:val="auto"/>
              </w:rPr>
            </w:pPr>
          </w:p>
        </w:tc>
        <w:tc>
          <w:tcPr>
            <w:tcW w:w="720" w:type="dxa"/>
            <w:vAlign w:val="bottom"/>
            <w:tcBorders>
              <w:right w:val="single" w:sz="8" w:color="auto"/>
            </w:tcBorders>
            <w:gridSpan w:val="3"/>
          </w:tcPr>
          <w:p>
            <w:pPr>
              <w:jc w:val="center"/>
              <w:ind w:right="172"/>
              <w:spacing w:after="0" w:line="201" w:lineRule="exact"/>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99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2,853,786</w:t>
            </w:r>
          </w:p>
        </w:tc>
        <w:tc>
          <w:tcPr>
            <w:tcW w:w="0" w:type="dxa"/>
            <w:vAlign w:val="bottom"/>
          </w:tcPr>
          <w:p>
            <w:pPr>
              <w:spacing w:after="0"/>
              <w:rPr>
                <w:sz w:val="1"/>
                <w:szCs w:val="1"/>
                <w:color w:val="auto"/>
              </w:rPr>
            </w:pPr>
          </w:p>
        </w:tc>
      </w:tr>
      <w:tr>
        <w:trPr>
          <w:trHeight w:val="222"/>
        </w:trPr>
        <w:tc>
          <w:tcPr>
            <w:tcW w:w="1080" w:type="dxa"/>
            <w:vAlign w:val="bottom"/>
            <w:tcBorders>
              <w:left w:val="single" w:sz="8" w:color="auto"/>
              <w:right w:val="single" w:sz="8" w:color="auto"/>
            </w:tcBorders>
            <w:gridSpan w:val="4"/>
          </w:tcPr>
          <w:p>
            <w:pPr>
              <w:jc w:val="center"/>
              <w:ind w:left="32"/>
              <w:spacing w:after="0"/>
              <w:rPr>
                <w:sz w:val="20"/>
                <w:szCs w:val="20"/>
                <w:color w:val="auto"/>
              </w:rPr>
            </w:pPr>
            <w:r>
              <w:rPr>
                <w:rFonts w:ascii="Arial" w:cs="Arial" w:eastAsia="Arial" w:hAnsi="Arial"/>
                <w:sz w:val="18"/>
                <w:szCs w:val="18"/>
                <w:color w:val="auto"/>
                <w:w w:val="88"/>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9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line="190"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6"/>
                <w:szCs w:val="16"/>
                <w:color w:val="auto"/>
              </w:rPr>
            </w:pPr>
          </w:p>
        </w:tc>
        <w:tc>
          <w:tcPr>
            <w:tcW w:w="9980" w:type="dxa"/>
            <w:vAlign w:val="bottom"/>
            <w:tcBorders>
              <w:right w:val="single" w:sz="8" w:color="auto"/>
            </w:tcBorders>
          </w:tcPr>
          <w:p>
            <w:pPr>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4"/>
          </w:tcPr>
          <w:p>
            <w:pPr>
              <w:jc w:val="center"/>
              <w:ind w:left="1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720" w:type="dxa"/>
            <w:vAlign w:val="bottom"/>
            <w:tcBorders>
              <w:right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
        </w:trPr>
        <w:tc>
          <w:tcPr>
            <w:tcW w:w="3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30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2,853,786</w:t>
            </w: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color w:val="auto"/>
                <w:w w:val="98"/>
              </w:rPr>
              <w:t>Aggregate</w:t>
            </w:r>
          </w:p>
        </w:tc>
        <w:tc>
          <w:tcPr>
            <w:tcW w:w="10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2,853,786</w:t>
            </w: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3"/>
                <w:szCs w:val="23"/>
                <w:color w:val="auto"/>
              </w:rPr>
            </w:pPr>
          </w:p>
        </w:tc>
        <w:tc>
          <w:tcPr>
            <w:tcW w:w="11020" w:type="dxa"/>
            <w:vAlign w:val="bottom"/>
            <w:tcBorders>
              <w:right w:val="single" w:sz="8" w:color="auto"/>
            </w:tcBorders>
            <w:gridSpan w:val="5"/>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420" w:type="dxa"/>
            <w:vAlign w:val="bottom"/>
            <w:tcBorders>
              <w:left w:val="single" w:sz="8" w:color="auto"/>
              <w:bottom w:val="single" w:sz="8" w:color="auto"/>
              <w:right w:val="single" w:sz="8" w:color="auto"/>
            </w:tcBorders>
            <w:gridSpan w:val="2"/>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8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5.9%</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102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36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80" w:type="dxa"/>
            <w:vAlign w:val="bottom"/>
          </w:tcPr>
          <w:p>
            <w:pPr>
              <w:ind w:left="4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68"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Casual Male Retail Group, Inc.</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Turnpike Street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Canton, MA 02021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This Schedule 13G is being filed on behalf of Coliseum Capital Management, LLC (“CCM”), Coliseum Capital, LLC (“CC”), Coliseum Capital Partners, L.P. (“CCP”), Coliseum Capital Partners II, L.P. (“CCP2”), Blackwell Partners, LLC (“Blackwell”), Adam Gray (“Gray”) and Christopher Shackelton (“Shackelton” and together with CCM, CC, CCP, CCP2, Blackwell and Gray, the “Reporting Persons”).</w:t>
      </w:r>
    </w:p>
    <w:p>
      <w:pPr>
        <w:spacing w:after="0" w:line="2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0"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The address of the principal business and office of the Reporting Persons (other than Blackwell) is Metro Center, 1 Station Place, 7th Floor South, Stamford CT 06902. The address of the principal business and office of Blackwell is c/o DUMAC, LLC, 406 Blackwell Street, Suite 300, Durham, NC 27701.</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CCM is a Delaware limited liability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 is a Delaware limited liability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CCP is a Delaware limited partnership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CCP2 is a Delaware limited partnership (v) Blackwell is a Georgia limited liability company</w:t>
      </w:r>
    </w:p>
    <w:p>
      <w:pPr>
        <w:spacing w:after="0" w:line="90"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Gray is a United States citizen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Shackelton is a United States citizen</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Par Value $0.01 Per Share (the “Common Stock”)</w:t>
      </w:r>
    </w:p>
    <w:p>
      <w:pPr>
        <w:spacing w:after="0" w:line="90" w:lineRule="exact"/>
        <w:rPr>
          <w:sz w:val="20"/>
          <w:szCs w:val="20"/>
          <w:color w:val="auto"/>
        </w:rPr>
      </w:pPr>
    </w:p>
    <w:p>
      <w:pPr>
        <w:jc w:val="both"/>
        <w:ind w:left="920" w:right="9620" w:hanging="466"/>
        <w:spacing w:after="0" w:line="460" w:lineRule="auto"/>
        <w:tabs>
          <w:tab w:leader="none" w:pos="89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No. 148711302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274" w:right="33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64" w:lineRule="exact"/>
        <w:rPr>
          <w:sz w:val="20"/>
          <w:szCs w:val="20"/>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(15 U.S.C. 80a-8).</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240.13d-1(b)(ii)(F).</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760" w:right="1360" w:hanging="719"/>
        <w:spacing w:after="0" w:line="236" w:lineRule="exact"/>
        <w:tabs>
          <w:tab w:leader="none" w:pos="14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420" w:hanging="379"/>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240.13d-1(b)(ii)(J).</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jc w:val="both"/>
        <w:ind w:left="1040"/>
        <w:spacing w:after="0" w:line="268" w:lineRule="auto"/>
        <w:rPr>
          <w:sz w:val="20"/>
          <w:szCs w:val="20"/>
          <w:color w:val="auto"/>
        </w:rPr>
      </w:pPr>
      <w:r>
        <w:rPr>
          <w:rFonts w:ascii="Arial" w:cs="Arial" w:eastAsia="Arial" w:hAnsi="Arial"/>
          <w:sz w:val="18"/>
          <w:szCs w:val="18"/>
          <w:color w:val="auto"/>
        </w:rPr>
        <w:t>The information relating to the beneficial ownership of Common Stock by each of the Reporting Persons set forth in Rows 5 through 9 and Row 11 of the cover pages hereto is incorporated herein by reference.</w:t>
      </w:r>
    </w:p>
    <w:p>
      <w:pPr>
        <w:spacing w:after="0" w:line="51" w:lineRule="exact"/>
        <w:rPr>
          <w:sz w:val="20"/>
          <w:szCs w:val="20"/>
          <w:color w:val="auto"/>
        </w:rPr>
      </w:pPr>
    </w:p>
    <w:p>
      <w:pPr>
        <w:jc w:val="both"/>
        <w:ind w:left="1040" w:right="20"/>
        <w:spacing w:after="0" w:line="306" w:lineRule="auto"/>
        <w:rPr>
          <w:sz w:val="20"/>
          <w:szCs w:val="20"/>
          <w:color w:val="auto"/>
        </w:rPr>
      </w:pPr>
      <w:r>
        <w:rPr>
          <w:rFonts w:ascii="Arial" w:cs="Arial" w:eastAsia="Arial" w:hAnsi="Arial"/>
          <w:sz w:val="16"/>
          <w:szCs w:val="16"/>
          <w:color w:val="auto"/>
        </w:rPr>
        <w:t>The ownership percentage of each Reporting Person set forth in Row 11 of the cover pages hereto has been calculated based on an assumed total of 48,594,796 shares of Common Stock outstanding as of October 27, 2012, as reported in the Issuer’s Quarterly Report for period ended October 27, 2012 on Form 10-Q, as filed with the Securities and Exchange Commission on November 16, 2012.</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1040" w:right="24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securities, check the following </w:t>
      </w:r>
      <w:r>
        <w:rPr>
          <w:rFonts w:ascii="MS PGothic" w:cs="MS PGothic" w:eastAsia="MS PGothic" w:hAnsi="MS PGothic"/>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left="1040" w:right="1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4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1040" w:right="300"/>
        <w:spacing w:after="0" w:line="259" w:lineRule="auto"/>
        <w:rPr>
          <w:sz w:val="20"/>
          <w:szCs w:val="20"/>
          <w:color w:val="auto"/>
        </w:rPr>
      </w:pPr>
      <w:r>
        <w:rPr>
          <w:rFonts w:ascii="Arial" w:cs="Arial" w:eastAsia="Arial" w:hAnsi="Arial"/>
          <w:sz w:val="18"/>
          <w:szCs w:val="18"/>
          <w:color w:val="auto"/>
        </w:rPr>
        <w:t>The Reporting Persons may be deemed to be members of a group with respect to the Common Stock owned of record by CCP, CCP2 and Blackwell. CCP is the record owner of 1,658,027 shares of Common Stock, CCP2 is the record owner of 239,293 and Blackwell is the record owner of 956,466 shares of Common Stock.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96"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4" w:right="379" w:bottom="1440" w:gutter="0" w:footer="0" w:header="0"/>
        </w:sectPr>
      </w:pPr>
    </w:p>
    <w:bookmarkStart w:id="11" w:name="page12"/>
    <w:bookmarkEnd w:id="11"/>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Dated: February 14, 2013</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419"/>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MANAGEMENT, LLC</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COLISEUM CAPITAL, LLC</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Christopher Shackelton</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By  /s/ Adam Gray</w:t>
            </w:r>
          </w:p>
        </w:tc>
      </w:tr>
      <w:tr>
        <w:trPr>
          <w:trHeight w:val="217"/>
        </w:trPr>
        <w:tc>
          <w:tcPr>
            <w:tcW w:w="260" w:type="dxa"/>
            <w:vAlign w:val="bottom"/>
          </w:tcPr>
          <w:p>
            <w:pPr>
              <w:spacing w:after="0"/>
              <w:rPr>
                <w:sz w:val="18"/>
                <w:szCs w:val="18"/>
                <w:color w:val="auto"/>
              </w:rPr>
            </w:pPr>
          </w:p>
        </w:tc>
        <w:tc>
          <w:tcPr>
            <w:tcW w:w="51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Christopher Shackelton, Manager</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Adam Gray, Manager</w:t>
            </w:r>
          </w:p>
        </w:tc>
      </w:tr>
      <w:tr>
        <w:trPr>
          <w:trHeight w:val="42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PARTNERS, L.P.</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COLISEUM CAPITAL PARTNERS II, L.P.</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Coliseum Capital, LLC, General Partner</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By: Coliseum Capital, LLC, General Partner</w:t>
            </w:r>
          </w:p>
        </w:tc>
      </w:tr>
      <w:tr>
        <w:trPr>
          <w:trHeight w:val="433"/>
        </w:trPr>
        <w:tc>
          <w:tcPr>
            <w:tcW w:w="538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By: /s/ Adam Gray</w:t>
            </w:r>
          </w:p>
        </w:tc>
      </w:tr>
      <w:tr>
        <w:trPr>
          <w:trHeight w:val="217"/>
        </w:trPr>
        <w:tc>
          <w:tcPr>
            <w:tcW w:w="260" w:type="dxa"/>
            <w:vAlign w:val="bottom"/>
          </w:tcPr>
          <w:p>
            <w:pPr>
              <w:spacing w:after="0"/>
              <w:rPr>
                <w:sz w:val="18"/>
                <w:szCs w:val="18"/>
                <w:color w:val="auto"/>
              </w:rPr>
            </w:pPr>
          </w:p>
        </w:tc>
        <w:tc>
          <w:tcPr>
            <w:tcW w:w="51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Adam Gray, Manager</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Adam Gray, Manager</w:t>
            </w:r>
          </w:p>
        </w:tc>
      </w:tr>
      <w:tr>
        <w:trPr>
          <w:trHeight w:val="42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BLACKWELL PARTNERS, LLC</w:t>
            </w:r>
          </w:p>
        </w:tc>
        <w:tc>
          <w:tcPr>
            <w:tcW w:w="560" w:type="dxa"/>
            <w:vAlign w:val="bottom"/>
          </w:tcPr>
          <w:p>
            <w:pPr>
              <w:spacing w:after="0"/>
              <w:rPr>
                <w:sz w:val="24"/>
                <w:szCs w:val="24"/>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ADAM GRAY</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Coliseum Capital Management, LLC,</w:t>
            </w:r>
          </w:p>
        </w:tc>
        <w:tc>
          <w:tcPr>
            <w:tcW w:w="560" w:type="dxa"/>
            <w:vAlign w:val="bottom"/>
          </w:tcPr>
          <w:p>
            <w:pPr>
              <w:spacing w:after="0"/>
              <w:rPr>
                <w:sz w:val="24"/>
                <w:szCs w:val="24"/>
                <w:color w:val="auto"/>
              </w:rPr>
            </w:pPr>
          </w:p>
        </w:tc>
        <w:tc>
          <w:tcPr>
            <w:tcW w:w="5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Adam Gray</w:t>
            </w:r>
          </w:p>
        </w:tc>
      </w:tr>
      <w:tr>
        <w:trPr>
          <w:trHeight w:val="218"/>
        </w:trPr>
        <w:tc>
          <w:tcPr>
            <w:tcW w:w="260" w:type="dxa"/>
            <w:vAlign w:val="bottom"/>
          </w:tcPr>
          <w:p>
            <w:pPr>
              <w:spacing w:after="0"/>
              <w:rPr>
                <w:sz w:val="18"/>
                <w:szCs w:val="18"/>
                <w:color w:val="auto"/>
              </w:rPr>
            </w:pPr>
          </w:p>
        </w:tc>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Attorney-in-fact</w:t>
            </w:r>
          </w:p>
        </w:tc>
        <w:tc>
          <w:tcPr>
            <w:tcW w:w="560" w:type="dxa"/>
            <w:vAlign w:val="bottom"/>
          </w:tcPr>
          <w:p>
            <w:pPr>
              <w:spacing w:after="0"/>
              <w:rPr>
                <w:sz w:val="18"/>
                <w:szCs w:val="18"/>
                <w:color w:val="auto"/>
              </w:rPr>
            </w:pP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Adam Gray</w:t>
            </w:r>
          </w:p>
        </w:tc>
      </w:tr>
      <w:tr>
        <w:trPr>
          <w:trHeight w:val="425"/>
        </w:trPr>
        <w:tc>
          <w:tcPr>
            <w:tcW w:w="538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17"/>
        </w:trPr>
        <w:tc>
          <w:tcPr>
            <w:tcW w:w="260" w:type="dxa"/>
            <w:vAlign w:val="bottom"/>
          </w:tcPr>
          <w:p>
            <w:pPr>
              <w:spacing w:after="0"/>
              <w:rPr>
                <w:sz w:val="18"/>
                <w:szCs w:val="18"/>
                <w:color w:val="auto"/>
              </w:rPr>
            </w:pPr>
          </w:p>
        </w:tc>
        <w:tc>
          <w:tcPr>
            <w:tcW w:w="51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Adam Gray, Manager</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42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CHRISTOPHER SHACKELTON</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3"/>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Shackelton</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17"/>
        </w:trPr>
        <w:tc>
          <w:tcPr>
            <w:tcW w:w="5380" w:type="dxa"/>
            <w:vAlign w:val="bottom"/>
            <w:gridSpan w:val="2"/>
          </w:tcPr>
          <w:p>
            <w:pPr>
              <w:spacing w:after="0"/>
              <w:rPr>
                <w:sz w:val="20"/>
                <w:szCs w:val="20"/>
                <w:color w:val="auto"/>
              </w:rPr>
            </w:pPr>
            <w:r>
              <w:rPr>
                <w:rFonts w:ascii="Arial" w:cs="Arial" w:eastAsia="Arial" w:hAnsi="Arial"/>
                <w:sz w:val="18"/>
                <w:szCs w:val="18"/>
                <w:color w:val="auto"/>
              </w:rPr>
              <w:t>Christopher Shackelton</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356"/>
        </w:trPr>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lvl w:ilvl="1">
      <w:lvlJc w:val="left"/>
      <w:lvlText w:val="(%2)"/>
      <w:numFmt w:val="lowerRoman"/>
      <w:start w:val="1"/>
    </w:lvl>
  </w:abstractNum>
  <w:abstractNum w:abstractNumId="7">
    <w:nsid w:val="12200854"/>
    <w:multiLevelType w:val="hybridMultilevel"/>
    <w:lvl w:ilvl="0">
      <w:lvlJc w:val="left"/>
      <w:lvlText w:val="(%1)"/>
      <w:numFmt w:val="lowerRoman"/>
      <w:start w:val="6"/>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2019-12-06T00:41:43Z</dcterms:created>
  <dcterms:modified xsi:type="dcterms:W3CDTF">2019-12-06T00:41:43Z</dcterms:modified>
</cp:coreProperties>
</file>