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ind w:left="466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295910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1220"/>
        <w:spacing w:after="0"/>
        <w:rPr>
          <w:sz w:val="20"/>
          <w:szCs w:val="20"/>
          <w:color w:val="auto"/>
        </w:rPr>
      </w:pPr>
      <w:r>
        <w:rPr>
          <w:rFonts w:ascii="Arial" w:cs="Arial" w:eastAsia="Arial" w:hAnsi="Arial"/>
          <w:sz w:val="32"/>
          <w:szCs w:val="32"/>
          <w:b w:val="1"/>
          <w:bCs w:val="1"/>
          <w:color w:val="auto"/>
        </w:rPr>
        <w:t>SCHEDULE 13G</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13d-102)</w:t>
      </w:r>
    </w:p>
    <w:p>
      <w:pPr>
        <w:spacing w:after="0" w:line="182" w:lineRule="exact"/>
        <w:rPr>
          <w:sz w:val="24"/>
          <w:szCs w:val="24"/>
          <w:color w:val="auto"/>
        </w:rPr>
      </w:pPr>
    </w:p>
    <w:p>
      <w:pPr>
        <w:jc w:val="right"/>
        <w:ind w:right="699"/>
        <w:spacing w:after="0"/>
        <w:rPr>
          <w:sz w:val="20"/>
          <w:szCs w:val="20"/>
          <w:color w:val="auto"/>
        </w:rPr>
      </w:pPr>
      <w:r>
        <w:rPr>
          <w:rFonts w:ascii="Arial" w:cs="Arial" w:eastAsia="Arial" w:hAnsi="Arial"/>
          <w:sz w:val="22"/>
          <w:szCs w:val="22"/>
          <w:b w:val="1"/>
          <w:bCs w:val="1"/>
          <w:color w:val="auto"/>
        </w:rPr>
        <w:t>INFORMATION TO BE INCLUDED IN STATEMENTS FILED PURSUANT TO</w:t>
      </w:r>
    </w:p>
    <w:p>
      <w:pPr>
        <w:spacing w:after="0" w:line="4" w:lineRule="exact"/>
        <w:rPr>
          <w:sz w:val="24"/>
          <w:szCs w:val="24"/>
          <w:color w:val="auto"/>
        </w:rPr>
      </w:pPr>
    </w:p>
    <w:p>
      <w:pPr>
        <w:jc w:val="center"/>
        <w:ind w:right="-1220"/>
        <w:spacing w:after="0"/>
        <w:rPr>
          <w:sz w:val="20"/>
          <w:szCs w:val="20"/>
          <w:color w:val="auto"/>
        </w:rPr>
      </w:pPr>
      <w:r>
        <w:rPr>
          <w:rFonts w:ascii="Arial" w:cs="Arial" w:eastAsia="Arial" w:hAnsi="Arial"/>
          <w:sz w:val="22"/>
          <w:szCs w:val="22"/>
          <w:b w:val="1"/>
          <w:bCs w:val="1"/>
          <w:color w:val="auto"/>
        </w:rPr>
        <w:t>RULES 13d-1(b), (c) AND (d) AND AMENDMENTS THERETO FILED</w:t>
      </w:r>
    </w:p>
    <w:p>
      <w:pPr>
        <w:jc w:val="center"/>
        <w:ind w:right="-1220"/>
        <w:spacing w:after="0"/>
        <w:rPr>
          <w:sz w:val="20"/>
          <w:szCs w:val="20"/>
          <w:color w:val="auto"/>
        </w:rPr>
      </w:pPr>
      <w:r>
        <w:rPr>
          <w:rFonts w:ascii="Arial" w:cs="Arial" w:eastAsia="Arial" w:hAnsi="Arial"/>
          <w:sz w:val="22"/>
          <w:szCs w:val="22"/>
          <w:b w:val="1"/>
          <w:bCs w:val="1"/>
          <w:color w:val="auto"/>
        </w:rPr>
        <w:t>PURSUANT TO RULE 13d-2(b)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304800</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220"/>
        <w:spacing w:after="0"/>
        <w:rPr>
          <w:sz w:val="20"/>
          <w:szCs w:val="20"/>
          <w:color w:val="auto"/>
        </w:rPr>
      </w:pPr>
      <w:r>
        <w:rPr>
          <w:rFonts w:ascii="Arial" w:cs="Arial" w:eastAsia="Arial" w:hAnsi="Arial"/>
          <w:sz w:val="40"/>
          <w:szCs w:val="40"/>
          <w:b w:val="1"/>
          <w:bCs w:val="1"/>
          <w:color w:val="auto"/>
        </w:rPr>
        <w:t>Destination XL Group, Inc.</w:t>
      </w:r>
    </w:p>
    <w:p>
      <w:pPr>
        <w:spacing w:after="0" w:line="35"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(Name of Issuer)</w:t>
      </w:r>
    </w:p>
    <w:p>
      <w:pPr>
        <w:spacing w:after="0" w:line="200" w:lineRule="exact"/>
        <w:rPr>
          <w:sz w:val="24"/>
          <w:szCs w:val="24"/>
          <w:color w:val="auto"/>
        </w:rPr>
      </w:pP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Common Stock, $0.01 par value</w:t>
      </w:r>
    </w:p>
    <w:p>
      <w:pPr>
        <w:spacing w:after="0" w:line="21" w:lineRule="exact"/>
        <w:rPr>
          <w:sz w:val="24"/>
          <w:szCs w:val="24"/>
          <w:color w:val="auto"/>
        </w:rPr>
      </w:pPr>
    </w:p>
    <w:p>
      <w:pPr>
        <w:ind w:left="4860"/>
        <w:spacing w:after="0"/>
        <w:rPr>
          <w:sz w:val="20"/>
          <w:szCs w:val="20"/>
          <w:color w:val="auto"/>
        </w:rPr>
      </w:pPr>
      <w:r>
        <w:rPr>
          <w:rFonts w:ascii="Arial" w:cs="Arial" w:eastAsia="Arial" w:hAnsi="Arial"/>
          <w:sz w:val="14"/>
          <w:szCs w:val="14"/>
          <w:b w:val="1"/>
          <w:bCs w:val="1"/>
          <w:color w:val="auto"/>
        </w:rPr>
        <w:t>(Title of Class of Securities)</w:t>
      </w:r>
    </w:p>
    <w:p>
      <w:pPr>
        <w:spacing w:after="0" w:line="200" w:lineRule="exact"/>
        <w:rPr>
          <w:sz w:val="24"/>
          <w:szCs w:val="24"/>
          <w:color w:val="auto"/>
        </w:rPr>
      </w:pPr>
    </w:p>
    <w:p>
      <w:pPr>
        <w:spacing w:after="0" w:line="208"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25065K104</w:t>
      </w:r>
    </w:p>
    <w:p>
      <w:pPr>
        <w:spacing w:after="0" w:line="21" w:lineRule="exact"/>
        <w:rPr>
          <w:sz w:val="24"/>
          <w:szCs w:val="24"/>
          <w:color w:val="auto"/>
        </w:rPr>
      </w:pPr>
    </w:p>
    <w:p>
      <w:pPr>
        <w:ind w:left="5180"/>
        <w:spacing w:after="0"/>
        <w:rPr>
          <w:sz w:val="20"/>
          <w:szCs w:val="20"/>
          <w:color w:val="auto"/>
        </w:rPr>
      </w:pPr>
      <w:r>
        <w:rPr>
          <w:rFonts w:ascii="Arial" w:cs="Arial" w:eastAsia="Arial" w:hAnsi="Arial"/>
          <w:sz w:val="14"/>
          <w:szCs w:val="14"/>
          <w:b w:val="1"/>
          <w:bCs w:val="1"/>
          <w:color w:val="auto"/>
        </w:rPr>
        <w:t>(CUSIP Number)</w:t>
      </w:r>
    </w:p>
    <w:p>
      <w:pPr>
        <w:spacing w:after="0" w:line="200" w:lineRule="exact"/>
        <w:rPr>
          <w:sz w:val="24"/>
          <w:szCs w:val="24"/>
          <w:color w:val="auto"/>
        </w:rPr>
      </w:pPr>
    </w:p>
    <w:p>
      <w:pPr>
        <w:spacing w:after="0" w:line="208"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December 31, 2017</w:t>
      </w:r>
    </w:p>
    <w:p>
      <w:pPr>
        <w:spacing w:after="0" w:line="21" w:lineRule="exact"/>
        <w:rPr>
          <w:sz w:val="24"/>
          <w:szCs w:val="24"/>
          <w:color w:val="auto"/>
        </w:rPr>
      </w:pPr>
    </w:p>
    <w:p>
      <w:pPr>
        <w:ind w:left="40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296545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70"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680" w:hanging="216"/>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sz w:val="24"/>
          <w:szCs w:val="24"/>
          <w:color w:val="auto"/>
        </w:rPr>
      </w:pPr>
    </w:p>
    <w:p>
      <w:pPr>
        <w:ind w:left="680" w:hanging="216"/>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225" w:lineRule="exact"/>
        <w:rPr>
          <w:rFonts w:ascii="MS PGothic" w:cs="MS PGothic" w:eastAsia="MS PGothic" w:hAnsi="MS PGothic"/>
          <w:sz w:val="18"/>
          <w:szCs w:val="18"/>
          <w:color w:val="auto"/>
        </w:rPr>
      </w:pPr>
    </w:p>
    <w:p>
      <w:pPr>
        <w:ind w:left="680" w:hanging="216"/>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517"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1760" w:type="dxa"/>
            <w:vAlign w:val="bottom"/>
            <w:gridSpan w:val="7"/>
          </w:tcPr>
          <w:p>
            <w:pPr>
              <w:spacing w:after="0"/>
              <w:rPr>
                <w:sz w:val="20"/>
                <w:szCs w:val="20"/>
                <w:color w:val="auto"/>
              </w:rPr>
            </w:pPr>
            <w:r>
              <w:rPr>
                <w:rFonts w:ascii="Arial" w:cs="Arial" w:eastAsia="Arial" w:hAnsi="Arial"/>
                <w:sz w:val="18"/>
                <w:szCs w:val="18"/>
                <w:color w:val="auto"/>
                <w:w w:val="93"/>
              </w:rPr>
              <w:t>CUSIP No. 25065K104</w:t>
            </w:r>
          </w:p>
        </w:tc>
        <w:tc>
          <w:tcPr>
            <w:tcW w:w="9680" w:type="dxa"/>
            <w:vAlign w:val="bottom"/>
          </w:tcPr>
          <w:p>
            <w:pPr>
              <w:ind w:left="404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6"/>
                <w:szCs w:val="16"/>
                <w:color w:val="auto"/>
              </w:rPr>
            </w:pPr>
          </w:p>
        </w:tc>
        <w:tc>
          <w:tcPr>
            <w:tcW w:w="1076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Prescott Group Capital Management, L.L.C.</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20" w:type="dxa"/>
            <w:vAlign w:val="bottom"/>
            <w:tcBorders>
              <w:right w:val="single" w:sz="8" w:color="auto"/>
            </w:tcBorders>
            <w:gridSpan w:val="3"/>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State of Oklahoma</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80" w:type="dxa"/>
            <w:vAlign w:val="bottom"/>
          </w:tcPr>
          <w:p>
            <w:pPr>
              <w:spacing w:after="0"/>
              <w:rPr>
                <w:sz w:val="20"/>
                <w:szCs w:val="20"/>
                <w:color w:val="auto"/>
              </w:rPr>
            </w:pPr>
          </w:p>
        </w:tc>
        <w:tc>
          <w:tcPr>
            <w:tcW w:w="9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4,763,025</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80" w:type="dxa"/>
            <w:vAlign w:val="bottom"/>
          </w:tcPr>
          <w:p>
            <w:pPr>
              <w:spacing w:after="0"/>
              <w:rPr>
                <w:sz w:val="20"/>
                <w:szCs w:val="20"/>
                <w:color w:val="auto"/>
              </w:rPr>
            </w:pPr>
          </w:p>
        </w:tc>
        <w:tc>
          <w:tcPr>
            <w:tcW w:w="9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5"/>
                <w:szCs w:val="15"/>
                <w:color w:val="auto"/>
              </w:rPr>
            </w:pPr>
          </w:p>
        </w:tc>
        <w:tc>
          <w:tcPr>
            <w:tcW w:w="1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5"/>
                <w:szCs w:val="15"/>
                <w:color w:val="auto"/>
              </w:rPr>
            </w:pPr>
          </w:p>
        </w:tc>
        <w:tc>
          <w:tcPr>
            <w:tcW w:w="96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4,763,025</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12"/>
                <w:szCs w:val="12"/>
                <w:color w:val="auto"/>
              </w:rPr>
            </w:pPr>
          </w:p>
        </w:tc>
        <w:tc>
          <w:tcPr>
            <w:tcW w:w="9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w w:val="75"/>
              </w:rPr>
              <w:t>AGGREGATE</w:t>
            </w:r>
          </w:p>
        </w:tc>
        <w:tc>
          <w:tcPr>
            <w:tcW w:w="976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4,763,025</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9.8%**</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IA</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420" w:firstLine="8"/>
        <w:spacing w:after="0" w:line="277" w:lineRule="auto"/>
        <w:tabs>
          <w:tab w:leader="none" w:pos="446" w:val="left"/>
        </w:tabs>
        <w:numPr>
          <w:ilvl w:val="0"/>
          <w:numId w:val="3"/>
        </w:numPr>
        <w:rPr>
          <w:rFonts w:ascii="Arial" w:cs="Arial" w:eastAsia="Arial" w:hAnsi="Arial"/>
          <w:sz w:val="18"/>
          <w:szCs w:val="18"/>
          <w:color w:val="auto"/>
        </w:rPr>
      </w:pPr>
      <w:r>
        <w:rPr>
          <w:rFonts w:ascii="Arial" w:cs="Arial" w:eastAsia="Arial" w:hAnsi="Arial"/>
          <w:sz w:val="18"/>
          <w:szCs w:val="18"/>
          <w:color w:val="auto"/>
        </w:rPr>
        <w:t>SEE INSTRUCTIONS BEFORE FILLING OUT ** SEE ITEM 4(b).</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40"/>
          </w:cols>
          <w:pgMar w:left="240" w:top="274" w:right="2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1760" w:type="dxa"/>
            <w:vAlign w:val="bottom"/>
            <w:gridSpan w:val="7"/>
          </w:tcPr>
          <w:p>
            <w:pPr>
              <w:spacing w:after="0"/>
              <w:rPr>
                <w:sz w:val="20"/>
                <w:szCs w:val="20"/>
                <w:color w:val="auto"/>
              </w:rPr>
            </w:pPr>
            <w:r>
              <w:rPr>
                <w:rFonts w:ascii="Arial" w:cs="Arial" w:eastAsia="Arial" w:hAnsi="Arial"/>
                <w:sz w:val="18"/>
                <w:szCs w:val="18"/>
                <w:color w:val="auto"/>
                <w:w w:val="93"/>
              </w:rPr>
              <w:t>CUSIP No. 25065K104</w:t>
            </w:r>
          </w:p>
        </w:tc>
        <w:tc>
          <w:tcPr>
            <w:tcW w:w="9680" w:type="dxa"/>
            <w:vAlign w:val="bottom"/>
          </w:tcPr>
          <w:p>
            <w:pPr>
              <w:ind w:left="404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6"/>
                <w:szCs w:val="16"/>
                <w:color w:val="auto"/>
              </w:rPr>
            </w:pPr>
          </w:p>
        </w:tc>
        <w:tc>
          <w:tcPr>
            <w:tcW w:w="1076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Prescott Group Aggressive Small Cap, L.P.</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20" w:type="dxa"/>
            <w:vAlign w:val="bottom"/>
            <w:tcBorders>
              <w:right w:val="single" w:sz="8" w:color="auto"/>
            </w:tcBorders>
            <w:gridSpan w:val="3"/>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State of Oklahoma</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80" w:type="dxa"/>
            <w:vAlign w:val="bottom"/>
          </w:tcPr>
          <w:p>
            <w:pPr>
              <w:spacing w:after="0"/>
              <w:rPr>
                <w:sz w:val="20"/>
                <w:szCs w:val="20"/>
                <w:color w:val="auto"/>
              </w:rPr>
            </w:pPr>
          </w:p>
        </w:tc>
        <w:tc>
          <w:tcPr>
            <w:tcW w:w="9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80" w:type="dxa"/>
            <w:vAlign w:val="bottom"/>
          </w:tcPr>
          <w:p>
            <w:pPr>
              <w:spacing w:after="0"/>
              <w:rPr>
                <w:sz w:val="20"/>
                <w:szCs w:val="20"/>
                <w:color w:val="auto"/>
              </w:rPr>
            </w:pPr>
          </w:p>
        </w:tc>
        <w:tc>
          <w:tcPr>
            <w:tcW w:w="9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4,763,025</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5"/>
                <w:szCs w:val="15"/>
                <w:color w:val="auto"/>
              </w:rPr>
            </w:pPr>
          </w:p>
        </w:tc>
        <w:tc>
          <w:tcPr>
            <w:tcW w:w="1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5"/>
                <w:szCs w:val="15"/>
                <w:color w:val="auto"/>
              </w:rPr>
            </w:pPr>
          </w:p>
        </w:tc>
        <w:tc>
          <w:tcPr>
            <w:tcW w:w="96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12"/>
                <w:szCs w:val="12"/>
                <w:color w:val="auto"/>
              </w:rPr>
            </w:pPr>
          </w:p>
        </w:tc>
        <w:tc>
          <w:tcPr>
            <w:tcW w:w="9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4,763,025</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w w:val="75"/>
              </w:rPr>
              <w:t>AGGREGATE</w:t>
            </w:r>
          </w:p>
        </w:tc>
        <w:tc>
          <w:tcPr>
            <w:tcW w:w="976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4,763,025</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9.8%**</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420" w:firstLine="8"/>
        <w:spacing w:after="0" w:line="277" w:lineRule="auto"/>
        <w:tabs>
          <w:tab w:leader="none" w:pos="446" w:val="left"/>
        </w:tabs>
        <w:numPr>
          <w:ilvl w:val="0"/>
          <w:numId w:val="4"/>
        </w:numPr>
        <w:rPr>
          <w:rFonts w:ascii="Arial" w:cs="Arial" w:eastAsia="Arial" w:hAnsi="Arial"/>
          <w:sz w:val="18"/>
          <w:szCs w:val="18"/>
          <w:color w:val="auto"/>
        </w:rPr>
      </w:pPr>
      <w:r>
        <w:rPr>
          <w:rFonts w:ascii="Arial" w:cs="Arial" w:eastAsia="Arial" w:hAnsi="Arial"/>
          <w:sz w:val="18"/>
          <w:szCs w:val="18"/>
          <w:color w:val="auto"/>
        </w:rPr>
        <w:t>SEE INSTRUCTIONS BEFORE FILLING OUT ** SEE ITEM 4(b).</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40"/>
          </w:cols>
          <w:pgMar w:left="240" w:top="274" w:right="2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0"/>
        </w:trPr>
        <w:tc>
          <w:tcPr>
            <w:tcW w:w="1760" w:type="dxa"/>
            <w:vAlign w:val="bottom"/>
            <w:gridSpan w:val="7"/>
          </w:tcPr>
          <w:p>
            <w:pPr>
              <w:spacing w:after="0"/>
              <w:rPr>
                <w:sz w:val="20"/>
                <w:szCs w:val="20"/>
                <w:color w:val="auto"/>
              </w:rPr>
            </w:pPr>
            <w:r>
              <w:rPr>
                <w:rFonts w:ascii="Arial" w:cs="Arial" w:eastAsia="Arial" w:hAnsi="Arial"/>
                <w:sz w:val="18"/>
                <w:szCs w:val="18"/>
                <w:color w:val="auto"/>
                <w:w w:val="93"/>
              </w:rPr>
              <w:t>CUSIP No. 25065K104</w:t>
            </w:r>
          </w:p>
        </w:tc>
        <w:tc>
          <w:tcPr>
            <w:tcW w:w="9680" w:type="dxa"/>
            <w:vAlign w:val="bottom"/>
          </w:tcPr>
          <w:p>
            <w:pPr>
              <w:ind w:left="404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6"/>
                <w:szCs w:val="16"/>
                <w:color w:val="auto"/>
              </w:rPr>
            </w:pPr>
          </w:p>
        </w:tc>
        <w:tc>
          <w:tcPr>
            <w:tcW w:w="1076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Prescott Group Aggressive Small Cap II, L.P.</w:t>
            </w: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20" w:type="dxa"/>
            <w:vAlign w:val="bottom"/>
            <w:tcBorders>
              <w:right w:val="single" w:sz="8" w:color="auto"/>
            </w:tcBorders>
            <w:gridSpan w:val="3"/>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760" w:type="dxa"/>
            <w:vAlign w:val="bottom"/>
            <w:tcBorders>
              <w:bottom w:val="single" w:sz="8" w:color="auto"/>
              <w:right w:val="single" w:sz="8" w:color="auto"/>
            </w:tcBorders>
            <w:gridSpan w:val="5"/>
          </w:tcPr>
          <w:p>
            <w:pPr>
              <w:ind w:left="100"/>
              <w:spacing w:after="0"/>
              <w:rPr>
                <w:sz w:val="20"/>
                <w:szCs w:val="20"/>
                <w:color w:val="auto"/>
              </w:rPr>
            </w:pPr>
            <w:r>
              <w:rPr>
                <w:rFonts w:ascii="Arial" w:cs="Arial" w:eastAsia="Arial" w:hAnsi="Arial"/>
                <w:sz w:val="18"/>
                <w:szCs w:val="18"/>
                <w:color w:val="auto"/>
              </w:rPr>
              <w:t>State of Oklahoma</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80" w:type="dxa"/>
            <w:vAlign w:val="bottom"/>
          </w:tcPr>
          <w:p>
            <w:pPr>
              <w:spacing w:after="0"/>
              <w:rPr>
                <w:sz w:val="20"/>
                <w:szCs w:val="20"/>
                <w:color w:val="auto"/>
              </w:rPr>
            </w:pPr>
          </w:p>
        </w:tc>
        <w:tc>
          <w:tcPr>
            <w:tcW w:w="9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80" w:type="dxa"/>
            <w:vAlign w:val="bottom"/>
          </w:tcPr>
          <w:p>
            <w:pPr>
              <w:spacing w:after="0"/>
              <w:rPr>
                <w:sz w:val="20"/>
                <w:szCs w:val="20"/>
                <w:color w:val="auto"/>
              </w:rPr>
            </w:pPr>
          </w:p>
        </w:tc>
        <w:tc>
          <w:tcPr>
            <w:tcW w:w="9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4,763,025</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5"/>
                <w:szCs w:val="15"/>
                <w:color w:val="auto"/>
              </w:rPr>
            </w:pPr>
          </w:p>
        </w:tc>
        <w:tc>
          <w:tcPr>
            <w:tcW w:w="1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5"/>
                <w:szCs w:val="15"/>
                <w:color w:val="auto"/>
              </w:rPr>
            </w:pPr>
          </w:p>
        </w:tc>
        <w:tc>
          <w:tcPr>
            <w:tcW w:w="96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12"/>
                <w:szCs w:val="12"/>
                <w:color w:val="auto"/>
              </w:rPr>
            </w:pPr>
          </w:p>
        </w:tc>
        <w:tc>
          <w:tcPr>
            <w:tcW w:w="9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4,763,025</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w w:val="75"/>
              </w:rPr>
              <w:t>AGGREGATE</w:t>
            </w:r>
          </w:p>
        </w:tc>
        <w:tc>
          <w:tcPr>
            <w:tcW w:w="976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4,763,025</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9.8%**</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PN</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420" w:firstLine="8"/>
        <w:spacing w:after="0" w:line="277"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 INSTRUCTIONS BEFORE FILLING OUT ** SEE ITEM 4(b).</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40"/>
          </w:cols>
          <w:pgMar w:left="240" w:top="274"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1760" w:type="dxa"/>
            <w:vAlign w:val="bottom"/>
            <w:gridSpan w:val="7"/>
          </w:tcPr>
          <w:p>
            <w:pPr>
              <w:spacing w:after="0"/>
              <w:rPr>
                <w:sz w:val="20"/>
                <w:szCs w:val="20"/>
                <w:color w:val="auto"/>
              </w:rPr>
            </w:pPr>
            <w:r>
              <w:rPr>
                <w:rFonts w:ascii="Arial" w:cs="Arial" w:eastAsia="Arial" w:hAnsi="Arial"/>
                <w:sz w:val="18"/>
                <w:szCs w:val="18"/>
                <w:color w:val="auto"/>
                <w:w w:val="93"/>
              </w:rPr>
              <w:t>CUSIP No. 25065K104</w:t>
            </w:r>
          </w:p>
        </w:tc>
        <w:tc>
          <w:tcPr>
            <w:tcW w:w="9680" w:type="dxa"/>
            <w:vAlign w:val="bottom"/>
          </w:tcPr>
          <w:p>
            <w:pPr>
              <w:ind w:left="4040"/>
              <w:spacing w:after="0"/>
              <w:rPr>
                <w:sz w:val="20"/>
                <w:szCs w:val="20"/>
                <w:color w:val="auto"/>
              </w:rPr>
            </w:pPr>
            <w:r>
              <w:rPr>
                <w:rFonts w:ascii="Arial" w:cs="Arial" w:eastAsia="Arial" w:hAnsi="Arial"/>
                <w:sz w:val="18"/>
                <w:szCs w:val="18"/>
                <w:color w:val="auto"/>
              </w:rPr>
              <w:t>13G</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760" w:type="dxa"/>
            <w:vAlign w:val="bottom"/>
            <w:tcBorders>
              <w:bottom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40" w:type="dxa"/>
            <w:vAlign w:val="bottom"/>
            <w:tcBorders>
              <w:right w:val="single" w:sz="8" w:color="auto"/>
            </w:tcBorders>
          </w:tcPr>
          <w:p>
            <w:pPr>
              <w:spacing w:after="0"/>
              <w:rPr>
                <w:sz w:val="16"/>
                <w:szCs w:val="16"/>
                <w:color w:val="auto"/>
              </w:rPr>
            </w:pPr>
          </w:p>
        </w:tc>
        <w:tc>
          <w:tcPr>
            <w:tcW w:w="360" w:type="dxa"/>
            <w:vAlign w:val="bottom"/>
          </w:tcPr>
          <w:p>
            <w:pPr>
              <w:jc w:val="right"/>
              <w:spacing w:after="0" w:line="195" w:lineRule="exact"/>
              <w:rPr>
                <w:sz w:val="20"/>
                <w:szCs w:val="20"/>
                <w:color w:val="auto"/>
              </w:rPr>
            </w:pPr>
            <w:r>
              <w:rPr>
                <w:rFonts w:ascii="Arial" w:cs="Arial" w:eastAsia="Arial" w:hAnsi="Arial"/>
                <w:sz w:val="18"/>
                <w:szCs w:val="18"/>
                <w:color w:val="auto"/>
              </w:rPr>
              <w:t>1</w:t>
            </w:r>
          </w:p>
        </w:tc>
        <w:tc>
          <w:tcPr>
            <w:tcW w:w="280" w:type="dxa"/>
            <w:vAlign w:val="bottom"/>
            <w:tcBorders>
              <w:right w:val="single" w:sz="8" w:color="auto"/>
            </w:tcBorders>
          </w:tcPr>
          <w:p>
            <w:pPr>
              <w:spacing w:after="0"/>
              <w:rPr>
                <w:sz w:val="16"/>
                <w:szCs w:val="16"/>
                <w:color w:val="auto"/>
              </w:rPr>
            </w:pPr>
          </w:p>
        </w:tc>
        <w:tc>
          <w:tcPr>
            <w:tcW w:w="10760" w:type="dxa"/>
            <w:vAlign w:val="bottom"/>
            <w:tcBorders>
              <w:right w:val="single" w:sz="8" w:color="auto"/>
            </w:tcBorders>
            <w:gridSpan w:val="5"/>
          </w:tcPr>
          <w:p>
            <w:pPr>
              <w:ind w:left="100"/>
              <w:spacing w:after="0" w:line="195" w:lineRule="exact"/>
              <w:rPr>
                <w:sz w:val="20"/>
                <w:szCs w:val="20"/>
                <w:color w:val="auto"/>
              </w:rPr>
            </w:pPr>
            <w:r>
              <w:rPr>
                <w:rFonts w:ascii="Arial" w:cs="Arial" w:eastAsia="Arial" w:hAnsi="Arial"/>
                <w:sz w:val="18"/>
                <w:szCs w:val="18"/>
                <w:color w:val="auto"/>
              </w:rPr>
              <w:t>NAME OF REPORTING PERSONS</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I.R.S. IDENTIFICATION NO. OF ABOVE PERSONS (ENTITIES ONLY)</w:t>
            </w:r>
          </w:p>
        </w:tc>
        <w:tc>
          <w:tcPr>
            <w:tcW w:w="0" w:type="dxa"/>
            <w:vAlign w:val="bottom"/>
          </w:tcPr>
          <w:p>
            <w:pPr>
              <w:spacing w:after="0"/>
              <w:rPr>
                <w:sz w:val="1"/>
                <w:szCs w:val="1"/>
                <w:color w:val="auto"/>
              </w:rPr>
            </w:pPr>
          </w:p>
        </w:tc>
      </w:tr>
      <w:tr>
        <w:trPr>
          <w:trHeight w:val="466"/>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w w:val="96"/>
              </w:rPr>
              <w:t>Phil Frohlich</w:t>
            </w: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0" w:type="dxa"/>
            <w:vAlign w:val="bottom"/>
            <w:tcBorders>
              <w:right w:val="single" w:sz="8" w:color="auto"/>
            </w:tcBorders>
          </w:tcPr>
          <w:p>
            <w:pPr>
              <w:spacing w:after="0"/>
              <w:rPr>
                <w:sz w:val="14"/>
                <w:szCs w:val="14"/>
                <w:color w:val="auto"/>
              </w:rPr>
            </w:pPr>
          </w:p>
        </w:tc>
        <w:tc>
          <w:tcPr>
            <w:tcW w:w="360" w:type="dxa"/>
            <w:vAlign w:val="bottom"/>
          </w:tcPr>
          <w:p>
            <w:pPr>
              <w:jc w:val="right"/>
              <w:spacing w:after="0" w:line="170" w:lineRule="exact"/>
              <w:rPr>
                <w:sz w:val="20"/>
                <w:szCs w:val="20"/>
                <w:color w:val="auto"/>
              </w:rPr>
            </w:pPr>
            <w:r>
              <w:rPr>
                <w:rFonts w:ascii="Arial" w:cs="Arial" w:eastAsia="Arial" w:hAnsi="Arial"/>
                <w:sz w:val="18"/>
                <w:szCs w:val="18"/>
                <w:color w:val="auto"/>
              </w:rPr>
              <w:t>2</w:t>
            </w:r>
          </w:p>
        </w:tc>
        <w:tc>
          <w:tcPr>
            <w:tcW w:w="280" w:type="dxa"/>
            <w:vAlign w:val="bottom"/>
            <w:tcBorders>
              <w:right w:val="single" w:sz="8" w:color="auto"/>
            </w:tcBorders>
          </w:tcPr>
          <w:p>
            <w:pPr>
              <w:spacing w:after="0"/>
              <w:rPr>
                <w:sz w:val="14"/>
                <w:szCs w:val="14"/>
                <w:color w:val="auto"/>
              </w:rPr>
            </w:pPr>
          </w:p>
        </w:tc>
        <w:tc>
          <w:tcPr>
            <w:tcW w:w="10760" w:type="dxa"/>
            <w:vAlign w:val="bottom"/>
            <w:tcBorders>
              <w:right w:val="single" w:sz="8" w:color="auto"/>
            </w:tcBorders>
            <w:gridSpan w:val="5"/>
          </w:tcPr>
          <w:p>
            <w:pPr>
              <w:ind w:left="100"/>
              <w:spacing w:after="0" w:line="170" w:lineRule="exact"/>
              <w:rPr>
                <w:sz w:val="20"/>
                <w:szCs w:val="20"/>
                <w:color w:val="auto"/>
              </w:rPr>
            </w:pPr>
            <w:r>
              <w:rPr>
                <w:rFonts w:ascii="Arial" w:cs="Arial" w:eastAsia="Arial" w:hAnsi="Arial"/>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40" w:type="dxa"/>
            <w:vAlign w:val="bottom"/>
            <w:tcBorders>
              <w:right w:val="single" w:sz="8" w:color="auto"/>
            </w:tcBorders>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Borders>
              <w:right w:val="single" w:sz="8" w:color="auto"/>
            </w:tcBorders>
          </w:tcPr>
          <w:p>
            <w:pPr>
              <w:spacing w:after="0"/>
              <w:rPr>
                <w:sz w:val="24"/>
                <w:szCs w:val="24"/>
                <w:color w:val="auto"/>
              </w:rPr>
            </w:pPr>
          </w:p>
        </w:tc>
        <w:tc>
          <w:tcPr>
            <w:tcW w:w="840" w:type="dxa"/>
            <w:vAlign w:val="bottom"/>
            <w:gridSpan w:val="2"/>
          </w:tcPr>
          <w:p>
            <w:pPr>
              <w:ind w:left="100"/>
              <w:spacing w:after="0" w:line="207" w:lineRule="exact"/>
              <w:rPr>
                <w:sz w:val="20"/>
                <w:szCs w:val="20"/>
                <w:color w:val="auto"/>
              </w:rPr>
            </w:pPr>
            <w:r>
              <w:rPr>
                <w:rFonts w:ascii="Arial" w:cs="Arial" w:eastAsia="Arial" w:hAnsi="Arial"/>
                <w:sz w:val="18"/>
                <w:szCs w:val="18"/>
                <w:color w:val="auto"/>
              </w:rPr>
              <w:t xml:space="preserve">(a) </w:t>
            </w:r>
            <w:r>
              <w:rPr>
                <w:rFonts w:ascii="MS PGothic" w:cs="MS PGothic" w:eastAsia="MS PGothic" w:hAnsi="MS PGothic"/>
                <w:sz w:val="18"/>
                <w:szCs w:val="18"/>
                <w:color w:val="auto"/>
              </w:rPr>
              <w:t>☐</w:t>
            </w:r>
          </w:p>
        </w:tc>
        <w:tc>
          <w:tcPr>
            <w:tcW w:w="9920" w:type="dxa"/>
            <w:vAlign w:val="bottom"/>
            <w:tcBorders>
              <w:right w:val="single" w:sz="8" w:color="auto"/>
            </w:tcBorders>
            <w:gridSpan w:val="3"/>
          </w:tcPr>
          <w:p>
            <w:pPr>
              <w:ind w:left="60"/>
              <w:spacing w:after="0" w:line="207" w:lineRule="exact"/>
              <w:rPr>
                <w:sz w:val="20"/>
                <w:szCs w:val="20"/>
                <w:color w:val="auto"/>
              </w:rPr>
            </w:pPr>
            <w:r>
              <w:rPr>
                <w:rFonts w:ascii="Arial" w:cs="Arial" w:eastAsia="Arial" w:hAnsi="Arial"/>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vMerge w:val="restart"/>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right w:val="single" w:sz="8" w:color="auto"/>
            </w:tcBorders>
          </w:tcPr>
          <w:p>
            <w:pPr>
              <w:spacing w:after="0"/>
              <w:rPr>
                <w:sz w:val="20"/>
                <w:szCs w:val="20"/>
                <w:color w:val="auto"/>
              </w:rPr>
            </w:pPr>
          </w:p>
        </w:tc>
        <w:tc>
          <w:tcPr>
            <w:tcW w:w="10760" w:type="dxa"/>
            <w:vAlign w:val="bottom"/>
            <w:tcBorders>
              <w:bottom w:val="single" w:sz="8" w:color="auto"/>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SEC USE ONLY</w:t>
            </w:r>
          </w:p>
        </w:tc>
        <w:tc>
          <w:tcPr>
            <w:tcW w:w="0" w:type="dxa"/>
            <w:vAlign w:val="bottom"/>
          </w:tcPr>
          <w:p>
            <w:pPr>
              <w:spacing w:after="0"/>
              <w:rPr>
                <w:sz w:val="1"/>
                <w:szCs w:val="1"/>
                <w:color w:val="auto"/>
              </w:rPr>
            </w:pPr>
          </w:p>
        </w:tc>
      </w:tr>
      <w:tr>
        <w:trPr>
          <w:trHeight w:val="242"/>
        </w:trPr>
        <w:tc>
          <w:tcPr>
            <w:tcW w:w="40" w:type="dxa"/>
            <w:vAlign w:val="bottom"/>
            <w:tcBorders>
              <w:right w:val="single" w:sz="8" w:color="auto"/>
            </w:tcBorders>
            <w:vMerge w:val="restart"/>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280" w:type="dxa"/>
            <w:vAlign w:val="bottom"/>
            <w:tcBorders>
              <w:bottom w:val="single" w:sz="8" w:color="auto"/>
              <w:right w:val="single" w:sz="8" w:color="auto"/>
            </w:tcBorders>
          </w:tcPr>
          <w:p>
            <w:pPr>
              <w:spacing w:after="0"/>
              <w:rPr>
                <w:sz w:val="21"/>
                <w:szCs w:val="21"/>
                <w:color w:val="auto"/>
              </w:rPr>
            </w:pPr>
          </w:p>
        </w:tc>
        <w:tc>
          <w:tcPr>
            <w:tcW w:w="10760" w:type="dxa"/>
            <w:vAlign w:val="bottom"/>
            <w:tcBorders>
              <w:bottom w:val="single" w:sz="8" w:color="auto"/>
              <w:right w:val="single" w:sz="8" w:color="auto"/>
            </w:tcBorders>
            <w:gridSpan w:val="5"/>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vMerge w:val="continue"/>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CITIZENSHIP OR PLACE OF ORGANIZATION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tcBorders>
            <w:gridSpan w:val="4"/>
          </w:tcPr>
          <w:p>
            <w:pPr>
              <w:ind w:left="100"/>
              <w:spacing w:after="0"/>
              <w:rPr>
                <w:sz w:val="20"/>
                <w:szCs w:val="20"/>
                <w:color w:val="auto"/>
              </w:rPr>
            </w:pPr>
            <w:r>
              <w:rPr>
                <w:rFonts w:ascii="Arial" w:cs="Arial" w:eastAsia="Arial" w:hAnsi="Arial"/>
                <w:sz w:val="18"/>
                <w:szCs w:val="18"/>
                <w:color w:val="auto"/>
              </w:rPr>
              <w:t>U.S. Citizen</w:t>
            </w: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5</w:t>
            </w:r>
          </w:p>
        </w:tc>
        <w:tc>
          <w:tcPr>
            <w:tcW w:w="80" w:type="dxa"/>
            <w:vAlign w:val="bottom"/>
          </w:tcPr>
          <w:p>
            <w:pPr>
              <w:spacing w:after="0"/>
              <w:rPr>
                <w:sz w:val="20"/>
                <w:szCs w:val="20"/>
                <w:color w:val="auto"/>
              </w:rPr>
            </w:pPr>
          </w:p>
        </w:tc>
        <w:tc>
          <w:tcPr>
            <w:tcW w:w="9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6"/>
              </w:rPr>
              <w:t>NUMBER OF</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4,763,025</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360" w:type="dxa"/>
            <w:vAlign w:val="bottom"/>
          </w:tcPr>
          <w:p>
            <w:pPr>
              <w:spacing w:after="0"/>
              <w:rPr>
                <w:sz w:val="20"/>
                <w:szCs w:val="20"/>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91"/>
              </w:rPr>
              <w:t>SHARES</w:t>
            </w:r>
          </w:p>
        </w:tc>
        <w:tc>
          <w:tcPr>
            <w:tcW w:w="80" w:type="dxa"/>
            <w:vAlign w:val="bottom"/>
          </w:tcPr>
          <w:p>
            <w:pPr>
              <w:spacing w:after="0"/>
              <w:rPr>
                <w:sz w:val="20"/>
                <w:szCs w:val="20"/>
                <w:color w:val="auto"/>
              </w:rPr>
            </w:pPr>
          </w:p>
        </w:tc>
        <w:tc>
          <w:tcPr>
            <w:tcW w:w="1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79"/>
              </w:rPr>
              <w:t>6</w:t>
            </w:r>
          </w:p>
        </w:tc>
        <w:tc>
          <w:tcPr>
            <w:tcW w:w="80" w:type="dxa"/>
            <w:vAlign w:val="bottom"/>
          </w:tcPr>
          <w:p>
            <w:pPr>
              <w:spacing w:after="0"/>
              <w:rPr>
                <w:sz w:val="20"/>
                <w:szCs w:val="20"/>
                <w:color w:val="auto"/>
              </w:rPr>
            </w:pPr>
          </w:p>
        </w:tc>
        <w:tc>
          <w:tcPr>
            <w:tcW w:w="9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10"/>
              <w:spacing w:after="0"/>
              <w:rPr>
                <w:sz w:val="20"/>
                <w:szCs w:val="20"/>
                <w:color w:val="auto"/>
              </w:rPr>
            </w:pPr>
            <w:r>
              <w:rPr>
                <w:rFonts w:ascii="Arial" w:cs="Arial" w:eastAsia="Arial" w:hAnsi="Arial"/>
                <w:sz w:val="18"/>
                <w:szCs w:val="18"/>
                <w:color w:val="auto"/>
                <w:w w:val="99"/>
              </w:rPr>
              <w:t>BENEFICIALLY</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7"/>
              </w:rPr>
              <w:t>OWNED BY</w:t>
            </w: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968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40" w:type="dxa"/>
            <w:vAlign w:val="bottom"/>
            <w:tcBorders>
              <w:right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1040" w:type="dxa"/>
            <w:vAlign w:val="bottom"/>
            <w:tcBorders>
              <w:right w:val="single" w:sz="8" w:color="auto"/>
            </w:tcBorders>
            <w:gridSpan w:val="2"/>
          </w:tcPr>
          <w:p>
            <w:pPr>
              <w:jc w:val="center"/>
              <w:ind w:right="150"/>
              <w:spacing w:after="0" w:line="182" w:lineRule="exact"/>
              <w:rPr>
                <w:sz w:val="20"/>
                <w:szCs w:val="20"/>
                <w:color w:val="auto"/>
              </w:rPr>
            </w:pPr>
            <w:r>
              <w:rPr>
                <w:rFonts w:ascii="Arial" w:cs="Arial" w:eastAsia="Arial" w:hAnsi="Arial"/>
                <w:sz w:val="18"/>
                <w:szCs w:val="18"/>
                <w:color w:val="auto"/>
                <w:w w:val="95"/>
              </w:rPr>
              <w:t>EACH</w:t>
            </w:r>
          </w:p>
        </w:tc>
        <w:tc>
          <w:tcPr>
            <w:tcW w:w="80" w:type="dxa"/>
            <w:vAlign w:val="bottom"/>
          </w:tcPr>
          <w:p>
            <w:pPr>
              <w:spacing w:after="0"/>
              <w:rPr>
                <w:sz w:val="15"/>
                <w:szCs w:val="15"/>
                <w:color w:val="auto"/>
              </w:rPr>
            </w:pPr>
          </w:p>
        </w:tc>
        <w:tc>
          <w:tcPr>
            <w:tcW w:w="160" w:type="dxa"/>
            <w:vAlign w:val="bottom"/>
            <w:tcBorders>
              <w:right w:val="single" w:sz="8" w:color="auto"/>
            </w:tcBorders>
          </w:tcPr>
          <w:p>
            <w:pPr>
              <w:jc w:val="right"/>
              <w:spacing w:after="0" w:line="182" w:lineRule="exact"/>
              <w:rPr>
                <w:sz w:val="20"/>
                <w:szCs w:val="20"/>
                <w:color w:val="auto"/>
              </w:rPr>
            </w:pPr>
            <w:r>
              <w:rPr>
                <w:rFonts w:ascii="Arial" w:cs="Arial" w:eastAsia="Arial" w:hAnsi="Arial"/>
                <w:sz w:val="18"/>
                <w:szCs w:val="18"/>
                <w:color w:val="auto"/>
                <w:w w:val="79"/>
              </w:rPr>
              <w:t>7</w:t>
            </w:r>
          </w:p>
        </w:tc>
        <w:tc>
          <w:tcPr>
            <w:tcW w:w="80" w:type="dxa"/>
            <w:vAlign w:val="bottom"/>
          </w:tcPr>
          <w:p>
            <w:pPr>
              <w:spacing w:after="0"/>
              <w:rPr>
                <w:sz w:val="15"/>
                <w:szCs w:val="15"/>
                <w:color w:val="auto"/>
              </w:rPr>
            </w:pPr>
          </w:p>
        </w:tc>
        <w:tc>
          <w:tcPr>
            <w:tcW w:w="968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40" w:type="dxa"/>
            <w:vAlign w:val="bottom"/>
            <w:tcBorders>
              <w:right w:val="single" w:sz="8" w:color="auto"/>
            </w:tcBorders>
          </w:tcPr>
          <w:p>
            <w:pPr>
              <w:spacing w:after="0"/>
              <w:rPr>
                <w:sz w:val="18"/>
                <w:szCs w:val="18"/>
                <w:color w:val="auto"/>
              </w:rPr>
            </w:pPr>
          </w:p>
        </w:tc>
        <w:tc>
          <w:tcPr>
            <w:tcW w:w="1400" w:type="dxa"/>
            <w:vAlign w:val="bottom"/>
            <w:tcBorders>
              <w:right w:val="single" w:sz="8" w:color="auto"/>
            </w:tcBorders>
            <w:gridSpan w:val="3"/>
          </w:tcPr>
          <w:p>
            <w:pPr>
              <w:jc w:val="center"/>
              <w:ind w:left="30"/>
              <w:spacing w:after="0"/>
              <w:rPr>
                <w:sz w:val="20"/>
                <w:szCs w:val="20"/>
                <w:color w:val="auto"/>
              </w:rPr>
            </w:pPr>
            <w:r>
              <w:rPr>
                <w:rFonts w:ascii="Arial" w:cs="Arial" w:eastAsia="Arial" w:hAnsi="Arial"/>
                <w:sz w:val="18"/>
                <w:szCs w:val="18"/>
                <w:color w:val="auto"/>
                <w:w w:val="93"/>
              </w:rPr>
              <w:t>REPORTING</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 w:type="dxa"/>
            <w:vAlign w:val="bottom"/>
            <w:tcBorders>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Borders>
              <w:right w:val="single" w:sz="8" w:color="auto"/>
            </w:tcBorders>
            <w:gridSpan w:val="2"/>
          </w:tcPr>
          <w:p>
            <w:pPr>
              <w:jc w:val="center"/>
              <w:ind w:right="150"/>
              <w:spacing w:after="0"/>
              <w:rPr>
                <w:sz w:val="20"/>
                <w:szCs w:val="20"/>
                <w:color w:val="auto"/>
              </w:rPr>
            </w:pPr>
            <w:r>
              <w:rPr>
                <w:rFonts w:ascii="Arial" w:cs="Arial" w:eastAsia="Arial" w:hAnsi="Arial"/>
                <w:sz w:val="18"/>
                <w:szCs w:val="18"/>
                <w:color w:val="auto"/>
                <w:w w:val="89"/>
              </w:rPr>
              <w:t>PERSON</w:t>
            </w:r>
          </w:p>
        </w:tc>
        <w:tc>
          <w:tcPr>
            <w:tcW w:w="80" w:type="dxa"/>
            <w:vAlign w:val="bottom"/>
          </w:tcPr>
          <w:p>
            <w:pPr>
              <w:spacing w:after="0"/>
              <w:rPr>
                <w:sz w:val="18"/>
                <w:szCs w:val="18"/>
                <w:color w:val="auto"/>
              </w:rPr>
            </w:pPr>
          </w:p>
        </w:tc>
        <w:tc>
          <w:tcPr>
            <w:tcW w:w="16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9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4,763,025</w:t>
            </w:r>
          </w:p>
        </w:tc>
        <w:tc>
          <w:tcPr>
            <w:tcW w:w="0" w:type="dxa"/>
            <w:vAlign w:val="bottom"/>
          </w:tcPr>
          <w:p>
            <w:pPr>
              <w:spacing w:after="0"/>
              <w:rPr>
                <w:sz w:val="1"/>
                <w:szCs w:val="1"/>
                <w:color w:val="auto"/>
              </w:rPr>
            </w:pPr>
          </w:p>
        </w:tc>
      </w:tr>
      <w:tr>
        <w:trPr>
          <w:trHeight w:val="68"/>
        </w:trPr>
        <w:tc>
          <w:tcPr>
            <w:tcW w:w="40" w:type="dxa"/>
            <w:vAlign w:val="bottom"/>
            <w:tcBorders>
              <w:right w:val="single" w:sz="8" w:color="auto"/>
            </w:tcBorders>
          </w:tcPr>
          <w:p>
            <w:pPr>
              <w:spacing w:after="0"/>
              <w:rPr>
                <w:sz w:val="5"/>
                <w:szCs w:val="5"/>
                <w:color w:val="auto"/>
              </w:rPr>
            </w:pPr>
          </w:p>
        </w:tc>
        <w:tc>
          <w:tcPr>
            <w:tcW w:w="360" w:type="dxa"/>
            <w:vAlign w:val="bottom"/>
          </w:tcPr>
          <w:p>
            <w:pPr>
              <w:spacing w:after="0"/>
              <w:rPr>
                <w:sz w:val="5"/>
                <w:szCs w:val="5"/>
                <w:color w:val="auto"/>
              </w:rPr>
            </w:pPr>
          </w:p>
        </w:tc>
        <w:tc>
          <w:tcPr>
            <w:tcW w:w="1040" w:type="dxa"/>
            <w:vAlign w:val="bottom"/>
            <w:tcBorders>
              <w:right w:val="single" w:sz="8" w:color="auto"/>
            </w:tcBorders>
            <w:gridSpan w:val="2"/>
            <w:vMerge w:val="restart"/>
          </w:tcPr>
          <w:p>
            <w:pPr>
              <w:jc w:val="center"/>
              <w:ind w:right="150"/>
              <w:spacing w:after="0"/>
              <w:rPr>
                <w:sz w:val="20"/>
                <w:szCs w:val="20"/>
                <w:color w:val="auto"/>
              </w:rPr>
            </w:pPr>
            <w:r>
              <w:rPr>
                <w:rFonts w:ascii="Arial" w:cs="Arial" w:eastAsia="Arial" w:hAnsi="Arial"/>
                <w:sz w:val="18"/>
                <w:szCs w:val="18"/>
                <w:color w:val="auto"/>
              </w:rPr>
              <w:t>WITH</w:t>
            </w:r>
          </w:p>
        </w:tc>
        <w:tc>
          <w:tcPr>
            <w:tcW w:w="80" w:type="dxa"/>
            <w:vAlign w:val="bottom"/>
            <w:tcBorders>
              <w:bottom w:val="single" w:sz="8" w:color="auto"/>
            </w:tcBorders>
          </w:tcPr>
          <w:p>
            <w:pPr>
              <w:spacing w:after="0"/>
              <w:rPr>
                <w:sz w:val="5"/>
                <w:szCs w:val="5"/>
                <w:color w:val="auto"/>
              </w:rPr>
            </w:pPr>
          </w:p>
        </w:tc>
        <w:tc>
          <w:tcPr>
            <w:tcW w:w="160" w:type="dxa"/>
            <w:vAlign w:val="bottom"/>
            <w:tcBorders>
              <w:bottom w:val="single" w:sz="8" w:color="auto"/>
              <w:right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96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3"/>
        </w:trPr>
        <w:tc>
          <w:tcPr>
            <w:tcW w:w="40" w:type="dxa"/>
            <w:vAlign w:val="bottom"/>
            <w:tcBorders>
              <w:right w:val="single" w:sz="8" w:color="auto"/>
            </w:tcBorders>
          </w:tcPr>
          <w:p>
            <w:pPr>
              <w:spacing w:after="0"/>
              <w:rPr>
                <w:sz w:val="12"/>
                <w:szCs w:val="12"/>
                <w:color w:val="auto"/>
              </w:rPr>
            </w:pPr>
          </w:p>
        </w:tc>
        <w:tc>
          <w:tcPr>
            <w:tcW w:w="360" w:type="dxa"/>
            <w:vAlign w:val="bottom"/>
          </w:tcPr>
          <w:p>
            <w:pPr>
              <w:spacing w:after="0"/>
              <w:rPr>
                <w:sz w:val="12"/>
                <w:szCs w:val="12"/>
                <w:color w:val="auto"/>
              </w:rPr>
            </w:pPr>
          </w:p>
        </w:tc>
        <w:tc>
          <w:tcPr>
            <w:tcW w:w="1040" w:type="dxa"/>
            <w:vAlign w:val="bottom"/>
            <w:tcBorders>
              <w:right w:val="single" w:sz="8" w:color="auto"/>
            </w:tcBorders>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right w:val="single" w:sz="8" w:color="auto"/>
            </w:tcBorders>
            <w:vMerge w:val="restart"/>
          </w:tcPr>
          <w:p>
            <w:pPr>
              <w:jc w:val="right"/>
              <w:spacing w:after="0"/>
              <w:rPr>
                <w:sz w:val="20"/>
                <w:szCs w:val="20"/>
                <w:color w:val="auto"/>
              </w:rPr>
            </w:pPr>
            <w:r>
              <w:rPr>
                <w:rFonts w:ascii="Arial" w:cs="Arial" w:eastAsia="Arial" w:hAnsi="Arial"/>
                <w:sz w:val="18"/>
                <w:szCs w:val="18"/>
                <w:color w:val="auto"/>
                <w:w w:val="79"/>
              </w:rPr>
              <w:t>8</w:t>
            </w:r>
          </w:p>
        </w:tc>
        <w:tc>
          <w:tcPr>
            <w:tcW w:w="80" w:type="dxa"/>
            <w:vAlign w:val="bottom"/>
          </w:tcPr>
          <w:p>
            <w:pPr>
              <w:spacing w:after="0"/>
              <w:rPr>
                <w:sz w:val="12"/>
                <w:szCs w:val="12"/>
                <w:color w:val="auto"/>
              </w:rPr>
            </w:pPr>
          </w:p>
        </w:tc>
        <w:tc>
          <w:tcPr>
            <w:tcW w:w="96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Borders>
              <w:right w:val="single" w:sz="8" w:color="auto"/>
            </w:tcBorders>
            <w:vMerge w:val="continue"/>
          </w:tcPr>
          <w:p>
            <w:pPr>
              <w:spacing w:after="0"/>
              <w:rPr>
                <w:sz w:val="7"/>
                <w:szCs w:val="7"/>
                <w:color w:val="auto"/>
              </w:rPr>
            </w:pPr>
          </w:p>
        </w:tc>
        <w:tc>
          <w:tcPr>
            <w:tcW w:w="80" w:type="dxa"/>
            <w:vAlign w:val="bottom"/>
          </w:tcPr>
          <w:p>
            <w:pPr>
              <w:spacing w:after="0"/>
              <w:rPr>
                <w:sz w:val="7"/>
                <w:szCs w:val="7"/>
                <w:color w:val="auto"/>
              </w:rPr>
            </w:pPr>
          </w:p>
        </w:tc>
        <w:tc>
          <w:tcPr>
            <w:tcW w:w="96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9</w:t>
            </w:r>
          </w:p>
        </w:tc>
        <w:tc>
          <w:tcPr>
            <w:tcW w:w="280" w:type="dxa"/>
            <w:vAlign w:val="bottom"/>
            <w:tcBorders>
              <w:right w:val="single" w:sz="8" w:color="auto"/>
            </w:tcBorders>
          </w:tcPr>
          <w:p>
            <w:pPr>
              <w:spacing w:after="0"/>
              <w:rPr>
                <w:sz w:val="20"/>
                <w:szCs w:val="20"/>
                <w:color w:val="auto"/>
              </w:rPr>
            </w:pPr>
          </w:p>
        </w:tc>
        <w:tc>
          <w:tcPr>
            <w:tcW w:w="1000" w:type="dxa"/>
            <w:vAlign w:val="bottom"/>
            <w:gridSpan w:val="3"/>
          </w:tcPr>
          <w:p>
            <w:pPr>
              <w:ind w:left="100"/>
              <w:spacing w:after="0"/>
              <w:rPr>
                <w:sz w:val="20"/>
                <w:szCs w:val="20"/>
                <w:color w:val="auto"/>
              </w:rPr>
            </w:pPr>
            <w:r>
              <w:rPr>
                <w:rFonts w:ascii="Arial" w:cs="Arial" w:eastAsia="Arial" w:hAnsi="Arial"/>
                <w:sz w:val="18"/>
                <w:szCs w:val="18"/>
                <w:color w:val="auto"/>
                <w:w w:val="75"/>
              </w:rPr>
              <w:t>AGGREGATE</w:t>
            </w:r>
          </w:p>
        </w:tc>
        <w:tc>
          <w:tcPr>
            <w:tcW w:w="9760" w:type="dxa"/>
            <w:vAlign w:val="bottom"/>
            <w:tcBorders>
              <w:right w:val="single" w:sz="8" w:color="auto"/>
            </w:tcBorders>
            <w:gridSpan w:val="2"/>
          </w:tcPr>
          <w:p>
            <w:pPr>
              <w:ind w:left="220"/>
              <w:spacing w:after="0"/>
              <w:rPr>
                <w:sz w:val="20"/>
                <w:szCs w:val="20"/>
                <w:color w:val="auto"/>
              </w:rPr>
            </w:pPr>
            <w:r>
              <w:rPr>
                <w:rFonts w:ascii="Arial" w:cs="Arial" w:eastAsia="Arial" w:hAnsi="Arial"/>
                <w:sz w:val="18"/>
                <w:szCs w:val="18"/>
                <w:color w:val="auto"/>
              </w:rPr>
              <w:t>AMOUNT BENEFICIALLY OWNED BY EACH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w w:val="89"/>
              </w:rPr>
              <w:t>4,763,025</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10</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8"/>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line="181" w:lineRule="exact"/>
              <w:rPr>
                <w:sz w:val="20"/>
                <w:szCs w:val="20"/>
                <w:color w:val="auto"/>
              </w:rPr>
            </w:pPr>
            <w:r>
              <w:rPr>
                <w:rFonts w:ascii="MS PGothic" w:cs="MS PGothic" w:eastAsia="MS PGothic" w:hAnsi="MS PGothic"/>
                <w:sz w:val="18"/>
                <w:szCs w:val="18"/>
                <w:color w:val="auto"/>
              </w:rPr>
              <w:t>☐</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0" w:type="dxa"/>
            <w:vAlign w:val="bottom"/>
            <w:tcBorders>
              <w:right w:val="single" w:sz="8" w:color="auto"/>
            </w:tcBorders>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Borders>
              <w:right w:val="single" w:sz="8" w:color="auto"/>
            </w:tcBorders>
          </w:tcPr>
          <w:p>
            <w:pPr>
              <w:spacing w:after="0"/>
              <w:rPr>
                <w:sz w:val="19"/>
                <w:szCs w:val="19"/>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PERCENT OF CLASS REPRESENTED BY AMOUNT IN ROW 9</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7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9.8%**</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40" w:type="dxa"/>
            <w:vAlign w:val="bottom"/>
            <w:tcBorders>
              <w:right w:val="single" w:sz="8" w:color="auto"/>
            </w:tcBorders>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12</w:t>
            </w:r>
          </w:p>
        </w:tc>
        <w:tc>
          <w:tcPr>
            <w:tcW w:w="280" w:type="dxa"/>
            <w:vAlign w:val="bottom"/>
            <w:tcBorders>
              <w:right w:val="single" w:sz="8" w:color="auto"/>
            </w:tcBorders>
          </w:tcPr>
          <w:p>
            <w:pPr>
              <w:spacing w:after="0"/>
              <w:rPr>
                <w:sz w:val="20"/>
                <w:szCs w:val="20"/>
                <w:color w:val="auto"/>
              </w:rPr>
            </w:pPr>
          </w:p>
        </w:tc>
        <w:tc>
          <w:tcPr>
            <w:tcW w:w="10760" w:type="dxa"/>
            <w:vAlign w:val="bottom"/>
            <w:tcBorders>
              <w:right w:val="single" w:sz="8" w:color="auto"/>
            </w:tcBorders>
            <w:gridSpan w:val="5"/>
          </w:tcPr>
          <w:p>
            <w:pPr>
              <w:ind w:left="100"/>
              <w:spacing w:after="0"/>
              <w:rPr>
                <w:sz w:val="20"/>
                <w:szCs w:val="20"/>
                <w:color w:val="auto"/>
              </w:rPr>
            </w:pPr>
            <w:r>
              <w:rPr>
                <w:rFonts w:ascii="Arial" w:cs="Arial" w:eastAsia="Arial" w:hAnsi="Arial"/>
                <w:sz w:val="18"/>
                <w:szCs w:val="18"/>
                <w:color w:val="auto"/>
              </w:rPr>
              <w:t>TYPE OF REPORTING PERSON*</w:t>
            </w:r>
          </w:p>
        </w:tc>
        <w:tc>
          <w:tcPr>
            <w:tcW w:w="0" w:type="dxa"/>
            <w:vAlign w:val="bottom"/>
          </w:tcPr>
          <w:p>
            <w:pPr>
              <w:spacing w:after="0"/>
              <w:rPr>
                <w:sz w:val="1"/>
                <w:szCs w:val="1"/>
                <w:color w:val="auto"/>
              </w:rPr>
            </w:pPr>
          </w:p>
        </w:tc>
      </w:tr>
      <w:tr>
        <w:trPr>
          <w:trHeight w:val="452"/>
        </w:trPr>
        <w:tc>
          <w:tcPr>
            <w:tcW w:w="40" w:type="dxa"/>
            <w:vAlign w:val="bottom"/>
            <w:tcBorders>
              <w:right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right w:val="single" w:sz="8" w:color="auto"/>
            </w:tcBorders>
          </w:tcPr>
          <w:p>
            <w:pPr>
              <w:spacing w:after="0"/>
              <w:rPr>
                <w:sz w:val="24"/>
                <w:szCs w:val="24"/>
                <w:color w:val="auto"/>
              </w:rPr>
            </w:pPr>
          </w:p>
        </w:tc>
        <w:tc>
          <w:tcPr>
            <w:tcW w:w="840" w:type="dxa"/>
            <w:vAlign w:val="bottom"/>
            <w:tcBorders>
              <w:bottom w:val="single" w:sz="8" w:color="auto"/>
            </w:tcBorders>
            <w:gridSpan w:val="2"/>
          </w:tcPr>
          <w:p>
            <w:pPr>
              <w:ind w:left="100"/>
              <w:spacing w:after="0"/>
              <w:rPr>
                <w:sz w:val="20"/>
                <w:szCs w:val="20"/>
                <w:color w:val="auto"/>
              </w:rPr>
            </w:pPr>
            <w:r>
              <w:rPr>
                <w:rFonts w:ascii="Arial" w:cs="Arial" w:eastAsia="Arial" w:hAnsi="Arial"/>
                <w:sz w:val="18"/>
                <w:szCs w:val="18"/>
                <w:color w:val="auto"/>
              </w:rPr>
              <w:t>IN</w:t>
            </w: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6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right="7420" w:firstLine="8"/>
        <w:spacing w:after="0" w:line="277" w:lineRule="auto"/>
        <w:tabs>
          <w:tab w:leader="none" w:pos="446" w:val="left"/>
        </w:tabs>
        <w:numPr>
          <w:ilvl w:val="0"/>
          <w:numId w:val="6"/>
        </w:numPr>
        <w:rPr>
          <w:rFonts w:ascii="Arial" w:cs="Arial" w:eastAsia="Arial" w:hAnsi="Arial"/>
          <w:sz w:val="18"/>
          <w:szCs w:val="18"/>
          <w:color w:val="auto"/>
        </w:rPr>
      </w:pPr>
      <w:r>
        <w:rPr>
          <w:rFonts w:ascii="Arial" w:cs="Arial" w:eastAsia="Arial" w:hAnsi="Arial"/>
          <w:sz w:val="18"/>
          <w:szCs w:val="18"/>
          <w:color w:val="auto"/>
        </w:rPr>
        <w:t>SEE INSTRUCTIONS BEFORE FILLING OUT ** SEE ITEM 4(b).</w:t>
      </w:r>
    </w:p>
    <w:p>
      <w:pPr>
        <w:spacing w:after="0" w:line="1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274" w:right="219" w:bottom="1440" w:gutter="0" w:footer="0" w:header="0"/>
        </w:sectPr>
      </w:pPr>
    </w:p>
    <w:bookmarkStart w:id="5" w:name="page6"/>
    <w:bookmarkEnd w:id="5"/>
    <w:p>
      <w:pPr>
        <w:jc w:val="center"/>
        <w:ind w:right="-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13G</w:t>
      </w:r>
    </w:p>
    <w:p>
      <w:pPr>
        <w:spacing w:after="0" w:line="229" w:lineRule="exact"/>
        <w:rPr>
          <w:sz w:val="20"/>
          <w:szCs w:val="20"/>
          <w:color w:val="auto"/>
        </w:rPr>
      </w:pPr>
    </w:p>
    <w:p>
      <w:pPr>
        <w:ind w:right="80" w:firstLine="456"/>
        <w:spacing w:after="0" w:line="257" w:lineRule="auto"/>
        <w:rPr>
          <w:sz w:val="20"/>
          <w:szCs w:val="20"/>
          <w:color w:val="auto"/>
        </w:rPr>
      </w:pPr>
      <w:r>
        <w:rPr>
          <w:rFonts w:ascii="Arial" w:cs="Arial" w:eastAsia="Arial" w:hAnsi="Arial"/>
          <w:sz w:val="18"/>
          <w:szCs w:val="18"/>
          <w:color w:val="auto"/>
        </w:rPr>
        <w:t>This Schedule 13G (this “Schedule 13G”) is being filed on behalf of Prescott Group Capital Management, L.L.C., an Oklahoma limited liability company (“Prescott Capital”), Prescott Group Aggressive Small Cap, L.P., an Oklahoma limited partnership (“Prescott Small Cap”), Prescott Group Aggressive Small Cap II, L.P., an Oklahoma limited partnership (“Prescott Small Cap II” and, together with Prescott Small Cap, the “Small Cap Funds”) and Mr. Phil Frohlich the principal of Prescott Capital, relating to Common Stock, $0.01 par value (the “Common Stock”), of Destination XL Group, Inc., a Delaware corporation (the “Issuer”).</w:t>
      </w:r>
    </w:p>
    <w:p>
      <w:pPr>
        <w:spacing w:after="0" w:line="188" w:lineRule="exact"/>
        <w:rPr>
          <w:sz w:val="20"/>
          <w:szCs w:val="20"/>
          <w:color w:val="auto"/>
        </w:rPr>
      </w:pPr>
    </w:p>
    <w:p>
      <w:pPr>
        <w:ind w:firstLine="456"/>
        <w:spacing w:after="0" w:line="276" w:lineRule="auto"/>
        <w:rPr>
          <w:sz w:val="20"/>
          <w:szCs w:val="20"/>
          <w:color w:val="auto"/>
        </w:rPr>
      </w:pPr>
      <w:r>
        <w:rPr>
          <w:rFonts w:ascii="Arial" w:cs="Arial" w:eastAsia="Arial" w:hAnsi="Arial"/>
          <w:sz w:val="17"/>
          <w:szCs w:val="17"/>
          <w:color w:val="auto"/>
        </w:rPr>
        <w:t>This Schedule 13G relates to shares of Common Stock of the Issuer purchased by the Small Cap Funds through the account of Prescott Group Aggressive Small Cap Master Fund, G.P., an Oklahoma general partnership (“Prescott Master Fund”), of which the Small Cap Funds are general partners. Prescott Capital serves as the general partner of the Small Cap Funds and may direct the Small Cap Funds, the general partners of Prescott Master Fund, to direct the vote and disposition of the 4,763,025 shares of Common Stock held by Prescott Master Fund. As the principal of Prescott Capital, Mr. Frohlich may direct the vote and disposition of the 4,763,025 shares of Common Stock held by Prescott Master Fund.</w:t>
      </w:r>
    </w:p>
    <w:p>
      <w:pPr>
        <w:spacing w:after="0" w:line="3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Name of Issuer.</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Destination XL Group, Inc.</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Address of Issuer’s Principal Executive Offices.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555 Turnpike Street</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Canton, Massachusetts 02021</w:t>
      </w:r>
    </w:p>
    <w:p>
      <w:pPr>
        <w:spacing w:after="0" w:line="3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2(a)</w:t>
      </w:r>
      <w:r>
        <w:rPr>
          <w:sz w:val="20"/>
          <w:szCs w:val="20"/>
          <w:color w:val="auto"/>
        </w:rPr>
        <w:tab/>
      </w:r>
      <w:r>
        <w:rPr>
          <w:rFonts w:ascii="Arial" w:cs="Arial" w:eastAsia="Arial" w:hAnsi="Arial"/>
          <w:sz w:val="16"/>
          <w:szCs w:val="16"/>
          <w:b w:val="1"/>
          <w:bCs w:val="1"/>
          <w:color w:val="auto"/>
        </w:rPr>
        <w:t>Name of Person Filing.</w:t>
      </w:r>
    </w:p>
    <w:p>
      <w:pPr>
        <w:spacing w:after="0" w:line="121" w:lineRule="exact"/>
        <w:rPr>
          <w:sz w:val="20"/>
          <w:szCs w:val="20"/>
          <w:color w:val="auto"/>
        </w:rPr>
      </w:pPr>
    </w:p>
    <w:p>
      <w:pPr>
        <w:ind w:left="1040" w:right="120"/>
        <w:spacing w:after="0" w:line="264" w:lineRule="auto"/>
        <w:rPr>
          <w:sz w:val="20"/>
          <w:szCs w:val="20"/>
          <w:color w:val="auto"/>
        </w:rPr>
      </w:pPr>
      <w:r>
        <w:rPr>
          <w:rFonts w:ascii="Arial" w:cs="Arial" w:eastAsia="Arial" w:hAnsi="Arial"/>
          <w:sz w:val="18"/>
          <w:szCs w:val="18"/>
          <w:color w:val="auto"/>
        </w:rPr>
        <w:t>Prescott Group Capital Management, L.L.C. (“Prescott Capital”), Prescott Group Aggressive Small Cap, L.P. (“Prescott Small Cap”), Prescott Group Aggressive Small Cap II, L.P. (“Prescott Small Cap II” and, together with Prescott Small Cap, the “Small Cap Funds”) and Mr. Phil Frohlich.</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2(b)</w:t>
      </w:r>
      <w:r>
        <w:rPr>
          <w:sz w:val="20"/>
          <w:szCs w:val="20"/>
          <w:color w:val="auto"/>
        </w:rPr>
        <w:tab/>
      </w:r>
      <w:r>
        <w:rPr>
          <w:rFonts w:ascii="Arial" w:cs="Arial" w:eastAsia="Arial" w:hAnsi="Arial"/>
          <w:sz w:val="15"/>
          <w:szCs w:val="15"/>
          <w:b w:val="1"/>
          <w:bCs w:val="1"/>
          <w:color w:val="auto"/>
        </w:rPr>
        <w:t>Address of Principal Business Office, or, if none, Residence.</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1924 South Utica, Suite 1120</w:t>
      </w:r>
    </w:p>
    <w:p>
      <w:pPr>
        <w:spacing w:after="0" w:line="23"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Tulsa, Oklahoma 74104-6529</w:t>
      </w:r>
    </w:p>
    <w:p>
      <w:pPr>
        <w:spacing w:after="0" w:line="35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2(c)</w:t>
      </w:r>
      <w:r>
        <w:rPr>
          <w:sz w:val="20"/>
          <w:szCs w:val="20"/>
          <w:color w:val="auto"/>
        </w:rPr>
        <w:tab/>
      </w:r>
      <w:r>
        <w:rPr>
          <w:rFonts w:ascii="Arial" w:cs="Arial" w:eastAsia="Arial" w:hAnsi="Arial"/>
          <w:sz w:val="16"/>
          <w:szCs w:val="16"/>
          <w:b w:val="1"/>
          <w:bCs w:val="1"/>
          <w:color w:val="auto"/>
        </w:rPr>
        <w:t>Citizenship or Place of Organization.</w:t>
      </w:r>
    </w:p>
    <w:p>
      <w:pPr>
        <w:spacing w:after="0" w:line="121" w:lineRule="exact"/>
        <w:rPr>
          <w:sz w:val="20"/>
          <w:szCs w:val="20"/>
          <w:color w:val="auto"/>
        </w:rPr>
      </w:pPr>
    </w:p>
    <w:p>
      <w:pPr>
        <w:ind w:left="1040" w:right="240"/>
        <w:spacing w:after="0" w:line="277" w:lineRule="auto"/>
        <w:rPr>
          <w:sz w:val="20"/>
          <w:szCs w:val="20"/>
          <w:color w:val="auto"/>
        </w:rPr>
      </w:pPr>
      <w:r>
        <w:rPr>
          <w:rFonts w:ascii="Arial" w:cs="Arial" w:eastAsia="Arial" w:hAnsi="Arial"/>
          <w:sz w:val="18"/>
          <w:szCs w:val="18"/>
          <w:color w:val="auto"/>
        </w:rPr>
        <w:t>Prescott Capital is an Oklahoma limited liability company. The Small Cap Funds are Oklahoma limited partnerships. Mr. Phil Frohlich is the principal of Prescott Capital and is a U.S. citizen.</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0" w:right="259" w:bottom="1440" w:gutter="0" w:footer="0" w:header="0"/>
        </w:sectPr>
      </w:pPr>
    </w:p>
    <w:bookmarkStart w:id="6" w:name="page7"/>
    <w:bookmarkEnd w:id="6"/>
    <w:p>
      <w:pPr>
        <w:spacing w:after="0"/>
        <w:tabs>
          <w:tab w:leader="none" w:pos="102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2(d)</w:t>
      </w:r>
      <w:r>
        <w:rPr>
          <w:sz w:val="20"/>
          <w:szCs w:val="20"/>
          <w:color w:val="auto"/>
        </w:rPr>
        <w:tab/>
      </w:r>
      <w:r>
        <w:rPr>
          <w:rFonts w:ascii="Arial" w:cs="Arial" w:eastAsia="Arial" w:hAnsi="Arial"/>
          <w:sz w:val="15"/>
          <w:szCs w:val="15"/>
          <w:b w:val="1"/>
          <w:bCs w:val="1"/>
          <w:color w:val="auto"/>
        </w:rPr>
        <w:t>Title of Class of Securities.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Common Stock, $0.01 par value (the “Common Stock”).</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2(e)</w:t>
      </w:r>
      <w:r>
        <w:rPr>
          <w:sz w:val="20"/>
          <w:szCs w:val="20"/>
          <w:color w:val="auto"/>
        </w:rPr>
        <w:tab/>
      </w:r>
      <w:r>
        <w:rPr>
          <w:rFonts w:ascii="Arial" w:cs="Arial" w:eastAsia="Arial" w:hAnsi="Arial"/>
          <w:sz w:val="16"/>
          <w:szCs w:val="16"/>
          <w:b w:val="1"/>
          <w:bCs w:val="1"/>
          <w:color w:val="auto"/>
        </w:rPr>
        <w:t>CUSIP Number.</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25065K104</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Reporting Person.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this statement is filed pursuant to Rule 13d-1(b), or 13d-2(b), check whether the person filing is a:</w:t>
      </w:r>
    </w:p>
    <w:p>
      <w:pPr>
        <w:spacing w:after="0" w:line="224" w:lineRule="exact"/>
        <w:rPr>
          <w:sz w:val="20"/>
          <w:szCs w:val="20"/>
          <w:color w:val="auto"/>
        </w:rPr>
      </w:pPr>
    </w:p>
    <w:p>
      <w:pPr>
        <w:ind w:left="880" w:hanging="413"/>
        <w:spacing w:after="0" w:line="207" w:lineRule="exact"/>
        <w:tabs>
          <w:tab w:leader="none" w:pos="88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advisor in accordance with §240.13d-1(b)(1)(ii)(E).</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§240.13d-1(b)(1)(ii)(F).</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§240.13d-1(b)(1)(ii)(G).</w:t>
      </w:r>
    </w:p>
    <w:p>
      <w:pPr>
        <w:spacing w:after="0" w:line="117"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 as defined in Section 3(b) of the Federal Deposit Insurance Act (12 U.S.C. 1813).</w:t>
      </w:r>
    </w:p>
    <w:p>
      <w:pPr>
        <w:spacing w:after="0" w:line="117" w:lineRule="exact"/>
        <w:rPr>
          <w:rFonts w:ascii="Arial" w:cs="Arial" w:eastAsia="Arial" w:hAnsi="Arial"/>
          <w:sz w:val="18"/>
          <w:szCs w:val="18"/>
          <w:color w:val="auto"/>
        </w:rPr>
      </w:pPr>
    </w:p>
    <w:p>
      <w:pPr>
        <w:ind w:left="1260" w:right="360" w:hanging="793"/>
        <w:spacing w:after="0" w:line="239" w:lineRule="exact"/>
        <w:tabs>
          <w:tab w:leader="none" w:pos="882"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2" w:lineRule="exact"/>
        <w:rPr>
          <w:rFonts w:ascii="Arial" w:cs="Arial" w:eastAsia="Arial" w:hAnsi="Arial"/>
          <w:sz w:val="18"/>
          <w:szCs w:val="18"/>
          <w:color w:val="auto"/>
        </w:rPr>
      </w:pPr>
    </w:p>
    <w:p>
      <w:pPr>
        <w:ind w:left="880" w:hanging="413"/>
        <w:spacing w:after="0" w:line="207" w:lineRule="exact"/>
        <w:tabs>
          <w:tab w:leader="none" w:pos="880" w:val="left"/>
        </w:tabs>
        <w:numPr>
          <w:ilvl w:val="0"/>
          <w:numId w:val="7"/>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§240.13d-1(b)(1)(ii)(J).</w:t>
      </w:r>
    </w:p>
    <w:p>
      <w:pPr>
        <w:spacing w:after="0" w:line="200" w:lineRule="exact"/>
        <w:rPr>
          <w:sz w:val="20"/>
          <w:szCs w:val="20"/>
          <w:color w:val="auto"/>
        </w:rPr>
      </w:pPr>
    </w:p>
    <w:p>
      <w:pPr>
        <w:spacing w:after="0" w:line="20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135" w:lineRule="exact"/>
        <w:rPr>
          <w:sz w:val="20"/>
          <w:szCs w:val="20"/>
          <w:color w:val="auto"/>
        </w:rPr>
      </w:pPr>
    </w:p>
    <w:p>
      <w:pPr>
        <w:ind w:left="1480" w:right="300" w:hanging="567"/>
        <w:spacing w:after="0" w:line="277" w:lineRule="auto"/>
        <w:tabs>
          <w:tab w:leader="none" w:pos="148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Prescott Capital is the beneficial owner of 4,763,025 shares of Common Stock. Mr. Phil Frohlich is the beneficial owner of 4,763,025 shares of Common Stock.</w:t>
      </w:r>
    </w:p>
    <w:p>
      <w:pPr>
        <w:spacing w:after="0" w:line="75" w:lineRule="exact"/>
        <w:rPr>
          <w:rFonts w:ascii="Arial" w:cs="Arial" w:eastAsia="Arial" w:hAnsi="Arial"/>
          <w:sz w:val="18"/>
          <w:szCs w:val="18"/>
          <w:color w:val="auto"/>
        </w:rPr>
      </w:pPr>
    </w:p>
    <w:p>
      <w:pPr>
        <w:jc w:val="both"/>
        <w:ind w:left="1480" w:hanging="567"/>
        <w:spacing w:after="0" w:line="279" w:lineRule="auto"/>
        <w:tabs>
          <w:tab w:leader="none" w:pos="1480" w:val="left"/>
        </w:tabs>
        <w:numPr>
          <w:ilvl w:val="0"/>
          <w:numId w:val="8"/>
        </w:numPr>
        <w:rPr>
          <w:rFonts w:ascii="Arial" w:cs="Arial" w:eastAsia="Arial" w:hAnsi="Arial"/>
          <w:sz w:val="17"/>
          <w:szCs w:val="17"/>
          <w:color w:val="auto"/>
        </w:rPr>
      </w:pPr>
      <w:r>
        <w:rPr>
          <w:rFonts w:ascii="Arial" w:cs="Arial" w:eastAsia="Arial" w:hAnsi="Arial"/>
          <w:sz w:val="17"/>
          <w:szCs w:val="17"/>
          <w:color w:val="auto"/>
        </w:rPr>
        <w:t>Prescott Capital is the beneficial owner of 9.8% of the outstanding shares of Common Stock. Mr. Phil Frohlich is the beneficial owner of 9.8% of the outstanding shares of Common Stock. These percentages are determined by dividing the number of shares of Common Stock beneficially owned by each of the Reporting Persons by 48,686,513, the number of shares of Common Stock issued and outstanding as of November 10, 2017, as reported in the Issuer’s 10-Q filed on November 17, 2017.</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70" w:right="259" w:bottom="1440" w:gutter="0" w:footer="0" w:header="0"/>
        </w:sectPr>
      </w:pPr>
    </w:p>
    <w:bookmarkStart w:id="7" w:name="page8"/>
    <w:bookmarkEnd w:id="7"/>
    <w:p>
      <w:pPr>
        <w:ind w:left="1480" w:hanging="567"/>
        <w:spacing w:after="0" w:line="259" w:lineRule="auto"/>
        <w:tabs>
          <w:tab w:leader="none" w:pos="1480"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Prescott Capital, as the general partner of the Small Cap Funds, the general partners of Prescott Master Fund, may direct the Small Cap Funds to direct the vote and disposition of the 4,763,025 shares of Common Stock held by Prescott Master Fund. As the principal of Prescott Capital, Mr. Phil Frohlich may direct the vote and disposition of the 4,763,025 shares of Common Stock held by Prescott Master Fund.</w:t>
      </w:r>
    </w:p>
    <w:p>
      <w:pPr>
        <w:spacing w:after="0" w:line="3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Ownership of Five Percent or Less of a Class.</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Ownership of More Than Five Percent on Behalf of Another Person.</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Identification and Classification of the Subsidiary which Acquired the Security Being Reported On by the Parent Holding Company.</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Identification and Classification of Members of the Group.</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Notice of Dissolution of Group.</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Inapplicable.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Certification.</w:t>
      </w:r>
    </w:p>
    <w:p>
      <w:pPr>
        <w:spacing w:after="0" w:line="121" w:lineRule="exact"/>
        <w:rPr>
          <w:sz w:val="20"/>
          <w:szCs w:val="20"/>
          <w:color w:val="auto"/>
        </w:rPr>
      </w:pPr>
    </w:p>
    <w:p>
      <w:pPr>
        <w:ind w:left="1040" w:right="120"/>
        <w:spacing w:after="0" w:line="259"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183" w:lineRule="exact"/>
        <w:rPr>
          <w:sz w:val="20"/>
          <w:szCs w:val="20"/>
          <w:color w:val="auto"/>
        </w:rPr>
      </w:pPr>
    </w:p>
    <w:p>
      <w:pPr>
        <w:spacing w:after="0"/>
        <w:tabs>
          <w:tab w:leader="none" w:pos="860" w:val="left"/>
        </w:tabs>
        <w:rPr>
          <w:sz w:val="20"/>
          <w:szCs w:val="20"/>
          <w:color w:val="auto"/>
        </w:rPr>
      </w:pPr>
      <w:r>
        <w:rPr>
          <w:rFonts w:ascii="Arial" w:cs="Arial" w:eastAsia="Arial" w:hAnsi="Arial"/>
          <w:sz w:val="18"/>
          <w:szCs w:val="18"/>
          <w:b w:val="1"/>
          <w:bCs w:val="1"/>
          <w:color w:val="auto"/>
        </w:rPr>
        <w:t>Exhibits</w:t>
      </w:r>
      <w:r>
        <w:rPr>
          <w:sz w:val="20"/>
          <w:szCs w:val="20"/>
          <w:color w:val="auto"/>
        </w:rPr>
        <w:tab/>
      </w:r>
      <w:r>
        <w:rPr>
          <w:rFonts w:ascii="Arial" w:cs="Arial" w:eastAsia="Arial" w:hAnsi="Arial"/>
          <w:sz w:val="18"/>
          <w:szCs w:val="18"/>
          <w:b w:val="1"/>
          <w:bCs w:val="1"/>
          <w:u w:val="single" w:color="auto"/>
          <w:color w:val="auto"/>
        </w:rPr>
        <w:t>Exhibit 99.1</w:t>
      </w:r>
    </w:p>
    <w:p>
      <w:pPr>
        <w:spacing w:after="0" w:line="121" w:lineRule="exact"/>
        <w:rPr>
          <w:sz w:val="20"/>
          <w:szCs w:val="20"/>
          <w:color w:val="auto"/>
        </w:rPr>
      </w:pPr>
    </w:p>
    <w:p>
      <w:pPr>
        <w:ind w:left="1040"/>
        <w:spacing w:after="0"/>
        <w:rPr>
          <w:sz w:val="20"/>
          <w:szCs w:val="20"/>
          <w:color w:val="auto"/>
        </w:rPr>
      </w:pPr>
      <w:r>
        <w:rPr>
          <w:rFonts w:ascii="Arial" w:cs="Arial" w:eastAsia="Arial" w:hAnsi="Arial"/>
          <w:sz w:val="18"/>
          <w:szCs w:val="18"/>
          <w:color w:val="auto"/>
        </w:rPr>
        <w:t>Joint Filing Agreement dated February 12, 2018, between Prescott Capital, the Small Cap Funds and Mr. Phil Frohlich.</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274" w:right="299" w:bottom="1440" w:gutter="0" w:footer="0" w:header="0"/>
        </w:sectPr>
      </w:pPr>
    </w:p>
    <w:bookmarkStart w:id="8" w:name="page9"/>
    <w:bookmarkEnd w:id="8"/>
    <w:p>
      <w:pPr>
        <w:jc w:val="center"/>
        <w:ind w:right="-23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right="280" w:firstLine="456"/>
        <w:spacing w:after="0" w:line="277" w:lineRule="auto"/>
        <w:rPr>
          <w:sz w:val="20"/>
          <w:szCs w:val="20"/>
          <w:color w:val="auto"/>
        </w:rPr>
      </w:pPr>
      <w:r>
        <w:rPr>
          <w:rFonts w:ascii="Arial" w:cs="Arial" w:eastAsia="Arial" w:hAnsi="Arial"/>
          <w:sz w:val="18"/>
          <w:szCs w:val="18"/>
          <w:color w:val="auto"/>
        </w:rPr>
        <w:t>After reasonable inquiry and to the best of my knowledge and belief, I certify that the information set forth in this statement is true, complete and correct.</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Date: February 12,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Prescott Group Capital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PHIL FROHLICH, 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Prescott Group Aggressive Small Cap,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Prescott Group Capital Management, L.L.C., its general</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PHIL FROHLICH, 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Prescott Group Aggressive Small Cap II,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6"/>
          <w:szCs w:val="16"/>
          <w:color w:val="auto"/>
        </w:rPr>
        <w:t>By: Prescott Group Capital Management, L.L.C., its general</w:t>
      </w:r>
    </w:p>
    <w:p>
      <w:pPr>
        <w:spacing w:after="0" w:line="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PHIL FROHLICH, 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14605</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Phil Frohlich</w:t>
      </w:r>
    </w:p>
    <w:p>
      <w:pPr>
        <w:spacing w:after="0" w:line="158"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240" w:top="270" w:right="459" w:bottom="1440" w:gutter="0" w:footer="0" w:header="0"/>
        </w:sectPr>
      </w:pPr>
    </w:p>
    <w:bookmarkStart w:id="9" w:name="page10"/>
    <w:bookmarkEnd w:id="9"/>
    <w:p>
      <w:pPr>
        <w:jc w:val="center"/>
        <w:ind w:right="-39"/>
        <w:spacing w:after="0"/>
        <w:rPr>
          <w:sz w:val="20"/>
          <w:szCs w:val="20"/>
          <w:color w:val="auto"/>
        </w:rPr>
      </w:pPr>
      <w:r>
        <w:rPr>
          <w:rFonts w:ascii="Arial" w:cs="Arial" w:eastAsia="Arial" w:hAnsi="Arial"/>
          <w:sz w:val="18"/>
          <w:szCs w:val="18"/>
          <w:b w:val="1"/>
          <w:bCs w:val="1"/>
          <w:u w:val="single" w:color="auto"/>
          <w:color w:val="auto"/>
        </w:rPr>
        <w:t>EXHIBIT 99.1</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JOINT FILING AGREEMENT</w:t>
      </w:r>
    </w:p>
    <w:p>
      <w:pPr>
        <w:spacing w:after="0" w:line="229" w:lineRule="exact"/>
        <w:rPr>
          <w:sz w:val="20"/>
          <w:szCs w:val="20"/>
          <w:color w:val="auto"/>
        </w:rPr>
      </w:pPr>
    </w:p>
    <w:p>
      <w:pPr>
        <w:ind w:firstLine="456"/>
        <w:spacing w:after="0" w:line="312" w:lineRule="auto"/>
        <w:rPr>
          <w:sz w:val="20"/>
          <w:szCs w:val="20"/>
          <w:color w:val="auto"/>
        </w:rPr>
      </w:pPr>
      <w:r>
        <w:rPr>
          <w:rFonts w:ascii="Arial" w:cs="Arial" w:eastAsia="Arial" w:hAnsi="Arial"/>
          <w:sz w:val="16"/>
          <w:szCs w:val="16"/>
          <w:color w:val="auto"/>
        </w:rPr>
        <w:t>In accordance with Rule 13d-1(k) under the Securities Exchange Act of 1934, as amended, the undersigned agree to the joint filing on behalf of each of them of a Statement on Schedule 13G (including any and all amendments thereto) with respect to the Common Stock, $0.01 par value, of Destination XL Group, Inc., a Delaware corporation, and further agree that this Joint Filing Agreement shall be included as an Exhibit to such joint filings.</w:t>
      </w:r>
    </w:p>
    <w:p>
      <w:pPr>
        <w:spacing w:after="0" w:line="14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undersigned further agree that each party hereto is responsible for the timely filing of such Statement on Schedule 13G and any amendments thereto, and for the accuracy and completeness of the information concerning such party contained therein; provided, however, that no party is responsible for the accuracy or completeness of the information concerning any other party, unless such party knows or has reason to believe that such information is inaccurate.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This Joint Filing Agreement may be signed in counterparts with the same effect as if the signature on each counterpart were upon the same instrument.</w:t>
      </w: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undersigned have executed this Agreement as of February 12, 2018.</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Prescott Group Capital Management, L.L.C.</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PHIL FROHLICH, Managing Member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Prescott Group Aggressive Small Cap,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7"/>
          <w:szCs w:val="17"/>
          <w:color w:val="auto"/>
        </w:rPr>
        <w:t>By: Prescott Group Capital Management, L.L.C., its general</w:t>
      </w:r>
    </w:p>
    <w:p>
      <w:pPr>
        <w:spacing w:after="0" w:line="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PHIL FROHLICH, Managing Member</w:t>
      </w:r>
    </w:p>
    <w:p>
      <w:pPr>
        <w:sectPr>
          <w:pgSz w:w="11900" w:h="16838" w:orient="portrait"/>
          <w:cols w:equalWidth="0" w:num="1">
            <w:col w:w="11380"/>
          </w:cols>
          <w:pgMar w:left="240" w:top="121" w:right="279" w:bottom="1440" w:gutter="0" w:footer="0" w:header="0"/>
        </w:sectPr>
      </w:pPr>
    </w:p>
    <w:bookmarkStart w:id="10" w:name="page11"/>
    <w:bookmarkEnd w:id="10"/>
    <w:p>
      <w:pPr>
        <w:ind w:left="56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Prescott Group Aggressive Small Cap II, L.P.</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By: Prescott Group Capital Management, L.L.C., its general</w:t>
      </w:r>
    </w:p>
    <w:p>
      <w:pPr>
        <w:spacing w:after="0" w:line="4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  /s/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14605</wp:posOffset>
            </wp:positionV>
            <wp:extent cx="265874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PHIL FROHLICH, Managing Member</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/s/ Phil Frohlich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3590925</wp:posOffset>
            </wp:positionH>
            <wp:positionV relativeFrom="paragraph">
              <wp:posOffset>14605</wp:posOffset>
            </wp:positionV>
            <wp:extent cx="289877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Phil Frohlich</w:t>
      </w:r>
    </w:p>
    <w:p>
      <w:pPr>
        <w:spacing w:after="0" w:line="15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2</w:t>
      </w:r>
    </w:p>
    <w:sectPr>
      <w:pgSz w:w="11900" w:h="16838" w:orient="portrait"/>
      <w:cols w:equalWidth="0" w:num="1">
        <w:col w:w="10000"/>
      </w:cols>
      <w:pgMar w:left="1440" w:top="274"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2019-12-21T01:05:14Z</dcterms:created>
  <dcterms:modified xsi:type="dcterms:W3CDTF">2019-12-21T01:05:14Z</dcterms:modified>
</cp:coreProperties>
</file>