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RULES 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13d-2(b)</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8)*</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Casual Male Retail Group,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Common Stock, $0.01 par value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148711104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660" w:right="9480" w:hanging="4"/>
        <w:spacing w:after="0" w:line="598" w:lineRule="auto"/>
        <w:tabs>
          <w:tab w:leader="none" w:pos="93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528955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CUSIP No. 148711104</w:t>
            </w:r>
          </w:p>
        </w:tc>
        <w:tc>
          <w:tcPr>
            <w:tcW w:w="3940" w:type="dxa"/>
            <w:vAlign w:val="bottom"/>
            <w:vMerge w:val="restart"/>
          </w:tcPr>
          <w:p>
            <w:pPr>
              <w:ind w:left="2460"/>
              <w:spacing w:after="0"/>
              <w:rPr>
                <w:sz w:val="20"/>
                <w:szCs w:val="20"/>
                <w:color w:val="auto"/>
              </w:rPr>
            </w:pPr>
            <w:r>
              <w:rPr>
                <w:rFonts w:ascii="Arial" w:cs="Arial" w:eastAsia="Arial" w:hAnsi="Arial"/>
                <w:sz w:val="18"/>
                <w:szCs w:val="18"/>
                <w:b w:val="1"/>
                <w:bCs w:val="1"/>
                <w:color w:val="auto"/>
              </w:rPr>
              <w:t>13G</w:t>
            </w:r>
          </w:p>
        </w:tc>
        <w:tc>
          <w:tcPr>
            <w:tcW w:w="2460" w:type="dxa"/>
            <w:vAlign w:val="bottom"/>
            <w:vMerge w:val="restart"/>
          </w:tcPr>
          <w:p>
            <w:pPr>
              <w:ind w:left="1140"/>
              <w:spacing w:after="0"/>
              <w:rPr>
                <w:sz w:val="20"/>
                <w:szCs w:val="20"/>
                <w:color w:val="auto"/>
              </w:rPr>
            </w:pPr>
            <w:r>
              <w:rPr>
                <w:rFonts w:ascii="Arial" w:cs="Arial" w:eastAsia="Arial" w:hAnsi="Arial"/>
                <w:sz w:val="18"/>
                <w:szCs w:val="18"/>
                <w:b w:val="1"/>
                <w:bCs w:val="1"/>
                <w:color w:val="auto"/>
                <w:w w:val="84"/>
              </w:rPr>
              <w:t>Page 2 of 3 Pages</w:t>
            </w:r>
          </w:p>
        </w:tc>
        <w:tc>
          <w:tcPr>
            <w:tcW w:w="0" w:type="dxa"/>
            <w:vAlign w:val="bottom"/>
          </w:tcPr>
          <w:p>
            <w:pPr>
              <w:spacing w:after="0"/>
              <w:rPr>
                <w:sz w:val="1"/>
                <w:szCs w:val="1"/>
                <w:color w:val="auto"/>
              </w:rPr>
            </w:pPr>
          </w:p>
        </w:tc>
      </w:tr>
      <w:tr>
        <w:trPr>
          <w:trHeight w:val="108"/>
        </w:trPr>
        <w:tc>
          <w:tcPr>
            <w:tcW w:w="4120" w:type="dxa"/>
            <w:vAlign w:val="bottom"/>
          </w:tcPr>
          <w:p>
            <w:pPr>
              <w:spacing w:after="0"/>
              <w:rPr>
                <w:sz w:val="9"/>
                <w:szCs w:val="9"/>
                <w:color w:val="auto"/>
              </w:rPr>
            </w:pPr>
          </w:p>
        </w:tc>
        <w:tc>
          <w:tcPr>
            <w:tcW w:w="3940" w:type="dxa"/>
            <w:vAlign w:val="bottom"/>
            <w:vMerge w:val="continue"/>
          </w:tcPr>
          <w:p>
            <w:pPr>
              <w:spacing w:after="0"/>
              <w:rPr>
                <w:sz w:val="9"/>
                <w:szCs w:val="9"/>
                <w:color w:val="auto"/>
              </w:rPr>
            </w:pPr>
          </w:p>
        </w:tc>
        <w:tc>
          <w:tcPr>
            <w:tcW w:w="2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325120</wp:posOffset>
            </wp:positionV>
            <wp:extent cx="3292475" cy="325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92475" cy="325755"/>
                    </a:xfrm>
                    <a:prstGeom prst="rect">
                      <a:avLst/>
                    </a:prstGeom>
                    <a:noFill/>
                  </pic:spPr>
                </pic:pic>
              </a:graphicData>
            </a:graphic>
          </wp:anchor>
        </w:drawing>
        <w:drawing>
          <wp:anchor simplePos="0" relativeHeight="251657728" behindDoc="1" locked="0" layoutInCell="0" allowOverlap="1">
            <wp:simplePos x="0" y="0"/>
            <wp:positionH relativeFrom="page">
              <wp:posOffset>5444490</wp:posOffset>
            </wp:positionH>
            <wp:positionV relativeFrom="page">
              <wp:posOffset>325120</wp:posOffset>
            </wp:positionV>
            <wp:extent cx="1972310"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2310" cy="3257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227330</wp:posOffset>
            </wp:positionV>
            <wp:extent cx="7259320" cy="4480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9320" cy="4480560"/>
                    </a:xfrm>
                    <a:prstGeom prst="rect">
                      <a:avLst/>
                    </a:prstGeom>
                    <a:noFill/>
                  </pic:spPr>
                </pic:pic>
              </a:graphicData>
            </a:graphic>
          </wp:anchor>
        </w:drawing>
      </w:r>
    </w:p>
    <w:p>
      <w:pPr>
        <w:spacing w:after="0" w:line="384" w:lineRule="exact"/>
        <w:rPr>
          <w:sz w:val="20"/>
          <w:szCs w:val="20"/>
          <w:color w:val="auto"/>
        </w:rPr>
      </w:pPr>
    </w:p>
    <w:p>
      <w:pPr>
        <w:ind w:left="1420" w:hanging="1371"/>
        <w:spacing w:after="0"/>
        <w:tabs>
          <w:tab w:leader="none" w:pos="14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420" w:right="4420"/>
        <w:spacing w:after="0" w:line="492"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Chilton Investment Company, LLC</w:t>
      </w:r>
    </w:p>
    <w:p>
      <w:pPr>
        <w:spacing w:after="0" w:line="1" w:lineRule="exact"/>
        <w:rPr>
          <w:rFonts w:ascii="Arial" w:cs="Arial" w:eastAsia="Arial" w:hAnsi="Arial"/>
          <w:sz w:val="18"/>
          <w:szCs w:val="18"/>
          <w:b w:val="1"/>
          <w:bCs w:val="1"/>
          <w:color w:val="auto"/>
        </w:rPr>
      </w:pPr>
    </w:p>
    <w:p>
      <w:pPr>
        <w:ind w:left="1420"/>
        <w:spacing w:after="0"/>
        <w:rPr>
          <w:rFonts w:ascii="Arial" w:cs="Arial" w:eastAsia="Arial" w:hAnsi="Arial"/>
          <w:sz w:val="18"/>
          <w:szCs w:val="18"/>
          <w:b w:val="1"/>
          <w:bCs w:val="1"/>
          <w:color w:val="auto"/>
        </w:rPr>
      </w:pPr>
      <w:r>
        <w:rPr>
          <w:rFonts w:ascii="Arial" w:cs="Arial" w:eastAsia="Arial" w:hAnsi="Arial"/>
          <w:sz w:val="18"/>
          <w:szCs w:val="18"/>
          <w:color w:val="auto"/>
        </w:rPr>
        <w:t>87-0742367</w:t>
      </w:r>
    </w:p>
    <w:p>
      <w:pPr>
        <w:spacing w:after="0" w:line="90" w:lineRule="exact"/>
        <w:rPr>
          <w:rFonts w:ascii="Arial" w:cs="Arial" w:eastAsia="Arial" w:hAnsi="Arial"/>
          <w:sz w:val="18"/>
          <w:szCs w:val="18"/>
          <w:b w:val="1"/>
          <w:bCs w:val="1"/>
          <w:color w:val="auto"/>
        </w:rPr>
      </w:pPr>
    </w:p>
    <w:p>
      <w:pPr>
        <w:ind w:left="1420" w:hanging="1371"/>
        <w:spacing w:after="0"/>
        <w:tabs>
          <w:tab w:leader="none" w:pos="14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40" w:type="dxa"/>
            <w:vAlign w:val="bottom"/>
          </w:tcPr>
          <w:p>
            <w:pPr>
              <w:jc w:val="right"/>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40" w:type="dxa"/>
            <w:vAlign w:val="bottom"/>
          </w:tcPr>
          <w:p>
            <w:pPr>
              <w:jc w:val="right"/>
              <w:spacing w:after="0"/>
              <w:rPr>
                <w:sz w:val="20"/>
                <w:szCs w:val="20"/>
                <w:color w:val="auto"/>
              </w:rPr>
            </w:pPr>
            <w:r>
              <w:rPr>
                <w:rFonts w:ascii="Arial" w:cs="Arial" w:eastAsia="Arial" w:hAnsi="Arial"/>
                <w:sz w:val="18"/>
                <w:szCs w:val="18"/>
                <w:color w:val="auto"/>
              </w:rPr>
              <w:t>(b) x</w:t>
            </w:r>
          </w:p>
        </w:tc>
        <w:tc>
          <w:tcPr>
            <w:tcW w:w="0" w:type="dxa"/>
            <w:vAlign w:val="bottom"/>
          </w:tcPr>
          <w:p>
            <w:pPr>
              <w:spacing w:after="0"/>
              <w:rPr>
                <w:sz w:val="1"/>
                <w:szCs w:val="1"/>
                <w:color w:val="auto"/>
              </w:rPr>
            </w:pPr>
          </w:p>
        </w:tc>
      </w:tr>
      <w:tr>
        <w:trPr>
          <w:trHeight w:val="34"/>
        </w:trPr>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3.</w:t>
            </w:r>
          </w:p>
        </w:tc>
        <w:tc>
          <w:tcPr>
            <w:tcW w:w="70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4.</w:t>
            </w:r>
          </w:p>
        </w:tc>
        <w:tc>
          <w:tcPr>
            <w:tcW w:w="700" w:type="dxa"/>
            <w:vAlign w:val="bottom"/>
          </w:tcPr>
          <w:p>
            <w:pPr>
              <w:spacing w:after="0"/>
              <w:rPr>
                <w:sz w:val="19"/>
                <w:szCs w:val="19"/>
                <w:color w:val="auto"/>
              </w:rPr>
            </w:pPr>
          </w:p>
        </w:tc>
        <w:tc>
          <w:tcPr>
            <w:tcW w:w="10020" w:type="dxa"/>
            <w:vAlign w:val="bottom"/>
            <w:gridSpan w:val="3"/>
          </w:tcPr>
          <w:p>
            <w:pPr>
              <w:ind w:left="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State of Delaware</w:t>
            </w:r>
          </w:p>
        </w:tc>
        <w:tc>
          <w:tcPr>
            <w:tcW w:w="80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288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b w:val="1"/>
                <w:bCs w:val="1"/>
                <w:color w:val="auto"/>
              </w:rPr>
              <w:t>NUMBER OF</w:t>
            </w:r>
          </w:p>
        </w:tc>
        <w:tc>
          <w:tcPr>
            <w:tcW w:w="80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2"/>
              </w:rPr>
              <w:t>5.</w:t>
            </w:r>
          </w:p>
        </w:tc>
        <w:tc>
          <w:tcPr>
            <w:tcW w:w="70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18"/>
        </w:trPr>
        <w:tc>
          <w:tcPr>
            <w:tcW w:w="700" w:type="dxa"/>
            <w:vAlign w:val="bottom"/>
          </w:tcPr>
          <w:p>
            <w:pPr>
              <w:spacing w:after="0"/>
              <w:rPr>
                <w:sz w:val="10"/>
                <w:szCs w:val="10"/>
                <w:color w:val="auto"/>
              </w:rPr>
            </w:pPr>
          </w:p>
        </w:tc>
        <w:tc>
          <w:tcPr>
            <w:tcW w:w="2880" w:type="dxa"/>
            <w:vAlign w:val="bottom"/>
            <w:tcBorders>
              <w:right w:val="single" w:sz="8" w:color="auto"/>
            </w:tcBorders>
            <w:gridSpan w:val="2"/>
            <w:vMerge w:val="continue"/>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3,394,923</w:t>
            </w:r>
          </w:p>
        </w:tc>
        <w:tc>
          <w:tcPr>
            <w:tcW w:w="0" w:type="dxa"/>
            <w:vAlign w:val="bottom"/>
          </w:tcPr>
          <w:p>
            <w:pPr>
              <w:spacing w:after="0"/>
              <w:rPr>
                <w:sz w:val="1"/>
                <w:szCs w:val="1"/>
                <w:color w:val="auto"/>
              </w:rPr>
            </w:pPr>
          </w:p>
        </w:tc>
      </w:tr>
      <w:tr>
        <w:trPr>
          <w:trHeight w:val="113"/>
        </w:trPr>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SHARES</w:t>
            </w:r>
          </w:p>
        </w:tc>
        <w:tc>
          <w:tcPr>
            <w:tcW w:w="800" w:type="dxa"/>
            <w:vAlign w:val="bottom"/>
            <w:tcBorders>
              <w:right w:val="single" w:sz="8" w:color="auto"/>
            </w:tcBorders>
          </w:tcPr>
          <w:p>
            <w:pPr>
              <w:spacing w:after="0"/>
              <w:rPr>
                <w:sz w:val="9"/>
                <w:szCs w:val="9"/>
                <w:color w:val="auto"/>
              </w:rPr>
            </w:pPr>
          </w:p>
        </w:tc>
        <w:tc>
          <w:tcPr>
            <w:tcW w:w="7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700" w:type="dxa"/>
            <w:vAlign w:val="bottom"/>
            <w:vMerge w:val="restart"/>
          </w:tcPr>
          <w:p>
            <w:pPr>
              <w:spacing w:after="0"/>
              <w:rPr>
                <w:sz w:val="2"/>
                <w:szCs w:val="2"/>
                <w:color w:val="auto"/>
              </w:rPr>
            </w:pPr>
          </w:p>
        </w:tc>
        <w:tc>
          <w:tcPr>
            <w:tcW w:w="2180" w:type="dxa"/>
            <w:vAlign w:val="bottom"/>
            <w:tcBorders>
              <w:right w:val="single" w:sz="8" w:color="auto"/>
            </w:tcBorders>
            <w:vMerge w:val="continue"/>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7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180" w:type="dxa"/>
            <w:vAlign w:val="bottom"/>
            <w:tcBorders>
              <w:right w:val="single" w:sz="8" w:color="auto"/>
            </w:tcBorders>
            <w:vMerge w:val="continue"/>
          </w:tcPr>
          <w:p>
            <w:pPr>
              <w:spacing w:after="0"/>
              <w:rPr>
                <w:sz w:val="4"/>
                <w:szCs w:val="4"/>
                <w:color w:val="auto"/>
              </w:rPr>
            </w:pPr>
          </w:p>
        </w:tc>
        <w:tc>
          <w:tcPr>
            <w:tcW w:w="80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b w:val="1"/>
                <w:bCs w:val="1"/>
                <w:color w:val="auto"/>
                <w:w w:val="92"/>
              </w:rPr>
              <w:t>6.</w:t>
            </w:r>
          </w:p>
        </w:tc>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2880" w:type="dxa"/>
            <w:vAlign w:val="bottom"/>
            <w:tcBorders>
              <w:right w:val="single" w:sz="8" w:color="auto"/>
            </w:tcBorders>
            <w:gridSpan w:val="2"/>
          </w:tcPr>
          <w:p>
            <w:pPr>
              <w:jc w:val="center"/>
              <w:ind w:right="610"/>
              <w:spacing w:after="0" w:line="181" w:lineRule="exact"/>
              <w:rPr>
                <w:sz w:val="20"/>
                <w:szCs w:val="20"/>
                <w:color w:val="auto"/>
              </w:rPr>
            </w:pPr>
            <w:r>
              <w:rPr>
                <w:rFonts w:ascii="Arial" w:cs="Arial" w:eastAsia="Arial" w:hAnsi="Arial"/>
                <w:sz w:val="18"/>
                <w:szCs w:val="18"/>
                <w:b w:val="1"/>
                <w:bCs w:val="1"/>
                <w:color w:val="auto"/>
              </w:rPr>
              <w:t>BENEFICIALLY</w:t>
            </w:r>
          </w:p>
        </w:tc>
        <w:tc>
          <w:tcPr>
            <w:tcW w:w="800" w:type="dxa"/>
            <w:vAlign w:val="bottom"/>
            <w:tcBorders>
              <w:right w:val="single" w:sz="8" w:color="auto"/>
            </w:tcBorders>
            <w:vMerge w:val="continue"/>
          </w:tcPr>
          <w:p>
            <w:pPr>
              <w:spacing w:after="0"/>
              <w:rPr>
                <w:sz w:val="15"/>
                <w:szCs w:val="15"/>
                <w:color w:val="auto"/>
              </w:rPr>
            </w:pPr>
          </w:p>
        </w:tc>
        <w:tc>
          <w:tcPr>
            <w:tcW w:w="7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700" w:type="dxa"/>
            <w:vAlign w:val="bottom"/>
          </w:tcPr>
          <w:p>
            <w:pPr>
              <w:spacing w:after="0"/>
              <w:rPr>
                <w:sz w:val="22"/>
                <w:szCs w:val="22"/>
                <w:color w:val="auto"/>
              </w:rPr>
            </w:pPr>
          </w:p>
        </w:tc>
        <w:tc>
          <w:tcPr>
            <w:tcW w:w="2880" w:type="dxa"/>
            <w:vAlign w:val="bottom"/>
            <w:tcBorders>
              <w:right w:val="single" w:sz="8" w:color="auto"/>
            </w:tcBorders>
            <w:gridSpan w:val="2"/>
          </w:tcPr>
          <w:p>
            <w:pPr>
              <w:jc w:val="center"/>
              <w:ind w:right="610"/>
              <w:spacing w:after="0"/>
              <w:rPr>
                <w:sz w:val="20"/>
                <w:szCs w:val="20"/>
                <w:color w:val="auto"/>
              </w:rPr>
            </w:pPr>
            <w:r>
              <w:rPr>
                <w:rFonts w:ascii="Arial" w:cs="Arial" w:eastAsia="Arial" w:hAnsi="Arial"/>
                <w:sz w:val="18"/>
                <w:szCs w:val="18"/>
                <w:b w:val="1"/>
                <w:bCs w:val="1"/>
                <w:color w:val="auto"/>
                <w:w w:val="98"/>
              </w:rPr>
              <w:t>OWNED BY</w:t>
            </w:r>
          </w:p>
        </w:tc>
        <w:tc>
          <w:tcPr>
            <w:tcW w:w="800" w:type="dxa"/>
            <w:vAlign w:val="bottom"/>
            <w:tcBorders>
              <w:bottom w:val="single" w:sz="8" w:color="auto"/>
              <w:right w:val="single" w:sz="8" w:color="auto"/>
            </w:tcBorders>
          </w:tcPr>
          <w:p>
            <w:pPr>
              <w:spacing w:after="0"/>
              <w:rPr>
                <w:sz w:val="22"/>
                <w:szCs w:val="22"/>
                <w:color w:val="auto"/>
              </w:rPr>
            </w:pPr>
          </w:p>
        </w:tc>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180" w:type="dxa"/>
            <w:vAlign w:val="bottom"/>
            <w:tcBorders>
              <w:right w:val="single" w:sz="8" w:color="auto"/>
            </w:tcBorders>
          </w:tcPr>
          <w:p>
            <w:pPr>
              <w:jc w:val="center"/>
              <w:ind w:right="1290"/>
              <w:spacing w:after="0" w:line="189" w:lineRule="exact"/>
              <w:rPr>
                <w:sz w:val="20"/>
                <w:szCs w:val="20"/>
                <w:color w:val="auto"/>
              </w:rPr>
            </w:pPr>
            <w:r>
              <w:rPr>
                <w:rFonts w:ascii="Arial" w:cs="Arial" w:eastAsia="Arial" w:hAnsi="Arial"/>
                <w:sz w:val="18"/>
                <w:szCs w:val="18"/>
                <w:b w:val="1"/>
                <w:bCs w:val="1"/>
                <w:color w:val="auto"/>
              </w:rPr>
              <w:t>EACH</w:t>
            </w:r>
          </w:p>
        </w:tc>
        <w:tc>
          <w:tcPr>
            <w:tcW w:w="800" w:type="dxa"/>
            <w:vAlign w:val="bottom"/>
            <w:tcBorders>
              <w:right w:val="single" w:sz="8" w:color="auto"/>
            </w:tcBorders>
          </w:tcPr>
          <w:p>
            <w:pPr>
              <w:jc w:val="right"/>
              <w:ind w:right="550"/>
              <w:spacing w:after="0" w:line="189" w:lineRule="exact"/>
              <w:rPr>
                <w:sz w:val="20"/>
                <w:szCs w:val="20"/>
                <w:color w:val="auto"/>
              </w:rPr>
            </w:pPr>
            <w:r>
              <w:rPr>
                <w:rFonts w:ascii="Arial" w:cs="Arial" w:eastAsia="Arial" w:hAnsi="Arial"/>
                <w:sz w:val="18"/>
                <w:szCs w:val="18"/>
                <w:b w:val="1"/>
                <w:bCs w:val="1"/>
                <w:color w:val="auto"/>
                <w:w w:val="92"/>
              </w:rPr>
              <w:t>7.</w:t>
            </w:r>
          </w:p>
        </w:tc>
        <w:tc>
          <w:tcPr>
            <w:tcW w:w="7040" w:type="dxa"/>
            <w:vAlign w:val="bottom"/>
          </w:tcPr>
          <w:p>
            <w:pPr>
              <w:ind w:left="2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80" w:type="dxa"/>
            <w:vAlign w:val="bottom"/>
            <w:tcBorders>
              <w:right w:val="single" w:sz="8" w:color="auto"/>
            </w:tcBorders>
            <w:gridSpan w:val="2"/>
          </w:tcPr>
          <w:p>
            <w:pPr>
              <w:jc w:val="center"/>
              <w:ind w:right="610"/>
              <w:spacing w:after="0"/>
              <w:rPr>
                <w:sz w:val="20"/>
                <w:szCs w:val="20"/>
                <w:color w:val="auto"/>
              </w:rPr>
            </w:pPr>
            <w:r>
              <w:rPr>
                <w:rFonts w:ascii="Arial" w:cs="Arial" w:eastAsia="Arial" w:hAnsi="Arial"/>
                <w:sz w:val="18"/>
                <w:szCs w:val="18"/>
                <w:b w:val="1"/>
                <w:bCs w:val="1"/>
                <w:color w:val="auto"/>
              </w:rPr>
              <w:t>REPORTING</w:t>
            </w:r>
          </w:p>
        </w:tc>
        <w:tc>
          <w:tcPr>
            <w:tcW w:w="800" w:type="dxa"/>
            <w:vAlign w:val="bottom"/>
            <w:tcBorders>
              <w:right w:val="single" w:sz="8" w:color="auto"/>
            </w:tcBorders>
          </w:tcPr>
          <w:p>
            <w:pPr>
              <w:spacing w:after="0"/>
              <w:rPr>
                <w:sz w:val="18"/>
                <w:szCs w:val="18"/>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3,394,923</w:t>
            </w:r>
          </w:p>
        </w:tc>
        <w:tc>
          <w:tcPr>
            <w:tcW w:w="0" w:type="dxa"/>
            <w:vAlign w:val="bottom"/>
          </w:tcPr>
          <w:p>
            <w:pPr>
              <w:spacing w:after="0"/>
              <w:rPr>
                <w:sz w:val="1"/>
                <w:szCs w:val="1"/>
                <w:color w:val="auto"/>
              </w:rPr>
            </w:pPr>
          </w:p>
        </w:tc>
      </w:tr>
      <w:tr>
        <w:trPr>
          <w:trHeight w:val="88"/>
        </w:trPr>
        <w:tc>
          <w:tcPr>
            <w:tcW w:w="700" w:type="dxa"/>
            <w:vAlign w:val="bottom"/>
          </w:tcPr>
          <w:p>
            <w:pPr>
              <w:spacing w:after="0"/>
              <w:rPr>
                <w:sz w:val="7"/>
                <w:szCs w:val="7"/>
                <w:color w:val="auto"/>
              </w:rPr>
            </w:pPr>
          </w:p>
        </w:tc>
        <w:tc>
          <w:tcPr>
            <w:tcW w:w="700" w:type="dxa"/>
            <w:vAlign w:val="bottom"/>
            <w:vMerge w:val="restart"/>
          </w:tcPr>
          <w:p>
            <w:pPr>
              <w:spacing w:after="0"/>
              <w:rPr>
                <w:sz w:val="7"/>
                <w:szCs w:val="7"/>
                <w:color w:val="auto"/>
              </w:rPr>
            </w:pPr>
          </w:p>
        </w:tc>
        <w:tc>
          <w:tcPr>
            <w:tcW w:w="2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PERSON</w:t>
            </w:r>
          </w:p>
        </w:tc>
        <w:tc>
          <w:tcPr>
            <w:tcW w:w="800" w:type="dxa"/>
            <w:vAlign w:val="bottom"/>
            <w:tcBorders>
              <w:bottom w:val="single" w:sz="8" w:color="auto"/>
              <w:right w:val="single" w:sz="8" w:color="auto"/>
            </w:tcBorders>
          </w:tcPr>
          <w:p>
            <w:pPr>
              <w:spacing w:after="0"/>
              <w:rPr>
                <w:sz w:val="7"/>
                <w:szCs w:val="7"/>
                <w:color w:val="auto"/>
              </w:rPr>
            </w:pPr>
          </w:p>
        </w:tc>
        <w:tc>
          <w:tcPr>
            <w:tcW w:w="7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7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18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b w:val="1"/>
                <w:bCs w:val="1"/>
                <w:color w:val="auto"/>
                <w:w w:val="92"/>
              </w:rPr>
              <w:t>8.</w:t>
            </w:r>
          </w:p>
        </w:tc>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180" w:type="dxa"/>
            <w:vAlign w:val="bottom"/>
            <w:tcBorders>
              <w:right w:val="single" w:sz="8" w:color="auto"/>
            </w:tcBorders>
            <w:vMerge w:val="restart"/>
          </w:tcPr>
          <w:p>
            <w:pPr>
              <w:jc w:val="center"/>
              <w:ind w:right="1310"/>
              <w:spacing w:after="0"/>
              <w:rPr>
                <w:sz w:val="20"/>
                <w:szCs w:val="20"/>
                <w:color w:val="auto"/>
              </w:rPr>
            </w:pPr>
            <w:r>
              <w:rPr>
                <w:rFonts w:ascii="Arial" w:cs="Arial" w:eastAsia="Arial" w:hAnsi="Arial"/>
                <w:sz w:val="18"/>
                <w:szCs w:val="18"/>
                <w:b w:val="1"/>
                <w:bCs w:val="1"/>
                <w:color w:val="auto"/>
              </w:rPr>
              <w:t>WITH</w:t>
            </w:r>
          </w:p>
        </w:tc>
        <w:tc>
          <w:tcPr>
            <w:tcW w:w="800" w:type="dxa"/>
            <w:vAlign w:val="bottom"/>
            <w:tcBorders>
              <w:right w:val="single" w:sz="8" w:color="auto"/>
            </w:tcBorders>
            <w:vMerge w:val="continue"/>
          </w:tcPr>
          <w:p>
            <w:pPr>
              <w:spacing w:after="0"/>
              <w:rPr>
                <w:sz w:val="10"/>
                <w:szCs w:val="10"/>
                <w:color w:val="auto"/>
              </w:rPr>
            </w:pPr>
          </w:p>
        </w:tc>
        <w:tc>
          <w:tcPr>
            <w:tcW w:w="7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18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1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9.</w:t>
            </w:r>
          </w:p>
        </w:tc>
        <w:tc>
          <w:tcPr>
            <w:tcW w:w="700" w:type="dxa"/>
            <w:vAlign w:val="bottom"/>
            <w:tcBorders>
              <w:right w:val="single" w:sz="8" w:color="auto"/>
            </w:tcBorders>
          </w:tcPr>
          <w:p>
            <w:pPr>
              <w:spacing w:after="0"/>
              <w:rPr>
                <w:sz w:val="19"/>
                <w:szCs w:val="19"/>
                <w:color w:val="auto"/>
              </w:rPr>
            </w:pPr>
          </w:p>
        </w:tc>
        <w:tc>
          <w:tcPr>
            <w:tcW w:w="1002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3,394,923</w:t>
            </w:r>
          </w:p>
        </w:tc>
        <w:tc>
          <w:tcPr>
            <w:tcW w:w="80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00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10.</w:t>
            </w:r>
          </w:p>
        </w:tc>
        <w:tc>
          <w:tcPr>
            <w:tcW w:w="700" w:type="dxa"/>
            <w:vAlign w:val="bottom"/>
            <w:tcBorders>
              <w:right w:val="single" w:sz="8" w:color="auto"/>
            </w:tcBorders>
          </w:tcPr>
          <w:p>
            <w:pPr>
              <w:spacing w:after="0"/>
              <w:rPr>
                <w:sz w:val="19"/>
                <w:szCs w:val="19"/>
                <w:color w:val="auto"/>
              </w:rPr>
            </w:pPr>
          </w:p>
        </w:tc>
        <w:tc>
          <w:tcPr>
            <w:tcW w:w="10020" w:type="dxa"/>
            <w:vAlign w:val="bottom"/>
            <w:gridSpan w:val="3"/>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2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40" w:type="dxa"/>
            <w:vAlign w:val="bottom"/>
          </w:tcPr>
          <w:p>
            <w:pPr>
              <w:jc w:val="right"/>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4"/>
        </w:trPr>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00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11.</w:t>
            </w:r>
          </w:p>
        </w:tc>
        <w:tc>
          <w:tcPr>
            <w:tcW w:w="700" w:type="dxa"/>
            <w:vAlign w:val="bottom"/>
            <w:tcBorders>
              <w:right w:val="single" w:sz="8" w:color="auto"/>
            </w:tcBorders>
          </w:tcPr>
          <w:p>
            <w:pPr>
              <w:spacing w:after="0"/>
              <w:rPr>
                <w:sz w:val="19"/>
                <w:szCs w:val="19"/>
                <w:color w:val="auto"/>
              </w:rPr>
            </w:pPr>
          </w:p>
        </w:tc>
        <w:tc>
          <w:tcPr>
            <w:tcW w:w="1002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2180" w:type="dxa"/>
            <w:vAlign w:val="bottom"/>
          </w:tcPr>
          <w:p>
            <w:pPr>
              <w:ind w:left="60"/>
              <w:spacing w:after="0"/>
              <w:rPr>
                <w:sz w:val="20"/>
                <w:szCs w:val="20"/>
                <w:color w:val="auto"/>
              </w:rPr>
            </w:pPr>
            <w:r>
              <w:rPr>
                <w:rFonts w:ascii="Arial" w:cs="Arial" w:eastAsia="Arial" w:hAnsi="Arial"/>
                <w:sz w:val="18"/>
                <w:szCs w:val="18"/>
                <w:color w:val="auto"/>
              </w:rPr>
              <w:t>7.0%</w:t>
            </w:r>
          </w:p>
        </w:tc>
        <w:tc>
          <w:tcPr>
            <w:tcW w:w="80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00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12.</w:t>
            </w:r>
          </w:p>
        </w:tc>
        <w:tc>
          <w:tcPr>
            <w:tcW w:w="700" w:type="dxa"/>
            <w:vAlign w:val="bottom"/>
            <w:tcBorders>
              <w:right w:val="single" w:sz="8" w:color="auto"/>
            </w:tcBorders>
          </w:tcPr>
          <w:p>
            <w:pPr>
              <w:spacing w:after="0"/>
              <w:rPr>
                <w:sz w:val="19"/>
                <w:szCs w:val="19"/>
                <w:color w:val="auto"/>
              </w:rPr>
            </w:pPr>
          </w:p>
        </w:tc>
        <w:tc>
          <w:tcPr>
            <w:tcW w:w="1002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IA</w:t>
            </w:r>
          </w:p>
        </w:tc>
        <w:tc>
          <w:tcPr>
            <w:tcW w:w="80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02"/>
        </w:trPr>
        <w:tc>
          <w:tcPr>
            <w:tcW w:w="7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70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2" w:name="page3"/>
    <w:bookmarkEnd w:id="2"/>
    <w:p>
      <w:pPr>
        <w:ind w:left="20"/>
        <w:spacing w:after="0"/>
        <w:tabs>
          <w:tab w:leader="none" w:pos="6580" w:val="left"/>
          <w:tab w:leader="none" w:pos="9200" w:val="left"/>
        </w:tabs>
        <w:rPr>
          <w:sz w:val="20"/>
          <w:szCs w:val="20"/>
          <w:color w:val="auto"/>
        </w:rPr>
      </w:pPr>
      <w:r>
        <w:rPr>
          <w:rFonts w:ascii="Arial" w:cs="Arial" w:eastAsia="Arial" w:hAnsi="Arial"/>
          <w:sz w:val="18"/>
          <w:szCs w:val="18"/>
          <w:b w:val="1"/>
          <w:bCs w:val="1"/>
          <w:color w:val="auto"/>
        </w:rPr>
        <w:t>CUSIP No. 148711104</w:t>
      </w:r>
      <w:r>
        <w:rPr>
          <w:sz w:val="20"/>
          <w:szCs w:val="20"/>
          <w:color w:val="auto"/>
        </w:rPr>
        <w:tab/>
      </w:r>
      <w:r>
        <w:rPr>
          <w:rFonts w:ascii="Arial" w:cs="Arial" w:eastAsia="Arial" w:hAnsi="Arial"/>
          <w:sz w:val="36"/>
          <w:szCs w:val="36"/>
          <w:b w:val="1"/>
          <w:bCs w:val="1"/>
          <w:color w:val="auto"/>
          <w:vertAlign w:val="subscript"/>
        </w:rPr>
        <w:t>13G</w:t>
      </w:r>
      <w:r>
        <w:rPr>
          <w:sz w:val="20"/>
          <w:szCs w:val="20"/>
          <w:color w:val="auto"/>
        </w:rPr>
        <w:tab/>
      </w:r>
      <w:r>
        <w:rPr>
          <w:rFonts w:ascii="Arial" w:cs="Arial" w:eastAsia="Arial" w:hAnsi="Arial"/>
          <w:sz w:val="23"/>
          <w:szCs w:val="23"/>
          <w:b w:val="1"/>
          <w:bCs w:val="1"/>
          <w:color w:val="auto"/>
          <w:vertAlign w:val="subscript"/>
        </w:rPr>
        <w:t>Page 3 of 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3292475"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92475" cy="32575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-187960</wp:posOffset>
            </wp:positionV>
            <wp:extent cx="1972310" cy="325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72310" cy="325755"/>
                    </a:xfrm>
                    <a:prstGeom prst="rect">
                      <a:avLst/>
                    </a:prstGeom>
                    <a:noFill/>
                  </pic:spPr>
                </pic:pic>
              </a:graphicData>
            </a:graphic>
          </wp:anchor>
        </w:drawing>
      </w:r>
    </w:p>
    <w:p>
      <w:pPr>
        <w:sectPr>
          <w:pgSz w:w="11900" w:h="16838" w:orient="portrait"/>
          <w:cols w:equalWidth="0" w:num="1">
            <w:col w:w="11420"/>
          </w:cols>
          <w:pgMar w:left="240" w:top="151" w:right="2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Pursuant to Rule 13d-2(b) of Regulation 13D-G under the Securities Exchange Act of 1934, as amended, the Schedule 13G initially filed on November 10, 2005 by Chilton Investment Company, LLC (the “Reporting Person”) with respect to the Common Stock, $0.01 par value (the “Common Stock”), of Casual Male Retail Group, Inc., a Delaware corporation (the “Schedule 13G”), as amended by Amendment No. 1 to the Schedule 13G filed on February 14, 2006, replaced by the Schedule 13D filed on May 9, 2006, as amended by Amendment No.1 to the 13D filed on June 9, 2006, Amendment No. 2 to the 13D filed on June 29, 2006, Amendment No. 3 to the 13D filed on April 13, 2006 and Amendment No. 4 to the 13D filed on July 19, 2007, replaced by Amendment No. 2 to the Schedule 13G filed on July 20, 2007, replaced by Amendment No. 5 to the Schedule 13D filed on October 23, 2007, as amended by Amendment No. 6 to the Schedule 13D filed on November 28, 2007 and Amendment No. 7 to the Schedule 13D filed on October 21, 2008, replaced by Amendment No. 3 to the Schedule 13G filed on October 21, 2008, as amended by Amendment No. 4 to the Schedule 13G filed on February 13, 2009, Amendment No. 5 to the 13G filed on December 10, 2009, Amendment No. 6 to the 13G filed on February 12, 2010 and Amendment No. 7 to the 13G filed on February 14, 2011, is hereby amended by this Amendment No. 8 to the Schedule 13G to report a change in the information reported in the Schedule 13G. The Schedule 13G is hereby amended as follows: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Item 4 is hereby amended and restated in its entirety to read: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040" w:type="dxa"/>
            <w:vAlign w:val="bottom"/>
            <w:gridSpan w:val="2"/>
          </w:tcPr>
          <w:p>
            <w:pPr>
              <w:ind w:left="940"/>
              <w:spacing w:after="0"/>
              <w:rPr>
                <w:sz w:val="20"/>
                <w:szCs w:val="20"/>
                <w:color w:val="auto"/>
              </w:rPr>
            </w:pPr>
            <w:r>
              <w:rPr>
                <w:rFonts w:ascii="Arial" w:cs="Arial" w:eastAsia="Arial" w:hAnsi="Arial"/>
                <w:sz w:val="18"/>
                <w:szCs w:val="18"/>
                <w:b w:val="1"/>
                <w:bCs w:val="1"/>
                <w:color w:val="auto"/>
              </w:rPr>
              <w:t>Ownership.</w:t>
            </w:r>
          </w:p>
        </w:tc>
        <w:tc>
          <w:tcPr>
            <w:tcW w:w="4740" w:type="dxa"/>
            <w:vAlign w:val="bottom"/>
          </w:tcPr>
          <w:p>
            <w:pPr>
              <w:spacing w:after="0"/>
              <w:rPr>
                <w:sz w:val="20"/>
                <w:szCs w:val="20"/>
                <w:color w:val="auto"/>
              </w:rPr>
            </w:pPr>
          </w:p>
        </w:tc>
      </w:tr>
      <w:tr>
        <w:trPr>
          <w:trHeight w:val="432"/>
        </w:trPr>
        <w:tc>
          <w:tcPr>
            <w:tcW w:w="1480" w:type="dxa"/>
            <w:vAlign w:val="bottom"/>
          </w:tcPr>
          <w:p>
            <w:pPr>
              <w:spacing w:after="0"/>
              <w:rPr>
                <w:sz w:val="24"/>
                <w:szCs w:val="24"/>
                <w:color w:val="auto"/>
              </w:rPr>
            </w:pPr>
          </w:p>
        </w:tc>
        <w:tc>
          <w:tcPr>
            <w:tcW w:w="1360" w:type="dxa"/>
            <w:vAlign w:val="bottom"/>
          </w:tcPr>
          <w:p>
            <w:pPr>
              <w:ind w:left="940"/>
              <w:spacing w:after="0"/>
              <w:rPr>
                <w:sz w:val="20"/>
                <w:szCs w:val="20"/>
                <w:color w:val="auto"/>
              </w:rPr>
            </w:pPr>
            <w:r>
              <w:rPr>
                <w:rFonts w:ascii="Arial" w:cs="Arial" w:eastAsia="Arial" w:hAnsi="Arial"/>
                <w:sz w:val="18"/>
                <w:szCs w:val="18"/>
                <w:color w:val="auto"/>
              </w:rPr>
              <w:t>(a)</w:t>
            </w:r>
          </w:p>
        </w:tc>
        <w:tc>
          <w:tcPr>
            <w:tcW w:w="5420" w:type="dxa"/>
            <w:vAlign w:val="bottom"/>
            <w:gridSpan w:val="2"/>
          </w:tcPr>
          <w:p>
            <w:pPr>
              <w:ind w:left="260"/>
              <w:spacing w:after="0"/>
              <w:rPr>
                <w:sz w:val="20"/>
                <w:szCs w:val="20"/>
                <w:color w:val="auto"/>
              </w:rPr>
            </w:pPr>
            <w:r>
              <w:rPr>
                <w:rFonts w:ascii="Arial" w:cs="Arial" w:eastAsia="Arial" w:hAnsi="Arial"/>
                <w:sz w:val="18"/>
                <w:szCs w:val="18"/>
                <w:color w:val="auto"/>
              </w:rPr>
              <w:t>Amount beneficially owned</w:t>
            </w:r>
            <w:r>
              <w:rPr>
                <w:rFonts w:ascii="Arial" w:cs="Arial" w:eastAsia="Arial" w:hAnsi="Arial"/>
                <w:sz w:val="18"/>
                <w:szCs w:val="18"/>
                <w:color w:val="FF0000"/>
              </w:rPr>
              <w:t>:</w:t>
            </w:r>
            <w:r>
              <w:rPr>
                <w:rFonts w:ascii="Arial" w:cs="Arial" w:eastAsia="Arial" w:hAnsi="Arial"/>
                <w:sz w:val="18"/>
                <w:szCs w:val="18"/>
                <w:color w:val="auto"/>
              </w:rPr>
              <w:t xml:space="preserve"> 3,394,923 shares</w:t>
            </w:r>
          </w:p>
        </w:tc>
      </w:tr>
      <w:tr>
        <w:trPr>
          <w:trHeight w:val="432"/>
        </w:trPr>
        <w:tc>
          <w:tcPr>
            <w:tcW w:w="1480" w:type="dxa"/>
            <w:vAlign w:val="bottom"/>
          </w:tcPr>
          <w:p>
            <w:pPr>
              <w:spacing w:after="0"/>
              <w:rPr>
                <w:sz w:val="24"/>
                <w:szCs w:val="24"/>
                <w:color w:val="auto"/>
              </w:rPr>
            </w:pPr>
          </w:p>
        </w:tc>
        <w:tc>
          <w:tcPr>
            <w:tcW w:w="1360" w:type="dxa"/>
            <w:vAlign w:val="bottom"/>
          </w:tcPr>
          <w:p>
            <w:pPr>
              <w:ind w:left="940"/>
              <w:spacing w:after="0"/>
              <w:rPr>
                <w:sz w:val="20"/>
                <w:szCs w:val="20"/>
                <w:color w:val="auto"/>
              </w:rPr>
            </w:pPr>
            <w:r>
              <w:rPr>
                <w:rFonts w:ascii="Arial" w:cs="Arial" w:eastAsia="Arial" w:hAnsi="Arial"/>
                <w:sz w:val="18"/>
                <w:szCs w:val="18"/>
                <w:color w:val="auto"/>
              </w:rPr>
              <w:t>(b)</w:t>
            </w:r>
          </w:p>
        </w:tc>
        <w:tc>
          <w:tcPr>
            <w:tcW w:w="5420" w:type="dxa"/>
            <w:vAlign w:val="bottom"/>
            <w:gridSpan w:val="2"/>
          </w:tcPr>
          <w:p>
            <w:pPr>
              <w:ind w:left="280"/>
              <w:spacing w:after="0"/>
              <w:rPr>
                <w:sz w:val="20"/>
                <w:szCs w:val="20"/>
                <w:color w:val="auto"/>
              </w:rPr>
            </w:pPr>
            <w:r>
              <w:rPr>
                <w:rFonts w:ascii="Arial" w:cs="Arial" w:eastAsia="Arial" w:hAnsi="Arial"/>
                <w:sz w:val="18"/>
                <w:szCs w:val="18"/>
                <w:color w:val="auto"/>
              </w:rPr>
              <w:t>Percent of class: 7.0%</w:t>
            </w:r>
          </w:p>
        </w:tc>
      </w:tr>
      <w:tr>
        <w:trPr>
          <w:trHeight w:val="432"/>
        </w:trPr>
        <w:tc>
          <w:tcPr>
            <w:tcW w:w="1480" w:type="dxa"/>
            <w:vAlign w:val="bottom"/>
          </w:tcPr>
          <w:p>
            <w:pPr>
              <w:spacing w:after="0"/>
              <w:rPr>
                <w:sz w:val="24"/>
                <w:szCs w:val="24"/>
                <w:color w:val="auto"/>
              </w:rPr>
            </w:pPr>
          </w:p>
        </w:tc>
        <w:tc>
          <w:tcPr>
            <w:tcW w:w="1360" w:type="dxa"/>
            <w:vAlign w:val="bottom"/>
          </w:tcPr>
          <w:p>
            <w:pPr>
              <w:ind w:left="940"/>
              <w:spacing w:after="0"/>
              <w:rPr>
                <w:sz w:val="20"/>
                <w:szCs w:val="20"/>
                <w:color w:val="auto"/>
              </w:rPr>
            </w:pPr>
            <w:r>
              <w:rPr>
                <w:rFonts w:ascii="Arial" w:cs="Arial" w:eastAsia="Arial" w:hAnsi="Arial"/>
                <w:sz w:val="18"/>
                <w:szCs w:val="18"/>
                <w:color w:val="auto"/>
              </w:rPr>
              <w:t>(c)</w:t>
            </w:r>
          </w:p>
        </w:tc>
        <w:tc>
          <w:tcPr>
            <w:tcW w:w="5420" w:type="dxa"/>
            <w:vAlign w:val="bottom"/>
            <w:gridSpan w:val="2"/>
          </w:tcPr>
          <w:p>
            <w:pPr>
              <w:ind w:left="260"/>
              <w:spacing w:after="0"/>
              <w:rPr>
                <w:sz w:val="20"/>
                <w:szCs w:val="20"/>
                <w:color w:val="auto"/>
              </w:rPr>
            </w:pPr>
            <w:r>
              <w:rPr>
                <w:rFonts w:ascii="Arial" w:cs="Arial" w:eastAsia="Arial" w:hAnsi="Arial"/>
                <w:sz w:val="18"/>
                <w:szCs w:val="18"/>
                <w:color w:val="auto"/>
              </w:rPr>
              <w:t>Number of shares as to which the person has:</w:t>
            </w:r>
          </w:p>
        </w:tc>
      </w:tr>
      <w:tr>
        <w:trPr>
          <w:trHeight w:val="418"/>
        </w:trPr>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color w:val="auto"/>
              </w:rPr>
              <w:t>(i)</w:t>
            </w:r>
          </w:p>
        </w:tc>
        <w:tc>
          <w:tcPr>
            <w:tcW w:w="4740" w:type="dxa"/>
            <w:vAlign w:val="bottom"/>
          </w:tcPr>
          <w:p>
            <w:pPr>
              <w:ind w:left="200"/>
              <w:spacing w:after="0"/>
              <w:rPr>
                <w:sz w:val="20"/>
                <w:szCs w:val="20"/>
                <w:color w:val="auto"/>
              </w:rPr>
            </w:pPr>
            <w:r>
              <w:rPr>
                <w:rFonts w:ascii="Arial" w:cs="Arial" w:eastAsia="Arial" w:hAnsi="Arial"/>
                <w:sz w:val="18"/>
                <w:szCs w:val="18"/>
                <w:color w:val="auto"/>
              </w:rPr>
              <w:t>Sole power to vote or to direct the vote: 3,394,923</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ind w:left="220"/>
              <w:spacing w:after="0"/>
              <w:rPr>
                <w:sz w:val="20"/>
                <w:szCs w:val="20"/>
                <w:color w:val="auto"/>
              </w:rPr>
            </w:pPr>
            <w:r>
              <w:rPr>
                <w:rFonts w:ascii="Arial" w:cs="Arial" w:eastAsia="Arial" w:hAnsi="Arial"/>
                <w:sz w:val="18"/>
                <w:szCs w:val="18"/>
                <w:color w:val="auto"/>
              </w:rPr>
              <w:t>(ii)</w:t>
            </w:r>
          </w:p>
        </w:tc>
        <w:tc>
          <w:tcPr>
            <w:tcW w:w="4740" w:type="dxa"/>
            <w:vAlign w:val="bottom"/>
          </w:tcPr>
          <w:p>
            <w:pPr>
              <w:ind w:left="220"/>
              <w:spacing w:after="0"/>
              <w:rPr>
                <w:sz w:val="20"/>
                <w:szCs w:val="20"/>
                <w:color w:val="auto"/>
              </w:rPr>
            </w:pPr>
            <w:r>
              <w:rPr>
                <w:rFonts w:ascii="Arial" w:cs="Arial" w:eastAsia="Arial" w:hAnsi="Arial"/>
                <w:sz w:val="18"/>
                <w:szCs w:val="18"/>
                <w:color w:val="auto"/>
              </w:rPr>
              <w:t>Shared power to vote or to direct the vote: 0</w:t>
            </w:r>
          </w:p>
        </w:tc>
      </w:tr>
      <w:tr>
        <w:trPr>
          <w:trHeight w:val="216"/>
        </w:trPr>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ind w:left="220"/>
              <w:spacing w:after="0"/>
              <w:rPr>
                <w:sz w:val="20"/>
                <w:szCs w:val="20"/>
                <w:color w:val="auto"/>
              </w:rPr>
            </w:pPr>
            <w:r>
              <w:rPr>
                <w:rFonts w:ascii="Arial" w:cs="Arial" w:eastAsia="Arial" w:hAnsi="Arial"/>
                <w:sz w:val="18"/>
                <w:szCs w:val="18"/>
                <w:color w:val="auto"/>
              </w:rPr>
              <w:t>(iii)</w:t>
            </w:r>
          </w:p>
        </w:tc>
        <w:tc>
          <w:tcPr>
            <w:tcW w:w="4740" w:type="dxa"/>
            <w:vAlign w:val="bottom"/>
          </w:tcPr>
          <w:p>
            <w:pPr>
              <w:ind w:left="220"/>
              <w:spacing w:after="0"/>
              <w:rPr>
                <w:sz w:val="20"/>
                <w:szCs w:val="20"/>
                <w:color w:val="auto"/>
              </w:rPr>
            </w:pPr>
            <w:r>
              <w:rPr>
                <w:rFonts w:ascii="Arial" w:cs="Arial" w:eastAsia="Arial" w:hAnsi="Arial"/>
                <w:sz w:val="18"/>
                <w:szCs w:val="18"/>
                <w:color w:val="auto"/>
                <w:w w:val="90"/>
              </w:rPr>
              <w:t>Sole power to dispose or to direct the disposition of: 3,394,923</w:t>
            </w:r>
          </w:p>
        </w:tc>
      </w:tr>
      <w:tr>
        <w:trPr>
          <w:trHeight w:val="230"/>
        </w:trPr>
        <w:tc>
          <w:tcPr>
            <w:tcW w:w="1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ind w:left="220"/>
              <w:spacing w:after="0"/>
              <w:rPr>
                <w:sz w:val="20"/>
                <w:szCs w:val="20"/>
                <w:color w:val="auto"/>
              </w:rPr>
            </w:pPr>
            <w:r>
              <w:rPr>
                <w:rFonts w:ascii="Arial" w:cs="Arial" w:eastAsia="Arial" w:hAnsi="Arial"/>
                <w:sz w:val="18"/>
                <w:szCs w:val="18"/>
                <w:color w:val="auto"/>
              </w:rPr>
              <w:t>(iv)</w:t>
            </w:r>
          </w:p>
        </w:tc>
        <w:tc>
          <w:tcPr>
            <w:tcW w:w="4740" w:type="dxa"/>
            <w:vAlign w:val="bottom"/>
          </w:tcPr>
          <w:p>
            <w:pPr>
              <w:ind w:left="200"/>
              <w:spacing w:after="0"/>
              <w:rPr>
                <w:sz w:val="20"/>
                <w:szCs w:val="20"/>
                <w:color w:val="auto"/>
              </w:rPr>
            </w:pPr>
            <w:r>
              <w:rPr>
                <w:rFonts w:ascii="Arial" w:cs="Arial" w:eastAsia="Arial" w:hAnsi="Arial"/>
                <w:sz w:val="18"/>
                <w:szCs w:val="18"/>
                <w:color w:val="auto"/>
              </w:rPr>
              <w:t>Shared power to dispose or to direct the disposition of: 0</w:t>
            </w:r>
          </w:p>
        </w:tc>
      </w:tr>
    </w:tbl>
    <w:p>
      <w:pPr>
        <w:spacing w:after="0" w:line="200" w:lineRule="exact"/>
        <w:rPr>
          <w:sz w:val="20"/>
          <w:szCs w:val="20"/>
          <w:color w:val="auto"/>
        </w:rPr>
      </w:pPr>
    </w:p>
    <w:p>
      <w:pPr>
        <w:spacing w:after="0" w:line="26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complete and correct.</w:t>
      </w:r>
    </w:p>
    <w:p>
      <w:pPr>
        <w:spacing w:after="0" w:line="23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10, 2012</w:t>
      </w:r>
    </w:p>
    <w:p>
      <w:pPr>
        <w:spacing w:after="0" w:line="200" w:lineRule="exact"/>
        <w:rPr>
          <w:sz w:val="20"/>
          <w:szCs w:val="20"/>
          <w:color w:val="auto"/>
        </w:rPr>
      </w:pPr>
    </w:p>
    <w:p>
      <w:pPr>
        <w:spacing w:after="0" w:line="291"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Chilton Investment Company, LLC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James Steinthal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James Steinthal</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Executive Vice President</w:t>
      </w:r>
    </w:p>
    <w:sectPr>
      <w:pgSz w:w="11900" w:h="16838" w:orient="portrait"/>
      <w:cols w:equalWidth="0" w:num="1">
        <w:col w:w="11420"/>
      </w:cols>
      <w:pgMar w:left="240" w:top="15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2019-12-09T08:55:46Z</dcterms:created>
  <dcterms:modified xsi:type="dcterms:W3CDTF">2019-12-09T08:55:46Z</dcterms:modified>
</cp:coreProperties>
</file>