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November 20, 2008</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70"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0"/>
        </w:trPr>
        <w:tc>
          <w:tcPr>
            <w:tcW w:w="1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460" w:type="dxa"/>
            <w:vAlign w:val="bottom"/>
          </w:tcPr>
          <w:p>
            <w:pPr>
              <w:spacing w:after="0"/>
              <w:rPr>
                <w:sz w:val="23"/>
                <w:szCs w:val="23"/>
                <w:color w:val="auto"/>
              </w:rPr>
            </w:pPr>
          </w:p>
        </w:tc>
      </w:tr>
      <w:tr>
        <w:trPr>
          <w:trHeight w:val="426"/>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5680" w:type="dxa"/>
            <w:vAlign w:val="bottom"/>
            <w:gridSpan w:val="3"/>
          </w:tcPr>
          <w:p>
            <w:pPr>
              <w:jc w:val="center"/>
              <w:ind w:left="4240"/>
              <w:spacing w:after="0"/>
              <w:rPr>
                <w:sz w:val="20"/>
                <w:szCs w:val="20"/>
                <w:color w:val="auto"/>
              </w:rPr>
            </w:pPr>
            <w:r>
              <w:rPr>
                <w:rFonts w:ascii="Arial" w:cs="Arial" w:eastAsia="Arial" w:hAnsi="Arial"/>
                <w:sz w:val="18"/>
                <w:szCs w:val="18"/>
                <w:b w:val="1"/>
                <w:bCs w:val="1"/>
                <w:color w:val="auto"/>
                <w:w w:val="87"/>
              </w:rPr>
              <w:t>04-2623104</w:t>
            </w:r>
          </w:p>
        </w:tc>
      </w:tr>
      <w:tr>
        <w:trPr>
          <w:trHeight w:val="149"/>
        </w:trPr>
        <w:tc>
          <w:tcPr>
            <w:tcW w:w="15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8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6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60" w:type="dxa"/>
            <w:vAlign w:val="bottom"/>
          </w:tcPr>
          <w:p>
            <w:pPr>
              <w:jc w:val="center"/>
              <w:ind w:left="1052"/>
              <w:spacing w:after="0"/>
              <w:rPr>
                <w:sz w:val="20"/>
                <w:szCs w:val="20"/>
                <w:color w:val="auto"/>
              </w:rPr>
            </w:pPr>
            <w:r>
              <w:rPr>
                <w:rFonts w:ascii="Arial" w:cs="Arial" w:eastAsia="Arial" w:hAnsi="Arial"/>
                <w:sz w:val="14"/>
                <w:szCs w:val="14"/>
                <w:b w:val="1"/>
                <w:bCs w:val="1"/>
                <w:color w:val="auto"/>
                <w:w w:val="90"/>
              </w:rPr>
              <w:t>Identification Number)</w:t>
            </w:r>
          </w:p>
        </w:tc>
      </w:tr>
      <w:tr>
        <w:trPr>
          <w:trHeight w:val="366"/>
        </w:trPr>
        <w:tc>
          <w:tcPr>
            <w:tcW w:w="1500" w:type="dxa"/>
            <w:vAlign w:val="bottom"/>
          </w:tcPr>
          <w:p>
            <w:pPr>
              <w:spacing w:after="0"/>
              <w:rPr>
                <w:sz w:val="24"/>
                <w:szCs w:val="24"/>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3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52"/>
        </w:trPr>
        <w:tc>
          <w:tcPr>
            <w:tcW w:w="1500" w:type="dxa"/>
            <w:vAlign w:val="bottom"/>
          </w:tcPr>
          <w:p>
            <w:pPr>
              <w:spacing w:after="0"/>
              <w:rPr>
                <w:sz w:val="24"/>
                <w:szCs w:val="24"/>
                <w:color w:val="auto"/>
              </w:rPr>
            </w:pPr>
          </w:p>
        </w:tc>
        <w:tc>
          <w:tcPr>
            <w:tcW w:w="3220" w:type="dxa"/>
            <w:vAlign w:val="bottom"/>
            <w:gridSpan w:val="2"/>
          </w:tcPr>
          <w:p>
            <w:pPr>
              <w:jc w:val="center"/>
              <w:ind w:left="760"/>
              <w:spacing w:after="0"/>
              <w:rPr>
                <w:sz w:val="20"/>
                <w:szCs w:val="20"/>
                <w:color w:val="auto"/>
              </w:rPr>
            </w:pPr>
            <w:r>
              <w:rPr>
                <w:rFonts w:ascii="Arial" w:cs="Arial" w:eastAsia="Arial" w:hAnsi="Arial"/>
                <w:sz w:val="18"/>
                <w:szCs w:val="18"/>
                <w:b w:val="1"/>
                <w:bCs w:val="1"/>
                <w:color w:val="auto"/>
                <w:w w:val="89"/>
              </w:rPr>
              <w:t>(781) 828-9300</w:t>
            </w:r>
          </w:p>
        </w:tc>
        <w:tc>
          <w:tcPr>
            <w:tcW w:w="246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40" w:type="dxa"/>
            <w:vAlign w:val="bottom"/>
            <w:gridSpan w:val="2"/>
          </w:tcPr>
          <w:p>
            <w:pPr>
              <w:jc w:val="center"/>
              <w:ind w:right="239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November 20, 2008, Casual Male Retail Group, Inc. (the “Company”) issued a press release announcing the Company’s sales and results of operations for the third quarter and first nine months of fiscal 2008. A copy of this press release is attached hereto as Exhibit 99.1.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8890</wp:posOffset>
            </wp:positionV>
            <wp:extent cx="5531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7" w:lineRule="exact"/>
        <w:rPr>
          <w:sz w:val="20"/>
          <w:szCs w:val="20"/>
          <w:color w:val="auto"/>
        </w:rPr>
      </w:pPr>
    </w:p>
    <w:p>
      <w:pPr>
        <w:ind w:left="920"/>
        <w:spacing w:after="0"/>
        <w:tabs>
          <w:tab w:leader="none" w:pos="1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announcing sales and operating results for the third quarter and first nine months of fiscal 2008.</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20, 2008</w:t>
      </w:r>
    </w:p>
    <w:p>
      <w:pPr>
        <w:sectPr>
          <w:pgSz w:w="11900" w:h="16838" w:orient="portrait"/>
          <w:cols w:equalWidth="0" w:num="1">
            <w:col w:w="11100"/>
          </w:cols>
          <w:pgMar w:left="240" w:top="280"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118110</wp:posOffset>
            </wp:positionV>
            <wp:extent cx="1818005" cy="488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Andrew Bard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Weber Shandwick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212-445-8368</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REPORTS SALES AND OPERATING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THIRD QUARTER AND FIRST NINE MONTHS OF FISCAL 2008</w:t>
      </w:r>
    </w:p>
    <w:p>
      <w:pPr>
        <w:spacing w:after="0" w:line="159"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b w:val="1"/>
          <w:bCs w:val="1"/>
          <w:color w:val="auto"/>
        </w:rPr>
        <w:t>CANTON, MA, (November 20, 2008) — Casual Male Retail Group, Inc. (NASDAQ: “CMRG”)</w:t>
      </w:r>
      <w:r>
        <w:rPr>
          <w:rFonts w:ascii="Arial" w:cs="Arial" w:eastAsia="Arial" w:hAnsi="Arial"/>
          <w:sz w:val="16"/>
          <w:szCs w:val="16"/>
          <w:color w:val="auto"/>
        </w:rPr>
        <w:t>, retail brand operator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Casual Male XL, Rochester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Clothing</w:t>
      </w:r>
      <w:r>
        <w:rPr>
          <w:rFonts w:ascii="Arial" w:cs="Arial" w:eastAsia="Arial" w:hAnsi="Arial"/>
          <w:sz w:val="16"/>
          <w:szCs w:val="16"/>
          <w:color w:val="auto"/>
        </w:rPr>
        <w:t>,</w:t>
      </w:r>
      <w:r>
        <w:rPr>
          <w:rFonts w:ascii="Arial" w:cs="Arial" w:eastAsia="Arial" w:hAnsi="Arial"/>
          <w:sz w:val="16"/>
          <w:szCs w:val="16"/>
          <w:i w:val="1"/>
          <w:iCs w:val="1"/>
          <w:color w:val="auto"/>
        </w:rPr>
        <w:t xml:space="preserve"> B&amp;T Factory Direct</w:t>
      </w:r>
      <w:r>
        <w:rPr>
          <w:rFonts w:ascii="Arial" w:cs="Arial" w:eastAsia="Arial" w:hAnsi="Arial"/>
          <w:sz w:val="16"/>
          <w:szCs w:val="16"/>
          <w:color w:val="auto"/>
        </w:rPr>
        <w:t>,</w:t>
      </w:r>
      <w:r>
        <w:rPr>
          <w:rFonts w:ascii="Arial" w:cs="Arial" w:eastAsia="Arial" w:hAnsi="Arial"/>
          <w:sz w:val="16"/>
          <w:szCs w:val="16"/>
          <w:i w:val="1"/>
          <w:iCs w:val="1"/>
          <w:color w:val="auto"/>
        </w:rPr>
        <w:t xml:space="preserve"> LivingXL </w:t>
      </w:r>
      <w:r>
        <w:rPr>
          <w:rFonts w:ascii="Arial" w:cs="Arial" w:eastAsia="Arial" w:hAnsi="Arial"/>
          <w:sz w:val="16"/>
          <w:szCs w:val="16"/>
          <w:color w:val="auto"/>
        </w:rPr>
        <w:t>and</w:t>
      </w:r>
      <w:r>
        <w:rPr>
          <w:rFonts w:ascii="Arial" w:cs="Arial" w:eastAsia="Arial" w:hAnsi="Arial"/>
          <w:sz w:val="16"/>
          <w:szCs w:val="16"/>
          <w:i w:val="1"/>
          <w:iCs w:val="1"/>
          <w:color w:val="auto"/>
        </w:rPr>
        <w:t xml:space="preserve"> ShoesXL</w:t>
      </w:r>
      <w:r>
        <w:rPr>
          <w:rFonts w:ascii="Arial" w:cs="Arial" w:eastAsia="Arial" w:hAnsi="Arial"/>
          <w:sz w:val="16"/>
          <w:szCs w:val="16"/>
          <w:color w:val="auto"/>
        </w:rPr>
        <w:t>, announced today its sales and operating results for the third quarter and first nine months of fiscal 2008.</w:t>
      </w:r>
    </w:p>
    <w:p>
      <w:pPr>
        <w:spacing w:after="0" w:line="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Comparable sales decreased 5.3% and 2.2% for the thirteen week and thirty-nine week periods ended November 1, 2008, respectively, when compared to the same periods of the prior year. For the third quarter of fiscal 2008, total sales decreased by 5.7% to $100.0 million as compared to $106.1 million for the third quarter of fiscal 2007. For the first nine months of fiscal 2008, total sales decreased 2.8% to $321.1 million as compared to $330.3 million for the same period in the prior year.</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third quarter of fiscal 2008, the Company had a net loss of $3.2 million, or $0.08 per diluted share, compared to net loss for the third quarter of fiscal 2007 of $3.8 million, or $0.09 per diluted share. For the first nine months of fiscal 2008, the net loss was $1.2 million, or $0.03 per diluted share, as compared to a net loss of $0.2 million, or $0.01 per diluted share for the first nine months of fiscal 2007. Results for the three and nine months ended November 3, 2007 include a loss from discontinued operations of $2.0 million, or $0.05 per diluted share, and $2.8 million, or $0.07 per diluted share, respectively.</w:t>
      </w:r>
    </w:p>
    <w:p>
      <w:pPr>
        <w:spacing w:after="0" w:line="11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Company is keenly focused on managing its cash flow and maintaining a strong and liquid balance sheet. At the end of the third quarter, the Company’s inventory levels are close to 7% lower than last year and its capital expenditures have dropped by more than 40% from last year. In addition, the Company has reduced its debt by $12 million from last year and is maintaining strong liquidity, which currently approximates $47 million, under our credit facility maturing in 2011. In addition, we expect significant debt reductions in the fourth quarter as well as in 2009, further strengthening our liquidity position,” stated Dennis Hernreich, Executive Vice President, Chief Operating Officer and Chief Financial Officer.</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2008 Guidance and Highlights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Through the second quarter of fiscal 2008, the Company provided earnings guidance for fiscal 2008. However, due to the current economic conditions and overall volatility of the markets, the Company finds it difficult to predict our traffic and sales trends with a reasonable degree of certainty to provide a revised earnings guidance, and therefore will not provide revised earnings guidance for the fourth quarter and fiscal year 2008.</w:t>
      </w:r>
    </w:p>
    <w:p>
      <w:pPr>
        <w:spacing w:after="0" w:line="10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Investors are invited to listen to a broadcast of the Company’s conference call to discuss its third quarter and first nine months of fiscal 2008 earnings results. The conference call will broadcast live today, Thursday, November 20, 2008 at 9:00 a.m. Eastern Time at </w:t>
      </w:r>
      <w:r>
        <w:rPr>
          <w:rFonts w:ascii="Arial" w:cs="Arial" w:eastAsia="Arial" w:hAnsi="Arial"/>
          <w:sz w:val="16"/>
          <w:szCs w:val="16"/>
          <w:u w:val="single" w:color="auto"/>
          <w:color w:val="auto"/>
        </w:rPr>
        <w:t>www.casualmalexl.com</w:t>
      </w:r>
      <w:r>
        <w:rPr>
          <w:rFonts w:ascii="Arial" w:cs="Arial" w:eastAsia="Arial" w:hAnsi="Arial"/>
          <w:sz w:val="16"/>
          <w:szCs w:val="16"/>
          <w:color w:val="auto"/>
        </w:rPr>
        <w:t xml:space="preserve"> and then click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13"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operations throughout the United States, Canada and London, England, operates 473 Casual Male XL retail and outlet stores, 27 Rochester Clothing stores, and direct to consumer businesses which include several catalogs and e-commerce sites. The Company is headquartered in Canton, Massachusetts, and its common stock is listed on the NASDAQ Global Market under the symbol “CMRG.”</w:t>
      </w:r>
    </w:p>
    <w:p>
      <w:pPr>
        <w:spacing w:after="0" w:line="14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Certain information contained in this press release constitutes forward-looking statements under the federal securities laws. The discussion of forward-looking information requires management of the Company to make certain estimates and assumptions regarding the overall retail environment and the Company’s strategic plans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26, 2008, that set forth certain risks and uncertainties that may have an impact on future results and direction of the Company.</w:t>
      </w:r>
    </w:p>
    <w:p>
      <w:pPr>
        <w:spacing w:after="0" w:line="120"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w w:val="99"/>
              </w:rPr>
              <w:t>For the three months ended</w:t>
            </w:r>
          </w:p>
        </w:tc>
        <w:tc>
          <w:tcPr>
            <w:tcW w:w="280" w:type="dxa"/>
            <w:vAlign w:val="bottom"/>
          </w:tcPr>
          <w:p>
            <w:pPr>
              <w:spacing w:after="0"/>
              <w:rPr>
                <w:sz w:val="14"/>
                <w:szCs w:val="14"/>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November 1, 2008</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November 3, 2007</w:t>
            </w:r>
          </w:p>
        </w:tc>
        <w:tc>
          <w:tcPr>
            <w:tcW w:w="60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November 1, 2008</w:t>
            </w:r>
          </w:p>
        </w:tc>
        <w:tc>
          <w:tcPr>
            <w:tcW w:w="60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November 3, 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100,009</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106,097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321,126</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57,796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59,567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179,236</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46,530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141,890</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44,002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129,547</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4,470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12,419</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48,472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141,966</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(4,673)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(1,942)</w:t>
            </w:r>
          </w:p>
        </w:tc>
        <w:tc>
          <w:tcPr>
            <w:tcW w:w="28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(798)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(1,254)</w:t>
            </w:r>
          </w:p>
        </w:tc>
        <w:tc>
          <w:tcPr>
            <w:tcW w:w="2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(2,352)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(3,097)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(2,032)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(2,135)</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(1,239)</w:t>
            </w:r>
          </w:p>
        </w:tc>
        <w:tc>
          <w:tcPr>
            <w:tcW w:w="28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(813)</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(1,858)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(1,219)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2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260" w:type="dxa"/>
            <w:vAlign w:val="bottom"/>
          </w:tcPr>
          <w:p>
            <w:pPr>
              <w:spacing w:after="0"/>
              <w:rPr>
                <w:sz w:val="24"/>
                <w:szCs w:val="24"/>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(1,963)</w:t>
            </w:r>
          </w:p>
        </w:tc>
        <w:tc>
          <w:tcPr>
            <w:tcW w:w="280" w:type="dxa"/>
            <w:vAlign w:val="bottom"/>
          </w:tcPr>
          <w:p>
            <w:pPr>
              <w:spacing w:after="0"/>
              <w:rPr>
                <w:sz w:val="24"/>
                <w:szCs w:val="2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(3,202)</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(3,821)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(1,219)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 basic</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0.00</w:t>
            </w:r>
          </w:p>
        </w:tc>
        <w:tc>
          <w:tcPr>
            <w:tcW w:w="6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per share - basic</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0.00</w:t>
            </w:r>
          </w:p>
        </w:tc>
        <w:tc>
          <w:tcPr>
            <w:tcW w:w="6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 per share - diluted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323"/>
        </w:trPr>
        <w:tc>
          <w:tcPr>
            <w:tcW w:w="542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41,672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41,403</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41,414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41,672</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41,403</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41,823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 2008 and February 2,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85"/>
              </w:rPr>
              <w:t>November 1, 2008</w:t>
            </w:r>
          </w:p>
        </w:tc>
        <w:tc>
          <w:tcPr>
            <w:tcW w:w="6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0"/>
              </w:rPr>
              <w:t>February 2,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74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5,848</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130,327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14,217</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59,436</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338,928</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66,980</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Notes payable</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57,873</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Deferred gain, net of current portion</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23,813</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181,468</w:t>
            </w:r>
          </w:p>
        </w:tc>
        <w:tc>
          <w:tcPr>
            <w:tcW w:w="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338,928</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325,361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2019-12-20T18:31:13Z</dcterms:created>
  <dcterms:modified xsi:type="dcterms:W3CDTF">2019-12-20T18:31:13Z</dcterms:modified>
</cp:coreProperties>
</file>