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 401(K) SALARIED SAVINGS PLAN</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(Full title of the plan)</w:t>
      </w:r>
    </w:p>
    <w:p>
      <w:pPr>
        <w:spacing w:after="0" w:line="138"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555 Turnpike Street</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(Name of issuer of the securities held pursuant to the plan and the address</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Statements and Supplemental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 ended December 31, 2010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b w:val="1"/>
                <w:bCs w:val="1"/>
                <w:color w:val="auto"/>
              </w:rPr>
              <w:t>Table of Contents</w:t>
            </w:r>
          </w:p>
        </w:tc>
        <w:tc>
          <w:tcPr>
            <w:tcW w:w="3580" w:type="dxa"/>
            <w:vAlign w:val="bottom"/>
          </w:tcPr>
          <w:p>
            <w:pPr>
              <w:spacing w:after="0"/>
              <w:rPr>
                <w:sz w:val="19"/>
                <w:szCs w:val="19"/>
                <w:color w:val="auto"/>
              </w:rPr>
            </w:pPr>
          </w:p>
        </w:tc>
      </w:tr>
      <w:tr>
        <w:trPr>
          <w:trHeight w:val="184"/>
        </w:trPr>
        <w:tc>
          <w:tcPr>
            <w:tcW w:w="7740" w:type="dxa"/>
            <w:vAlign w:val="bottom"/>
            <w:gridSpan w:val="6"/>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5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2010 and 2009</w:t>
              </w:r>
            </w:hyperlink>
          </w:p>
        </w:tc>
        <w:tc>
          <w:tcPr>
            <w:tcW w:w="1880" w:type="dxa"/>
            <w:vAlign w:val="bottom"/>
            <w:gridSpan w:val="2"/>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740" w:type="dxa"/>
            <w:vAlign w:val="bottom"/>
            <w:gridSpan w:val="6"/>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Statement of Changes in Net Assets Available for Benefits For the Year Ended December 31, 2010</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9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800" w:type="dxa"/>
            <w:vAlign w:val="bottom"/>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4-15</w:t>
            </w:r>
          </w:p>
        </w:tc>
      </w:tr>
      <w:tr>
        <w:trPr>
          <w:trHeight w:val="196"/>
        </w:trPr>
        <w:tc>
          <w:tcPr>
            <w:tcW w:w="21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Supplemental Schedule</w:t>
              </w:r>
            </w:hyperlink>
          </w:p>
        </w:tc>
        <w:tc>
          <w:tcPr>
            <w:tcW w:w="5640" w:type="dxa"/>
            <w:vAlign w:val="bottom"/>
            <w:gridSpan w:val="4"/>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660" w:type="dxa"/>
            <w:vAlign w:val="bottom"/>
            <w:shd w:val="clear" w:color="auto" w:fill="0000EE"/>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77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Schedule H, Line 4i – Schedule of Assets Held For Investment Purposes At End of Year (December 31, 2010)</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Casual Male Retail Group, Inc. 401(k) Salaried Savings Plan (the “Plan”) as of December 31, 2010 and 2009, and the related statement of changes in net assets available for benefits for the year ended December 31, 2010.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2010 and 2009, and the changes in net assets available for benefits for the year ended December 31, 2010, in conformity with U.S. generally accepted accounting principles.</w:t>
      </w:r>
    </w:p>
    <w:p>
      <w:pPr>
        <w:spacing w:after="0" w:line="14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as listed in the accompanying index, is presented for the purpose of additional analysis and is not a required part of the basic financial statements, but is supplemental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December 31, 2010 and 2009</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9"/>
                <w:szCs w:val="19"/>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 (Notes 3, 4 and 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$26,598,721</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$22,884,979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Receivables: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contributions</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Employer contributions</w:t>
            </w:r>
          </w:p>
        </w:tc>
        <w:tc>
          <w:tcPr>
            <w:tcW w:w="4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423,912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1,005,165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1,005,165</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27,603,886</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24,222,383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Liability</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Excess deferred compensation contributions (Note 9)</w:t>
            </w:r>
          </w:p>
        </w:tc>
        <w:tc>
          <w:tcPr>
            <w:tcW w:w="4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color w:val="auto"/>
              </w:rPr>
              <w:t>Net assets reflecting all investments at fair value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27,603,886</w:t>
            </w: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24,221,683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 from fair value to contract value for fully benefit-responsive</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investment contracts</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(83,933)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Net assets available for benefits</w:t>
            </w: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gridSpan w:val="2"/>
            <w:vMerge w:val="continue"/>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27,519,953</w:t>
            </w: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24,228,086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80" w:right="360"/>
        <w:spacing w:after="0" w:line="310" w:lineRule="auto"/>
        <w:rPr>
          <w:sz w:val="20"/>
          <w:szCs w:val="20"/>
          <w:color w:val="auto"/>
        </w:rPr>
      </w:pPr>
      <w:r>
        <w:rPr>
          <w:rFonts w:ascii="Arial" w:cs="Arial" w:eastAsia="Arial" w:hAnsi="Arial"/>
          <w:sz w:val="16"/>
          <w:szCs w:val="16"/>
          <w:b w:val="1"/>
          <w:bCs w:val="1"/>
          <w:color w:val="auto"/>
        </w:rPr>
        <w:t>Casual Male Retail Group, Inc. 401(k) Salaried Savings Plan Statement of Changes in Net Assets Available for Benefits For the Year Ended December 31, 2010</w:t>
      </w:r>
    </w:p>
    <w:p>
      <w:pPr>
        <w:spacing w:after="0" w:line="138"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Additions to net assets attributed to:</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Employee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3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Net appreciation in fair value of investments (Note 3)</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3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Interest income on participant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Transfers into the Plan (Note 1)</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Deductions from net assets attributed to:</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Benefits paid directly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Administrative fees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Transfers out of the Plan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Total deductions</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Net assets available for benefits at beginning of year</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hanging="197"/>
        <w:spacing w:after="0"/>
        <w:tabs>
          <w:tab w:leader="none" w:pos="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2,003,892</w:t>
      </w:r>
    </w:p>
    <w:p>
      <w:pPr>
        <w:spacing w:after="0" w:line="49"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6"/>
          <w:szCs w:val="16"/>
          <w:color w:val="auto"/>
        </w:rPr>
        <w:t>232,722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21590</wp:posOffset>
            </wp:positionV>
            <wp:extent cx="565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2,236,614</w:t>
      </w:r>
    </w:p>
    <w:p>
      <w:pPr>
        <w:spacing w:after="0" w:line="33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2,764,119</w:t>
      </w:r>
    </w:p>
    <w:p>
      <w:pPr>
        <w:spacing w:after="0" w:line="1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470,700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65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3,234,819</w:t>
      </w:r>
    </w:p>
    <w:p>
      <w:pPr>
        <w:spacing w:after="0" w:line="117"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54,976</w:t>
      </w:r>
    </w:p>
    <w:p>
      <w:pPr>
        <w:spacing w:after="0" w:line="1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8,603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5,535,012</w:t>
      </w:r>
    </w:p>
    <w:p>
      <w:pPr>
        <w:spacing w:after="0" w:line="200" w:lineRule="exact"/>
        <w:rPr>
          <w:sz w:val="20"/>
          <w:szCs w:val="20"/>
          <w:color w:val="auto"/>
        </w:rPr>
      </w:pPr>
    </w:p>
    <w:p>
      <w:pPr>
        <w:spacing w:after="0" w:line="241"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1,896,180</w:t>
      </w:r>
    </w:p>
    <w:p>
      <w:pPr>
        <w:spacing w:after="0" w:line="1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32,767</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314,198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2,243,145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24"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3,291,867</w:t>
      </w:r>
    </w:p>
    <w:p>
      <w:pPr>
        <w:spacing w:after="0" w:line="15" w:lineRule="exact"/>
        <w:rPr>
          <w:sz w:val="20"/>
          <w:szCs w:val="20"/>
          <w:color w:val="auto"/>
        </w:rPr>
      </w:pPr>
    </w:p>
    <w:p>
      <w:pPr>
        <w:jc w:val="right"/>
        <w:ind w:right="259"/>
        <w:spacing w:after="0"/>
        <w:rPr>
          <w:sz w:val="20"/>
          <w:szCs w:val="20"/>
          <w:color w:val="auto"/>
        </w:rPr>
      </w:pPr>
      <w:r>
        <w:rPr>
          <w:rFonts w:ascii="Arial" w:cs="Arial" w:eastAsia="Arial" w:hAnsi="Arial"/>
          <w:sz w:val="16"/>
          <w:szCs w:val="16"/>
          <w:u w:val="single" w:color="auto"/>
          <w:color w:val="auto"/>
        </w:rPr>
        <w:t>24,228,086</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$27,519,953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42545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8340" w:space="720"/>
            <w:col w:w="115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Plan is a defined contribution plan covering certain eligible employees of Casual Male Retail Group, Inc. (the “Company”). The Plan is subject to the provisions of the Employee Retirement Income Security Act of 1974 (ERISA).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All salaried employees of the Company who have completed six months of employment and are at least 21 years of age are eligible to participate in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After completing age and service requirements, the employee can enter the Plan on the first day of any subsequent month.</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participants change positions at the Company, they may change from hourly to salary status or vice versa. Assets transferred to the Casual Male Retail Group, Inc. 401(k) Hourly Savings Plan during the year ended December 31, 2010 were $314,198. Assets transferred from the Casual Male Retail Group, Inc. 401(k) Hourly Savings Plan during the year ended December 31, 2010 were $8,603.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Effective January 1, 2008, the Plan approved and adopted the Safe Harbor Matching provisions permitted under the Pension Protection Act of 2006. Effective May 31, 2009, the Company cancelled the Safe Harbor Matching contribution.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2011 the Company reinstituted the Safe Harbor Matching provisions permitted under the Pension Protections Act of 2006 for the period January 1, through December 31, 2011, and will contribute a match of 100% of the participant’s elective deferral for the first 1% of compensation plus 50% of the participant’s elective deferral for the next 5% of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Note 1</w:t>
      </w:r>
      <w:r>
        <w:rPr>
          <w:rFonts w:ascii="Arial" w:cs="Arial" w:eastAsia="Arial" w:hAnsi="Arial"/>
          <w:sz w:val="18"/>
          <w:szCs w:val="18"/>
          <w:b w:val="1"/>
          <w:bCs w:val="1"/>
          <w:color w:val="auto"/>
        </w:rPr>
        <w:t>—</w:t>
      </w:r>
      <w:r>
        <w:rPr>
          <w:rFonts w:ascii="Arial" w:cs="Arial" w:eastAsia="Arial" w:hAnsi="Arial"/>
          <w:sz w:val="18"/>
          <w:szCs w:val="18"/>
          <w:u w:val="single" w:color="auto"/>
          <w:color w:val="auto"/>
        </w:rPr>
        <w:t>Description of the Plan (continued)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5% of their compensation automatically deferred unless the employee affirmatively elects a different elective deferral contribution percentage (including a zero percent election). Unless an eligible employee affirmatively elects not to contribute or changes their deferral rate, the pre-tax deferral will increase annually by 1% not to exceed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Each participant’s account is credited with the participant’s contributions, the Company’s matching and discretionary contribution, Plan earnings, and an allocation of Plan expenses. The benefit to which a participant is entitled is the benefit that can be provided from the participant’s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2010 and 2009, forfeited non-vested accounts totaled $16,970 and $51,472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two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Note 1</w:t>
      </w:r>
      <w:r>
        <w:rPr>
          <w:rFonts w:ascii="Arial" w:cs="Arial" w:eastAsia="Arial" w:hAnsi="Arial"/>
          <w:sz w:val="18"/>
          <w:szCs w:val="18"/>
          <w:b w:val="1"/>
          <w:bCs w:val="1"/>
          <w:color w:val="auto"/>
        </w:rPr>
        <w:t>—</w:t>
      </w:r>
      <w:r>
        <w:rPr>
          <w:rFonts w:ascii="Arial" w:cs="Arial" w:eastAsia="Arial" w:hAnsi="Arial"/>
          <w:sz w:val="18"/>
          <w:szCs w:val="18"/>
          <w:u w:val="single" w:color="auto"/>
          <w:color w:val="auto"/>
        </w:rPr>
        <w:t>Description of the Plan (continued)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 / (from) the investment fund from / (to)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4.75% to 9.25% at December 31, 2010. Principal and interest is paid ratably through payroll deductions.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2010, there were no expenses paid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 sum amount equal to the vested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Beneficiaries may request a distribution of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Casual Male Retail Group, Inc. 401(k) Salaried Savings Plan lump sum distribution without the participant’s consent. Prior to such distribution, participants still have the right to request that the amount be distributed directly to them in the form of a lump sum payment or to request that it be rolled-over to a different IRA provider or another retirement plan eligible to receive rollover contributions.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Note 1</w:t>
      </w:r>
      <w:r>
        <w:rPr>
          <w:rFonts w:ascii="Arial" w:cs="Arial" w:eastAsia="Arial" w:hAnsi="Arial"/>
          <w:sz w:val="18"/>
          <w:szCs w:val="18"/>
          <w:b w:val="1"/>
          <w:bCs w:val="1"/>
          <w:color w:val="auto"/>
        </w:rPr>
        <w:t>—</w:t>
      </w:r>
      <w:r>
        <w:rPr>
          <w:rFonts w:ascii="Arial" w:cs="Arial" w:eastAsia="Arial" w:hAnsi="Arial"/>
          <w:sz w:val="18"/>
          <w:szCs w:val="18"/>
          <w:u w:val="single" w:color="auto"/>
          <w:color w:val="auto"/>
        </w:rPr>
        <w:t>Description of the Plan (continued)</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Investments are stated at fair value. Fair value is the price that would be received to sell an asset or paid to transfer a liability in an orderly transaction between market participants at the measurement date (an exit price). See Note 5 for further discussion of fair value measurements.</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Note 2</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Summary of Significant Accounting Policies (continued)</w:t>
      </w:r>
    </w:p>
    <w:p>
      <w:pPr>
        <w:spacing w:after="0" w:line="17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Notes receivable from participants are measured at their unpaid principal balance plus accrued but unpaid interest. Delinquent participant loans are reclassified as distributions based upon the terms of the plan document.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Fair Value Disclosures—In January 2010, the Financial Accounting Standards Board (“FASB”) issued guidance which expanded the required disclosures about fair value measurements. In particular, this guidance requires (i) separate disclosure of the amounts of significant transfers in and out of Level 1 and Level 2 fair value measurements along with the reasons for such transfers, (ii) information about purchases, sales, issuances and settlements to be presented separately in the reconciliation for Level 3 fair value measurements, (iii) fair value measurement disclosures for each class of assets and liabilities and (iv) disclosures about the valuation techniques and inputs used to measure fair value for both recurring and nonrecurring fair value measurements for fair value measurements that fall in either Level 2 or Level 3. This guidance is effective for annual reporting periods beginning after December 15, 2009 except for (ii) above which is effective for fiscal years beginning after December 15, 2010. Net assets available for benefits and changes in net assets available for benefits of Plan were not affected by the adoption of the new guidance.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Notes Receivable from Participants—In September 2010, the FASB issued guidance clarifying the classification and measurement of participant loans by defined contribution pension plans. Participant loans are required to be classified as notes receivable from participants (rather than investments) and measured at their unpaid principal balance, plus any accrued but unpaid interest.</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guidance, which must be applied retrospectively, is effective for fiscal years ending after December 15, 2010 with early adoption permitted. The Plan adopted this guidance in its December 31, 2010 financial statements and has reclassified participant loans at December 31, 2009 from investments to notes receivable from participants. Net assets available for benefits of the Plan were not affected by the adoption of the new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During 2010, the Plan’s investments (including investments purchased, sold as well as held during the year) appreciated in fair value as follows:</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880" w:type="dxa"/>
            <w:vAlign w:val="bottom"/>
            <w:gridSpan w:val="4"/>
          </w:tcPr>
          <w:p>
            <w:pPr>
              <w:jc w:val="center"/>
              <w:ind w:left="2622"/>
              <w:spacing w:after="0"/>
              <w:rPr>
                <w:sz w:val="20"/>
                <w:szCs w:val="20"/>
                <w:color w:val="auto"/>
              </w:rPr>
            </w:pPr>
            <w:r>
              <w:rPr>
                <w:rFonts w:ascii="Arial" w:cs="Arial" w:eastAsia="Arial" w:hAnsi="Arial"/>
                <w:sz w:val="14"/>
                <w:szCs w:val="14"/>
                <w:b w:val="1"/>
                <w:bCs w:val="1"/>
                <w:color w:val="auto"/>
                <w:w w:val="87"/>
              </w:rPr>
              <w:t>Net Appreciation</w:t>
            </w:r>
          </w:p>
        </w:tc>
      </w:tr>
      <w:tr>
        <w:trPr>
          <w:trHeight w:val="149"/>
        </w:trPr>
        <w:tc>
          <w:tcPr>
            <w:tcW w:w="38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 Fair Value of</w:t>
            </w:r>
          </w:p>
        </w:tc>
      </w:tr>
      <w:tr>
        <w:trPr>
          <w:trHeight w:val="161"/>
        </w:trPr>
        <w:tc>
          <w:tcPr>
            <w:tcW w:w="3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Investments</w:t>
            </w: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Mutual Funds</w:t>
            </w: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Common Stock</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453,104</w:t>
            </w:r>
          </w:p>
        </w:tc>
        <w:tc>
          <w:tcPr>
            <w:tcW w:w="100" w:type="dxa"/>
            <w:vAlign w:val="bottom"/>
          </w:tcPr>
          <w:p>
            <w:pPr>
              <w:spacing w:after="0"/>
              <w:rPr>
                <w:sz w:val="19"/>
                <w:szCs w:val="19"/>
                <w:color w:val="auto"/>
              </w:rPr>
            </w:pPr>
          </w:p>
        </w:tc>
      </w:tr>
      <w:tr>
        <w:trPr>
          <w:trHeight w:val="216"/>
        </w:trPr>
        <w:tc>
          <w:tcPr>
            <w:tcW w:w="388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2,764,119</w:t>
            </w:r>
          </w:p>
        </w:tc>
        <w:tc>
          <w:tcPr>
            <w:tcW w:w="100" w:type="dxa"/>
            <w:vAlign w:val="bottom"/>
            <w:shd w:val="clear" w:color="auto" w:fill="CCEEFF"/>
          </w:tcPr>
          <w:p>
            <w:pPr>
              <w:spacing w:after="0"/>
              <w:rPr>
                <w:sz w:val="18"/>
                <w:szCs w:val="18"/>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Advisor Stable Value Fund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4,404,264</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4,900,346</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JP Morgan Equity Index</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2,412,548</w:t>
            </w:r>
          </w:p>
        </w:tc>
        <w:tc>
          <w:tcPr>
            <w:tcW w:w="3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2,249,811</w:t>
            </w:r>
          </w:p>
        </w:tc>
        <w:tc>
          <w:tcPr>
            <w:tcW w:w="3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New Insights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2,240,702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Fidelity Advisor Freedom 2005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2,018,426</w:t>
            </w:r>
          </w:p>
        </w:tc>
        <w:tc>
          <w:tcPr>
            <w:tcW w:w="3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1,956,207</w:t>
            </w:r>
          </w:p>
        </w:tc>
        <w:tc>
          <w:tcPr>
            <w:tcW w:w="3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International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1,677,908</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1,270,578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Fidelity Advisor Freedom 2020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1,633,533</w:t>
            </w:r>
          </w:p>
        </w:tc>
        <w:tc>
          <w:tcPr>
            <w:tcW w:w="3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 Rowe Price Growth Stock</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1,890,952</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Federated Bond Fund</w:t>
            </w: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1,297,977</w:t>
            </w:r>
          </w:p>
        </w:tc>
        <w:tc>
          <w:tcPr>
            <w:tcW w:w="3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7"/>
        </w:trPr>
        <w:tc>
          <w:tcPr>
            <w:tcW w:w="6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14,387,381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13,565,871</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56.0%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The amount represents contract value for this investment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Non Participant Directed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 participant directed investments is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20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4940" w:type="dxa"/>
            <w:vAlign w:val="bottom"/>
          </w:tcPr>
          <w:p>
            <w:pPr>
              <w:ind w:left="440"/>
              <w:spacing w:after="0"/>
              <w:rPr>
                <w:sz w:val="20"/>
                <w:szCs w:val="20"/>
                <w:color w:val="auto"/>
              </w:rPr>
            </w:pPr>
            <w:r>
              <w:rPr>
                <w:rFonts w:ascii="Arial" w:cs="Arial" w:eastAsia="Arial" w:hAnsi="Arial"/>
                <w:sz w:val="18"/>
                <w:szCs w:val="18"/>
                <w:color w:val="auto"/>
              </w:rPr>
              <w:t>Fidelity Advisor Stable Value Fund</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$51,472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2"/>
        </w:trPr>
        <w:tc>
          <w:tcPr>
            <w:tcW w:w="4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61"/>
        </w:trPr>
        <w:tc>
          <w:tcPr>
            <w:tcW w:w="4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7"/>
          </w:tcPr>
          <w:p>
            <w:pPr>
              <w:spacing w:after="0"/>
              <w:rPr>
                <w:sz w:val="20"/>
                <w:szCs w:val="20"/>
                <w:color w:val="auto"/>
              </w:rPr>
            </w:pPr>
            <w:r>
              <w:rPr>
                <w:rFonts w:ascii="Arial" w:cs="Arial" w:eastAsia="Arial" w:hAnsi="Arial"/>
                <w:sz w:val="14"/>
                <w:szCs w:val="14"/>
                <w:b w:val="1"/>
                <w:bCs w:val="1"/>
                <w:color w:val="auto"/>
                <w:w w:val="95"/>
              </w:rPr>
              <w:t>December 31, 2010</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Changes in Net Assets:</w:t>
            </w:r>
          </w:p>
        </w:tc>
        <w:tc>
          <w:tcPr>
            <w:tcW w:w="20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Interest and dividend income</w:t>
            </w:r>
          </w:p>
        </w:tc>
        <w:tc>
          <w:tcPr>
            <w:tcW w:w="2680" w:type="dxa"/>
            <w:vAlign w:val="bottom"/>
            <w:gridSpan w:val="5"/>
          </w:tcPr>
          <w:p>
            <w:pPr>
              <w:ind w:left="2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2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Forfeiture used for employer match</w:t>
            </w: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(55,683)</w:t>
            </w: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fees</w:t>
            </w:r>
          </w:p>
        </w:tc>
        <w:tc>
          <w:tcPr>
            <w:tcW w:w="2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0"/>
        </w:trPr>
        <w:tc>
          <w:tcPr>
            <w:tcW w:w="49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3"/>
        </w:trPr>
        <w:tc>
          <w:tcPr>
            <w:tcW w:w="4940" w:type="dxa"/>
            <w:vAlign w:val="bottom"/>
          </w:tcPr>
          <w:p>
            <w:pPr>
              <w:spacing w:after="0"/>
              <w:rPr>
                <w:sz w:val="19"/>
                <w:szCs w:val="19"/>
                <w:color w:val="auto"/>
              </w:rPr>
            </w:pPr>
          </w:p>
        </w:tc>
        <w:tc>
          <w:tcPr>
            <w:tcW w:w="2680" w:type="dxa"/>
            <w:vAlign w:val="bottom"/>
            <w:gridSpan w:val="5"/>
          </w:tcPr>
          <w:p>
            <w:pPr>
              <w:ind w:left="252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(34,502)</w:t>
            </w:r>
          </w:p>
        </w:tc>
      </w:tr>
      <w:tr>
        <w:trPr>
          <w:trHeight w:val="20"/>
        </w:trPr>
        <w:tc>
          <w:tcPr>
            <w:tcW w:w="4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Plan measures fair value in accordance with the FASB’s Accounting Standards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32" w:lineRule="exact"/>
        <w:rPr>
          <w:sz w:val="20"/>
          <w:szCs w:val="20"/>
          <w:color w:val="auto"/>
        </w:rPr>
      </w:pPr>
    </w:p>
    <w:p>
      <w:pPr>
        <w:ind w:left="1040" w:right="120" w:hanging="1025"/>
        <w:spacing w:after="0" w:line="268" w:lineRule="auto"/>
        <w:tabs>
          <w:tab w:leader="none" w:pos="10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5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90" w:lineRule="exact"/>
        <w:rPr>
          <w:sz w:val="20"/>
          <w:szCs w:val="20"/>
          <w:color w:val="auto"/>
        </w:rPr>
      </w:pPr>
    </w:p>
    <w:p>
      <w:pPr>
        <w:ind w:left="1460" w:hanging="426"/>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0" w:lineRule="exact"/>
        <w:rPr>
          <w:rFonts w:ascii="Arial" w:cs="Arial" w:eastAsia="Arial" w:hAnsi="Arial"/>
          <w:sz w:val="18"/>
          <w:szCs w:val="18"/>
          <w:color w:val="auto"/>
        </w:rPr>
      </w:pPr>
    </w:p>
    <w:p>
      <w:pPr>
        <w:ind w:left="1460" w:hanging="426"/>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0" w:lineRule="exact"/>
        <w:rPr>
          <w:rFonts w:ascii="Arial" w:cs="Arial" w:eastAsia="Arial" w:hAnsi="Arial"/>
          <w:sz w:val="18"/>
          <w:szCs w:val="18"/>
          <w:color w:val="auto"/>
        </w:rPr>
      </w:pPr>
    </w:p>
    <w:p>
      <w:pPr>
        <w:ind w:left="1460" w:hanging="426"/>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0" w:lineRule="exact"/>
        <w:rPr>
          <w:rFonts w:ascii="Arial" w:cs="Arial" w:eastAsia="Arial" w:hAnsi="Arial"/>
          <w:sz w:val="18"/>
          <w:szCs w:val="18"/>
          <w:color w:val="auto"/>
        </w:rPr>
      </w:pPr>
    </w:p>
    <w:p>
      <w:pPr>
        <w:ind w:left="1460" w:hanging="426"/>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5-</w:t>
      </w:r>
      <w:r>
        <w:rPr>
          <w:rFonts w:ascii="Arial" w:cs="Arial" w:eastAsia="Arial" w:hAnsi="Arial"/>
          <w:sz w:val="18"/>
          <w:szCs w:val="18"/>
          <w:u w:val="single" w:color="auto"/>
          <w:color w:val="auto"/>
        </w:rPr>
        <w:t>Fair Value Measurements (continued)</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of the asset or liability.</w:t>
      </w:r>
    </w:p>
    <w:p>
      <w:pPr>
        <w:spacing w:after="0" w:line="11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2010 and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and Mutual funds: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Common/collective trust fund: </w:t>
      </w:r>
      <w:r>
        <w:rPr>
          <w:rFonts w:ascii="Arial" w:cs="Arial" w:eastAsia="Arial" w:hAnsi="Arial"/>
          <w:sz w:val="18"/>
          <w:szCs w:val="18"/>
          <w:color w:val="auto"/>
        </w:rPr>
        <w:t>Valued at fair value by discounting the related cash flows based on current yields of similar instruments with comparable durations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the credit-worthiness of the issuer of the specific instruments of the fund at year-end.</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5-</w:t>
      </w:r>
      <w:r>
        <w:rPr>
          <w:rFonts w:ascii="Arial" w:cs="Arial" w:eastAsia="Arial" w:hAnsi="Arial"/>
          <w:sz w:val="18"/>
          <w:szCs w:val="18"/>
          <w:u w:val="single" w:color="auto"/>
          <w:color w:val="auto"/>
        </w:rPr>
        <w:t>Fair Value Measurements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investments at fair value as of December 31, 2010 and 2009: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at Fair Value as of December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3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5,326,127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5,326,127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2,258,866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2,258,866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868,834</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868,834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2,274,351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2,274,351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8,383,499</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8,383,499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2,072,510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2,072,510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tcPr>
          <w:p>
            <w:pPr>
              <w:ind w:left="860"/>
              <w:spacing w:after="0"/>
              <w:rPr>
                <w:sz w:val="20"/>
                <w:szCs w:val="20"/>
                <w:color w:val="auto"/>
              </w:rPr>
            </w:pPr>
            <w:r>
              <w:rPr>
                <w:rFonts w:ascii="Arial" w:cs="Arial" w:eastAsia="Arial" w:hAnsi="Arial"/>
                <w:sz w:val="18"/>
                <w:szCs w:val="18"/>
                <w:color w:val="auto"/>
              </w:rPr>
              <w:t>Total mutual funds</w:t>
            </w:r>
          </w:p>
        </w:tc>
        <w:tc>
          <w:tcPr>
            <w:tcW w:w="3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vMerge w:val="continue"/>
          </w:tcPr>
          <w:p>
            <w:pPr>
              <w:spacing w:after="0"/>
              <w:rPr>
                <w:sz w:val="19"/>
                <w:szCs w:val="19"/>
                <w:color w:val="auto"/>
              </w:rPr>
            </w:pPr>
          </w:p>
        </w:tc>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21,184,187</w:t>
            </w:r>
          </w:p>
        </w:tc>
        <w:tc>
          <w:tcPr>
            <w:tcW w:w="8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21,184,187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Common stocks: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Retail</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926,337</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3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4,488,197</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4,488,197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22,110,524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4,488,197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26,598,721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151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5-</w:t>
      </w:r>
      <w:r>
        <w:rPr>
          <w:rFonts w:ascii="Arial" w:cs="Arial" w:eastAsia="Arial" w:hAnsi="Arial"/>
          <w:sz w:val="18"/>
          <w:szCs w:val="18"/>
          <w:u w:val="single" w:color="auto"/>
          <w:color w:val="auto"/>
        </w:rPr>
        <w:t>Fair Value Measurements (continued)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Investments at Fair Value as of December 31, 2009</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4,779,064</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4,779,064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1,704,815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1,704,815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767,295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1,890,683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1,890,683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6,519,337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6,519,337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1,909,326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2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17,570,520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17,570,520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Common stocks: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420,516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4,893,943</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4,893,943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17,991,036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4,893,943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22,884,979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6-</w:t>
      </w:r>
      <w:r>
        <w:rPr>
          <w:rFonts w:ascii="Arial" w:cs="Arial" w:eastAsia="Arial" w:hAnsi="Arial"/>
          <w:sz w:val="18"/>
          <w:szCs w:val="18"/>
          <w:u w:val="single" w:color="auto"/>
          <w:color w:val="auto"/>
        </w:rPr>
        <w:t>Related Party Transactions</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Plan owned 195,430 and 180,479 shares of Casual Male Retail Group, Inc. valued at $926,337 and $420,516 at December 31, 2010 and 2009, respectively. Additionally, certain plan investments are shares of mutual funds and units in the Fidelity Advisor Stable Fund managed by Fidelity Management Trust Company who is the Trustee as defined by the Plan, and therefore, these transactions qualify as party-in-interest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7-</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Note 8</w:t>
      </w:r>
      <w:r>
        <w:rPr>
          <w:rFonts w:ascii="Arial" w:cs="Arial" w:eastAsia="Arial" w:hAnsi="Arial"/>
          <w:sz w:val="18"/>
          <w:szCs w:val="18"/>
          <w:b w:val="1"/>
          <w:bCs w:val="1"/>
          <w:color w:val="auto"/>
        </w:rPr>
        <w:t>-</w:t>
      </w:r>
      <w:r>
        <w:rPr>
          <w:rFonts w:ascii="Arial" w:cs="Arial" w:eastAsia="Arial" w:hAnsi="Arial"/>
          <w:sz w:val="18"/>
          <w:szCs w:val="18"/>
          <w:u w:val="single" w:color="auto"/>
          <w:color w:val="auto"/>
        </w:rPr>
        <w:t>Income Tax Status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Internal Revenue Code (the “Code”) and, therefore, the related trust is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2010, there are no uncertain positions taken or expected to be taken that would require recognition of a liability (or asset) or disclosure in the financial statements. The Plan is subject to routine audits by taxing jurisdictions. The Plan was examined by the IRS for the year ended December 31, 2008 and in March 2011, the IRS concluded that there were no changes necessary to the filed return. There are currently no other audits for any tax periods in progress. The plan administrator believes it is no longer subject to income tax examinations for 2008 and prior.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Note 9-</w:t>
      </w:r>
      <w:r>
        <w:rPr>
          <w:rFonts w:ascii="Arial" w:cs="Arial" w:eastAsia="Arial" w:hAnsi="Arial"/>
          <w:sz w:val="18"/>
          <w:szCs w:val="18"/>
          <w:u w:val="single" w:color="auto"/>
          <w:color w:val="auto"/>
        </w:rPr>
        <w:t>Excess Deferred Compensation Contributions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Excess contributions to the Plan for the year ended December 31, 2009 were $700, which were returned to the participants prior to March 15, 2010. There were no excess contributions to the Plan for the year ended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10-</w:t>
      </w:r>
      <w:r>
        <w:rPr>
          <w:rFonts w:ascii="Arial" w:cs="Arial" w:eastAsia="Arial" w:hAnsi="Arial"/>
          <w:sz w:val="18"/>
          <w:szCs w:val="18"/>
          <w:u w:val="single" w:color="auto"/>
          <w:color w:val="auto"/>
        </w:rPr>
        <w:t>Reconciliation of Financial Statement to Form 5500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at December 31, 2010 and 2009:</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3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$27,519,953</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$24,228,086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3"/>
              </w:rPr>
              <w:t>Adjustment from fair value to contract value for fully benefit-responsive investment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jc w:val="right"/>
              <w:ind w:right="5192"/>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83,933</w:t>
            </w:r>
          </w:p>
        </w:tc>
        <w:tc>
          <w:tcPr>
            <w:tcW w:w="4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27,603,886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24,221,683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1612"/>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vMerge w:val="continue"/>
          </w:tcPr>
          <w:p>
            <w:pPr>
              <w:spacing w:after="0"/>
              <w:rPr>
                <w:sz w:val="24"/>
                <w:szCs w:val="24"/>
                <w:color w:val="auto"/>
              </w:rPr>
            </w:pPr>
          </w:p>
        </w:tc>
        <w:tc>
          <w:tcPr>
            <w:tcW w:w="6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10-</w:t>
      </w:r>
      <w:r>
        <w:rPr>
          <w:rFonts w:ascii="Arial" w:cs="Arial" w:eastAsia="Arial" w:hAnsi="Arial"/>
          <w:sz w:val="18"/>
          <w:szCs w:val="18"/>
          <w:u w:val="single" w:color="auto"/>
          <w:color w:val="auto"/>
        </w:rPr>
        <w:t>Reconciliation of Financial Statement to Form 5500 (continued)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net appreciation in fair value of investments, interest and dividend income, and interest income from participant loans for the year ended December 31, 2010 per the financial statements to Form 5500:</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08"/>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appreciation in fair value of investments, interest and dividend income, and interest income from</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loans per the financial statements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$3,289,795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60" w:type="dxa"/>
            <w:vAlign w:val="bottom"/>
          </w:tcPr>
          <w:p>
            <w:pPr>
              <w:spacing w:after="0"/>
              <w:rPr>
                <w:sz w:val="20"/>
                <w:szCs w:val="20"/>
                <w:color w:val="auto"/>
              </w:rPr>
            </w:pPr>
            <w:r>
              <w:rPr>
                <w:rFonts w:ascii="Arial" w:cs="Arial" w:eastAsia="Arial" w:hAnsi="Arial"/>
                <w:sz w:val="18"/>
                <w:szCs w:val="18"/>
                <w:color w:val="auto"/>
                <w:w w:val="93"/>
              </w:rPr>
              <w:t>Add: Adjustment from fair value to contract value for fully benefit-responsive investment contracts in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tcPr>
          <w:p>
            <w:pPr>
              <w:ind w:left="220"/>
              <w:spacing w:after="0"/>
              <w:rPr>
                <w:sz w:val="20"/>
                <w:szCs w:val="20"/>
                <w:color w:val="auto"/>
              </w:rPr>
            </w:pPr>
            <w:r>
              <w:rPr>
                <w:rFonts w:ascii="Arial" w:cs="Arial" w:eastAsia="Arial" w:hAnsi="Arial"/>
                <w:sz w:val="18"/>
                <w:szCs w:val="18"/>
                <w:color w:val="auto"/>
              </w:rPr>
              <w:t>2010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w w:val="93"/>
              </w:rPr>
              <w:t>Add: Adjustment from fair value to contract value for fully benefit-responsive investment contracts in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8"/>
                <w:szCs w:val="18"/>
                <w:color w:val="auto"/>
                <w:w w:val="93"/>
              </w:rPr>
              <w:t>Net appreciation in fair value of investments, interest and dividend income, and interest income from</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3,380,131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60" w:type="dxa"/>
            <w:vAlign w:val="bottom"/>
          </w:tcPr>
          <w:p>
            <w:pPr>
              <w:ind w:left="220"/>
              <w:spacing w:after="0"/>
              <w:rPr>
                <w:sz w:val="20"/>
                <w:szCs w:val="20"/>
                <w:color w:val="auto"/>
              </w:rPr>
            </w:pPr>
            <w:r>
              <w:rPr>
                <w:rFonts w:ascii="Arial" w:cs="Arial" w:eastAsia="Arial" w:hAnsi="Arial"/>
                <w:sz w:val="18"/>
                <w:szCs w:val="18"/>
                <w:color w:val="auto"/>
              </w:rPr>
              <w:t>participant loans per Form 5500</w:t>
            </w: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424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220"/>
        <w:spacing w:after="0"/>
        <w:rPr>
          <w:sz w:val="20"/>
          <w:szCs w:val="20"/>
          <w:color w:val="auto"/>
        </w:rPr>
      </w:pPr>
      <w:r>
        <w:rPr>
          <w:rFonts w:ascii="Arial" w:cs="Arial" w:eastAsia="Arial" w:hAnsi="Arial"/>
          <w:sz w:val="28"/>
          <w:szCs w:val="28"/>
          <w:b w:val="1"/>
          <w:bCs w:val="1"/>
          <w:color w:val="auto"/>
        </w:rPr>
        <w:t>Supplemental Schedule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EIN: 04-2623104/Plan Number: 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H, Line 4i – Schedule of Assets Held For Investment Purposes at End of Year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2010)</w:t>
      </w:r>
    </w:p>
    <w:p>
      <w:pPr>
        <w:sectPr>
          <w:pgSz w:w="11900" w:h="16838" w:orient="portrait"/>
          <w:cols w:equalWidth="0" w:num="1">
            <w:col w:w="11420"/>
          </w:cols>
          <w:pgMar w:left="240" w:top="459" w:right="239" w:bottom="1440" w:gutter="0" w:footer="0" w:header="0"/>
        </w:sect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Identity of Issue,</w:t>
      </w:r>
    </w:p>
    <w:p>
      <w:pPr>
        <w:ind w:left="460"/>
        <w:spacing w:after="0" w:line="223" w:lineRule="auto"/>
        <w:rPr>
          <w:sz w:val="20"/>
          <w:szCs w:val="20"/>
          <w:color w:val="auto"/>
        </w:rPr>
      </w:pPr>
      <w:r>
        <w:rPr>
          <w:rFonts w:ascii="Arial" w:cs="Arial" w:eastAsia="Arial" w:hAnsi="Arial"/>
          <w:sz w:val="14"/>
          <w:szCs w:val="14"/>
          <w:b w:val="1"/>
          <w:bCs w:val="1"/>
          <w:color w:val="auto"/>
        </w:rPr>
        <w:t>Borrower, Lessor,</w:t>
      </w:r>
    </w:p>
    <w:p>
      <w:pPr>
        <w:ind w:left="500"/>
        <w:spacing w:after="0"/>
        <w:rPr>
          <w:sz w:val="20"/>
          <w:szCs w:val="20"/>
          <w:color w:val="auto"/>
        </w:rPr>
      </w:pPr>
      <w:r>
        <w:rPr>
          <w:rFonts w:ascii="Arial" w:cs="Arial" w:eastAsia="Arial" w:hAnsi="Arial"/>
          <w:sz w:val="14"/>
          <w:szCs w:val="14"/>
          <w:b w:val="1"/>
          <w:bCs w:val="1"/>
          <w:color w:val="auto"/>
        </w:rPr>
        <w:t>or Similar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wp:posOffset>
            </wp:positionV>
            <wp:extent cx="711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Commingled funds held</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through Fidelity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jc w:val="center"/>
              <w:ind w:right="1092"/>
              <w:spacing w:after="0"/>
              <w:rPr>
                <w:sz w:val="20"/>
                <w:szCs w:val="20"/>
                <w:color w:val="auto"/>
              </w:rPr>
            </w:pPr>
            <w:r>
              <w:rPr>
                <w:rFonts w:ascii="Arial" w:cs="Arial" w:eastAsia="Arial" w:hAnsi="Arial"/>
                <w:sz w:val="14"/>
                <w:szCs w:val="14"/>
                <w:b w:val="1"/>
                <w:bCs w:val="1"/>
                <w:color w:val="auto"/>
                <w:w w:val="86"/>
              </w:rPr>
              <w:t>Description of investment including</w:t>
            </w:r>
          </w:p>
        </w:tc>
        <w:tc>
          <w:tcPr>
            <w:tcW w:w="2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3220" w:type="dxa"/>
            <w:vAlign w:val="bottom"/>
          </w:tcPr>
          <w:p>
            <w:pPr>
              <w:jc w:val="center"/>
              <w:ind w:right="1092"/>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2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8"/>
        </w:trPr>
        <w:tc>
          <w:tcPr>
            <w:tcW w:w="3220" w:type="dxa"/>
            <w:vAlign w:val="bottom"/>
          </w:tcPr>
          <w:p>
            <w:pPr>
              <w:jc w:val="center"/>
              <w:ind w:right="1092"/>
              <w:spacing w:after="0"/>
              <w:rPr>
                <w:sz w:val="20"/>
                <w:szCs w:val="20"/>
                <w:color w:val="auto"/>
              </w:rPr>
            </w:pPr>
            <w:r>
              <w:rPr>
                <w:rFonts w:ascii="Arial" w:cs="Arial" w:eastAsia="Arial" w:hAnsi="Arial"/>
                <w:sz w:val="14"/>
                <w:szCs w:val="14"/>
                <w:b w:val="1"/>
                <w:bCs w:val="1"/>
                <w:color w:val="auto"/>
                <w:w w:val="87"/>
              </w:rPr>
              <w:t>collateral, par, or maturity value</w:t>
            </w:r>
          </w:p>
        </w:tc>
        <w:tc>
          <w:tcPr>
            <w:tcW w:w="2420" w:type="dxa"/>
            <w:vAlign w:val="bottom"/>
          </w:tcPr>
          <w:p>
            <w:pPr>
              <w:ind w:left="1180"/>
              <w:spacing w:after="0"/>
              <w:rPr>
                <w:sz w:val="20"/>
                <w:szCs w:val="20"/>
                <w:color w:val="auto"/>
              </w:rPr>
            </w:pPr>
            <w:r>
              <w:rPr>
                <w:rFonts w:ascii="Arial" w:cs="Arial" w:eastAsia="Arial" w:hAnsi="Arial"/>
                <w:sz w:val="14"/>
                <w:szCs w:val="14"/>
                <w:b w:val="1"/>
                <w:bCs w:val="1"/>
                <w:color w:val="auto"/>
              </w:rPr>
              <w:t>Shares/Unit</w:t>
            </w:r>
          </w:p>
        </w:tc>
        <w:tc>
          <w:tcPr>
            <w:tcW w:w="1380" w:type="dxa"/>
            <w:vAlign w:val="bottom"/>
          </w:tcPr>
          <w:p>
            <w:pPr>
              <w:ind w:left="560"/>
              <w:spacing w:after="0"/>
              <w:rPr>
                <w:sz w:val="20"/>
                <w:szCs w:val="20"/>
                <w:color w:val="auto"/>
              </w:rPr>
            </w:pPr>
            <w:r>
              <w:rPr>
                <w:rFonts w:ascii="Arial" w:cs="Arial" w:eastAsia="Arial" w:hAnsi="Arial"/>
                <w:sz w:val="14"/>
                <w:szCs w:val="14"/>
                <w:b w:val="1"/>
                <w:bCs w:val="1"/>
                <w:color w:val="auto"/>
                <w:w w:val="87"/>
              </w:rPr>
              <w:t>Current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-7620</wp:posOffset>
            </wp:positionV>
            <wp:extent cx="72466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3100" w:space="720"/>
            <w:col w:w="7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Fidelity Advisor Stable Value Fund (1)</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4,404,264</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4,488,197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Mutual funds held through</w:t>
            </w:r>
          </w:p>
        </w:tc>
        <w:tc>
          <w:tcPr>
            <w:tcW w:w="5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Fidelity Investments:</w:t>
            </w:r>
          </w:p>
        </w:tc>
        <w:tc>
          <w:tcPr>
            <w:tcW w:w="57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Cash – interest bearing</w:t>
            </w: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*Fidelity Advisor Leveraged Company</w:t>
            </w:r>
          </w:p>
        </w:tc>
        <w:tc>
          <w:tcPr>
            <w:tcW w:w="1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Stock</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27,855</w:t>
            </w:r>
          </w:p>
        </w:tc>
        <w:tc>
          <w:tcPr>
            <w:tcW w:w="4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958,481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High Income Adv</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23,889</w:t>
            </w: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Fidelity Advisor Freedom 2010</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25,884</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298,704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2020</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136,128</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Fidelity Advisor Freedom 2030</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63,971</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779,802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2040</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46,036</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Fidelity Advisor Freedom Income</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2,798</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Fidelity Advisor New Insights</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112,260</w:t>
            </w:r>
          </w:p>
        </w:tc>
        <w:tc>
          <w:tcPr>
            <w:tcW w:w="4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2,240,702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2005</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181,187</w:t>
            </w: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Fidelity Advisor Freedom 2015</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56,673</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651,167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2025</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80,339</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931,929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Fidelity Advisor Freedom 2035</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80,745</w:t>
            </w:r>
          </w:p>
        </w:tc>
        <w:tc>
          <w:tcPr>
            <w:tcW w:w="4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934,223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2045</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40,133</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385,678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2050</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15,981</w:t>
            </w:r>
          </w:p>
        </w:tc>
        <w:tc>
          <w:tcPr>
            <w:tcW w:w="4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151,180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Federated Bond Fund</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149,886</w:t>
            </w:r>
          </w:p>
        </w:tc>
        <w:tc>
          <w:tcPr>
            <w:tcW w:w="4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1,369,955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USA</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15,810</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Columbia Acorn International</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41,055</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1,677,908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Allianz NFJ International Value</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28,786</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596,443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American Century Investment Mid Cap Value</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47,035</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591,701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JP Morgan Equity Index</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84,562</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2,412,548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Columbia Acorn</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24,237</w:t>
            </w:r>
          </w:p>
        </w:tc>
        <w:tc>
          <w:tcPr>
            <w:tcW w:w="4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708,684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Large Cap Value</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57,072</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672,877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Perkins Small Cap Value</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18,120</w:t>
            </w:r>
          </w:p>
        </w:tc>
        <w:tc>
          <w:tcPr>
            <w:tcW w:w="4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433,428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Franklin Strategic Income</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42,318</w:t>
            </w: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440,953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Black Rock Inflation Protected Bond Fund</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2,144</w:t>
            </w:r>
          </w:p>
        </w:tc>
        <w:tc>
          <w:tcPr>
            <w:tcW w:w="4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held</w:t>
            </w:r>
          </w:p>
        </w:tc>
        <w:tc>
          <w:tcPr>
            <w:tcW w:w="57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through Fidelity</w:t>
            </w:r>
          </w:p>
        </w:tc>
        <w:tc>
          <w:tcPr>
            <w:tcW w:w="5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*Casual Male Retail Group, Inc.</w:t>
            </w:r>
          </w:p>
        </w:tc>
        <w:tc>
          <w:tcPr>
            <w:tcW w:w="1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195,430</w:t>
            </w: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926,337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26,598,721</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572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 Participant loans</w:t>
            </w:r>
          </w:p>
        </w:tc>
        <w:tc>
          <w:tcPr>
            <w:tcW w:w="5720" w:type="dxa"/>
            <w:vAlign w:val="bottom"/>
          </w:tcPr>
          <w:p>
            <w:pPr>
              <w:spacing w:after="0"/>
              <w:rPr>
                <w:sz w:val="20"/>
                <w:szCs w:val="20"/>
                <w:color w:val="auto"/>
              </w:rPr>
            </w:pPr>
            <w:r>
              <w:rPr>
                <w:rFonts w:ascii="Arial" w:cs="Arial" w:eastAsia="Arial" w:hAnsi="Arial"/>
                <w:sz w:val="18"/>
                <w:szCs w:val="18"/>
                <w:color w:val="auto"/>
              </w:rPr>
              <w:t>4.75% - 9.25%</w:t>
            </w: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1,005,165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27,603,886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600" w:hanging="5612"/>
        <w:spacing w:after="0" w:line="517" w:lineRule="auto"/>
        <w:tabs>
          <w:tab w:leader="none" w:pos="21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$16,970 of non participant- directed, unallocated forfeitures for which historical cost approximates current value. 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8980" w:type="dxa"/>
            <w:vAlign w:val="bottom"/>
          </w:tcPr>
          <w:p>
            <w:pPr>
              <w:jc w:val="center"/>
              <w:ind w:left="892"/>
              <w:spacing w:after="0"/>
              <w:rPr>
                <w:sz w:val="20"/>
                <w:szCs w:val="20"/>
                <w:color w:val="auto"/>
              </w:rPr>
            </w:pPr>
            <w:r>
              <w:rPr>
                <w:rFonts w:ascii="Arial" w:cs="Arial" w:eastAsia="Arial" w:hAnsi="Arial"/>
                <w:sz w:val="18"/>
                <w:szCs w:val="18"/>
                <w:b w:val="1"/>
                <w:bCs w:val="1"/>
                <w:color w:val="auto"/>
                <w:w w:val="88"/>
              </w:rPr>
              <w:t>Index to Exhibits</w:t>
            </w:r>
          </w:p>
        </w:tc>
      </w:tr>
      <w:tr>
        <w:trPr>
          <w:trHeight w:val="527"/>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23.1</w:t>
            </w:r>
          </w:p>
        </w:tc>
        <w:tc>
          <w:tcPr>
            <w:tcW w:w="898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32.1</w:t>
            </w:r>
          </w:p>
        </w:tc>
        <w:tc>
          <w:tcPr>
            <w:tcW w:w="8980" w:type="dxa"/>
            <w:vAlign w:val="bottom"/>
          </w:tcPr>
          <w:p>
            <w:pPr>
              <w:ind w:left="420"/>
              <w:spacing w:after="0"/>
              <w:rPr>
                <w:sz w:val="20"/>
                <w:szCs w:val="20"/>
                <w:color w:val="auto"/>
              </w:rPr>
            </w:pPr>
            <w:r>
              <w:rPr>
                <w:rFonts w:ascii="Arial" w:cs="Arial" w:eastAsia="Arial" w:hAnsi="Arial"/>
                <w:sz w:val="18"/>
                <w:szCs w:val="18"/>
                <w:color w:val="auto"/>
                <w:w w:val="87"/>
              </w:rPr>
              <w:t>Certification pursuant to 18 U.S.C. Section 1350, as adopted pursuant to Section 906 of the Sarbanes – Oxley Act of 2002</w:t>
            </w:r>
          </w:p>
        </w:tc>
      </w:tr>
      <w:tr>
        <w:trPr>
          <w:trHeight w:val="365"/>
        </w:trPr>
        <w:tc>
          <w:tcPr>
            <w:tcW w:w="740" w:type="dxa"/>
            <w:vAlign w:val="bottom"/>
          </w:tcPr>
          <w:p>
            <w:pPr>
              <w:spacing w:after="0"/>
              <w:rPr>
                <w:sz w:val="24"/>
                <w:szCs w:val="24"/>
                <w:color w:val="auto"/>
              </w:rPr>
            </w:pPr>
          </w:p>
        </w:tc>
        <w:tc>
          <w:tcPr>
            <w:tcW w:w="8980" w:type="dxa"/>
            <w:vAlign w:val="bottom"/>
          </w:tcPr>
          <w:p>
            <w:pPr>
              <w:jc w:val="right"/>
              <w:ind w:right="3832"/>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Salary Savings plan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-13970</wp:posOffset>
            </wp:positionV>
            <wp:extent cx="1080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Dennis R. Hernreich, 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Chief Operating Officer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 the Plan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29, 2011</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40" w:top="459" w:right="5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(No. 333-112218) on Form S-8 of Casual Male Retail Group, Inc. of our report dated June 29, 2011, relating to the financial statements and supplemental schedule of the Casual Male Retail Group, Inc. 401(k) Salaried Savings Plan included in the December 31, 2010 Annual Report on Form 11-K for the Casual Male Retail Group, Inc. 401(k) Salaried Savings Plan.</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Mayer Hoffman McCann CPAs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2011</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Salaried Savings Plan (the “Plan”) for the period ending December 31, 2010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148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15(d) of the Securities Exchange Act of 1934, as amended (the “Exchange Act”); and</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29,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2019-12-10T08:33:19Z</dcterms:created>
  <dcterms:modified xsi:type="dcterms:W3CDTF">2019-12-10T08:33:19Z</dcterms:modified>
</cp:coreProperties>
</file>