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137160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10" w:lineRule="exact"/>
        <w:rPr>
          <w:sz w:val="24"/>
          <w:szCs w:val="24"/>
          <w:color w:val="auto"/>
        </w:rPr>
      </w:pPr>
    </w:p>
    <w:p>
      <w:pPr>
        <w:jc w:val="center"/>
        <w:ind w:left="1860" w:right="660"/>
        <w:spacing w:after="0" w:line="256" w:lineRule="auto"/>
        <w:rPr>
          <w:sz w:val="20"/>
          <w:szCs w:val="20"/>
          <w:color w:val="auto"/>
        </w:rPr>
      </w:pPr>
      <w:r>
        <w:rPr>
          <w:rFonts w:ascii="Times New Roman" w:cs="Times New Roman" w:eastAsia="Times New Roman" w:hAnsi="Times New Roman"/>
          <w:sz w:val="20"/>
          <w:szCs w:val="20"/>
          <w:b w:val="1"/>
          <w:bCs w:val="1"/>
          <w:color w:val="auto"/>
        </w:rPr>
        <w:t>SOLICITATION/RECOMMENDATION STATEMENT UNDER SECTION 14(d)(4) OF THE SECURITIES EXCHANGE ACT OF 1934 (Amendment No. 2)</w:t>
      </w:r>
    </w:p>
    <w:p>
      <w:pPr>
        <w:spacing w:after="0" w:line="36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141605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COMMON STOCK, PAR VALUE $0.01 PER SHARE</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9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25065K104</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19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Robert S. Molloy</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General Counsel and Secretary</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555 Turnpike Street</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Canton, Massachusetts 02021</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(781) 828-9300</w:t>
      </w:r>
    </w:p>
    <w:p>
      <w:pPr>
        <w:spacing w:after="0" w:line="19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on behalf of the persons filing statement)</w:t>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i w:val="1"/>
          <w:iCs w:val="1"/>
          <w:color w:val="auto"/>
        </w:rPr>
        <w:t>With copies to:</w:t>
      </w:r>
    </w:p>
    <w:p>
      <w:pPr>
        <w:spacing w:after="0" w:line="22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Brian H. Blaney</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Katherine A. Beck</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Greenberg Traurig, LLP</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2375 E. Camelback Rd., Suite 800</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Phoenix, AZ 85016</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(602) 445-8322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325755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800" w:hanging="432"/>
        <w:spacing w:after="0"/>
        <w:tabs>
          <w:tab w:leader="none" w:pos="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8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3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This Amendment No. 2 to Schedule 14D-9 (this “Amendment”) amends and supplements the Solicitation/Recommendation Statement on Schedule 14D-9 (as amended and supplemented from time to time, the “Statement”) originally filed by Destination XL Group, Inc., a Delaware corporation (“Company”), with the Securities and Exchange Commission on May 26, 2026. The Statement relates to the unsolicited tender offer by Zodiac Partners II, LLC, a Delaware limited liability company (“Offeror”), and an acquisition entity of Camac Fund, LP, a Delaware limited partnership (“Camac Fund”), to purchase all of the issued and outstanding shares of the Company’s common stock, par value $0.01 per share (the “Common Stock”), at a price of $0.82 per share in cash, without interest and less any required withholding taxes (the “Offer Price”), upon the terms and subject to the conditions set forth in the Offer to Purchase, dated May 12, 2026 (as amended or supplemented from time to time, the “Offer to Purchase”), and in the related Letter of Transmittal that accompanies the Offer to Purchase (which, together with any amendments or supplements thereto, collectively constitute the “Offer”). Thereafter, on June 23, 2026, the Offeror and Camac Fund revised the unsolicited tender offer and updated the Offer Price to $0.84 per share in cash, without interest and less any required withholding taxes. Except as otherwise set forth in this Amendment, the information set forth in the Statement remains unchanged.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 of the Statement is hereby amended and supplemented by adding the following exhibit: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(a)(5)(C)</w:t>
            </w:r>
          </w:p>
        </w:tc>
        <w:tc>
          <w:tcPr>
            <w:tcW w:w="1460" w:type="dxa"/>
            <w:vAlign w:val="bottom"/>
          </w:tcPr>
          <w:p>
            <w:pPr>
              <w:spacing w:after="0"/>
              <w:rPr>
                <w:sz w:val="18"/>
                <w:szCs w:val="18"/>
                <w:color w:val="auto"/>
              </w:rPr>
            </w:pPr>
          </w:p>
        </w:tc>
        <w:tc>
          <w:tcPr>
            <w:tcW w:w="8840" w:type="dxa"/>
            <w:vAlign w:val="bottom"/>
            <w:tcBorders>
              <w:bottom w:val="single" w:sz="8" w:color="0000FF"/>
            </w:tcBorders>
            <w:gridSpan w:val="3"/>
          </w:tcPr>
          <w:p>
            <w:pPr>
              <w:spacing w:after="0" w:line="209" w:lineRule="exact"/>
              <w:rPr>
                <w:rFonts w:ascii="Times New Roman" w:cs="Times New Roman" w:eastAsia="Times New Roman" w:hAnsi="Times New Roman"/>
                <w:sz w:val="20"/>
                <w:szCs w:val="20"/>
                <w:color w:val="0000FF"/>
              </w:rPr>
            </w:pPr>
            <w:hyperlink r:id="rId13">
              <w:r>
                <w:rPr>
                  <w:rFonts w:ascii="Times New Roman" w:cs="Times New Roman" w:eastAsia="Times New Roman" w:hAnsi="Times New Roman"/>
                  <w:sz w:val="20"/>
                  <w:szCs w:val="20"/>
                  <w:color w:val="0000FF"/>
                </w:rPr>
                <w:t>Press Release Issued by Destination XL Group, Inc. on June 23, 2026 (included as Exhibit 99.1 to the</w:t>
              </w:r>
            </w:hyperlink>
          </w:p>
        </w:tc>
      </w:tr>
      <w:tr>
        <w:trPr>
          <w:trHeight w:val="209"/>
        </w:trPr>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40" w:type="dxa"/>
            <w:vAlign w:val="bottom"/>
            <w:gridSpan w:val="3"/>
          </w:tcPr>
          <w:p>
            <w:pPr>
              <w:spacing w:after="0" w:line="209" w:lineRule="exact"/>
              <w:rPr>
                <w:rFonts w:ascii="Times New Roman" w:cs="Times New Roman" w:eastAsia="Times New Roman" w:hAnsi="Times New Roman"/>
                <w:sz w:val="20"/>
                <w:szCs w:val="20"/>
                <w:color w:val="0000FF"/>
              </w:rPr>
            </w:pPr>
            <w:hyperlink r:id="rId13">
              <w:r>
                <w:rPr>
                  <w:rFonts w:ascii="Times New Roman" w:cs="Times New Roman" w:eastAsia="Times New Roman" w:hAnsi="Times New Roman"/>
                  <w:sz w:val="20"/>
                  <w:szCs w:val="20"/>
                  <w:color w:val="0000FF"/>
                </w:rPr>
                <w:t>Company’s Current Report on Form 8-K filed on June 23, 2026, and incorporated herein by reference).</w:t>
              </w:r>
            </w:hyperlink>
          </w:p>
        </w:tc>
      </w:tr>
      <w:tr>
        <w:trPr>
          <w:trHeight w:val="20"/>
        </w:trPr>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due inquiry and to the best of my knowledge and belief, I certify that the information set forth in this statement is true, complete and correct.</w:t>
      </w:r>
    </w:p>
    <w:p>
      <w:pPr>
        <w:spacing w:after="0" w:line="18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spacing w:after="0" w:line="378" w:lineRule="exact"/>
        <w:rPr>
          <w:sz w:val="20"/>
          <w:szCs w:val="20"/>
          <w:color w:val="auto"/>
        </w:rPr>
      </w:pPr>
    </w:p>
    <w:p>
      <w:pPr>
        <w:spacing w:after="0"/>
        <w:tabs>
          <w:tab w:leader="none" w:pos="680" w:val="left"/>
          <w:tab w:leader="none" w:pos="5600" w:val="left"/>
          <w:tab w:leader="none" w:pos="6080" w:val="left"/>
        </w:tabs>
        <w:rPr>
          <w:sz w:val="20"/>
          <w:szCs w:val="20"/>
          <w:color w:val="auto"/>
        </w:rPr>
      </w:pPr>
      <w:r>
        <w:rPr>
          <w:rFonts w:ascii="Times New Roman" w:cs="Times New Roman" w:eastAsia="Times New Roman" w:hAnsi="Times New Roman"/>
          <w:sz w:val="20"/>
          <w:szCs w:val="20"/>
          <w:color w:val="auto"/>
        </w:rPr>
        <w:t>Date:</w:t>
        <w:tab/>
        <w:t>June 23,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16510</wp:posOffset>
            </wp:positionV>
            <wp:extent cx="3265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General Counsel and Secretary</w:t>
      </w: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940"/>
      </w:cols>
      <w:pgMar w:left="320" w:top="124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s://www.sec.gov/Archives/edgar/data/813298/000119312526279737/dxlg-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2026-06-23T16:49:23Z</dcterms:created>
  <dcterms:modified xsi:type="dcterms:W3CDTF">2026-06-23T16:49:23Z</dcterms:modified>
</cp:coreProperties>
</file>