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01/26/2023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01/26/2023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36,356</w:t>
            </w:r>
            <w:r>
              <w:rPr>
                <w:rFonts w:ascii="Times New Roman" w:cs="Times New Roman" w:eastAsia="Times New Roman" w:hAnsi="Times New Roman"/>
                <w:sz w:val="22"/>
                <w:szCs w:val="22"/>
                <w:color w:val="008000"/>
                <w:vertAlign w:val="superscript"/>
              </w:rPr>
              <w:t>(2)(3)</w:t>
            </w:r>
            <w:r>
              <w:rPr>
                <w:rFonts w:ascii="Times New Roman" w:cs="Times New Roman" w:eastAsia="Times New Roman" w:hAnsi="Times New Roman"/>
                <w:sz w:val="17"/>
                <w:szCs w:val="17"/>
                <w:color w:val="0000FF"/>
              </w:rPr>
              <w:t xml:space="preserve">    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7.4642</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9,428,474</w:t>
            </w:r>
            <w:r>
              <w:rPr>
                <w:rFonts w:ascii="Times New Roman" w:cs="Times New Roman" w:eastAsia="Times New Roman" w:hAnsi="Times New Roman"/>
                <w:sz w:val="22"/>
                <w:szCs w:val="22"/>
                <w:color w:val="008000"/>
                <w:w w:val="99"/>
                <w:vertAlign w:val="superscript"/>
              </w:rPr>
              <w:t>(2)(3)</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5,747,717 shares of Common Stock of the Issuer (the Shares) held by SSFQP, 1,805,384 Shares held by Cay and 1,875,373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01/30/2023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2023-01-30T16:22:44Z</dcterms:created>
  <dcterms:modified xsi:type="dcterms:W3CDTF">2023-01-30T16:22:44Z</dcterms:modified>
</cp:coreProperties>
</file>