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17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 xml:space="preserve">(Amendment No. 4) </w:t>
      </w:r>
      <w:r>
        <w:rPr>
          <w:rFonts w:ascii="Times New Roman" w:cs="Times New Roman" w:eastAsia="Times New Roman" w:hAnsi="Times New Roman"/>
          <w:sz w:val="36"/>
          <w:szCs w:val="36"/>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15240</wp:posOffset>
            </wp:positionV>
            <wp:extent cx="21863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1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11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Common Stock, par value $0.01 per share</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25065K104</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 Carlo Cannell</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Cannell Capital LLC</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245 Meriwether Circle</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Alta, WY 83414</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(307) 733-2284</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to Receive Notices and Communications)</w:t>
      </w:r>
    </w:p>
    <w:p>
      <w:pPr>
        <w:spacing w:after="0" w:line="20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June 11, 2018</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130175</wp:posOffset>
            </wp:positionV>
            <wp:extent cx="21863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36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2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1 of 8 pages)</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25" w:lineRule="exact"/>
        <w:rPr>
          <w:sz w:val="24"/>
          <w:szCs w:val="24"/>
          <w:color w:val="auto"/>
        </w:rPr>
      </w:pPr>
    </w:p>
    <w:p>
      <w:pPr>
        <w:ind w:right="540"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Potential persons who are to respond to the collection of information contained in this form are not required to respond unless the form displays a current valid OMB control number.</w:t>
      </w:r>
    </w:p>
    <w:p>
      <w:pPr>
        <w:sectPr>
          <w:pgSz w:w="11900" w:h="16838" w:orient="portrait"/>
          <w:cols w:equalWidth="0" w:num="1">
            <w:col w:w="11200"/>
          </w:cols>
          <w:pgMar w:left="240" w:top="227" w:right="459" w:bottom="1440" w:gutter="0" w:footer="0" w:header="0"/>
        </w:sectPr>
      </w:pPr>
    </w:p>
    <w:bookmarkStart w:id="1" w:name="page2"/>
    <w:bookmarkEnd w:id="1"/>
    <w:p>
      <w:pPr>
        <w:spacing w:after="0"/>
        <w:tabs>
          <w:tab w:leader="none" w:pos="10000" w:val="left"/>
        </w:tabs>
        <w:rPr>
          <w:sz w:val="20"/>
          <w:szCs w:val="20"/>
          <w:color w:val="auto"/>
        </w:rPr>
      </w:pPr>
      <w:r>
        <w:rPr>
          <w:rFonts w:ascii="Times New Roman" w:cs="Times New Roman" w:eastAsia="Times New Roman" w:hAnsi="Times New Roman"/>
          <w:sz w:val="18"/>
          <w:szCs w:val="18"/>
          <w:b w:val="1"/>
          <w:bCs w:val="1"/>
          <w:color w:val="auto"/>
        </w:rPr>
        <w:t>CUSIP No. 25065K104</w:t>
      </w:r>
      <w:r>
        <w:rPr>
          <w:sz w:val="20"/>
          <w:szCs w:val="20"/>
          <w:color w:val="auto"/>
        </w:rPr>
        <w:tab/>
      </w:r>
      <w:r>
        <w:rPr>
          <w:rFonts w:ascii="Times New Roman" w:cs="Times New Roman" w:eastAsia="Times New Roman" w:hAnsi="Times New Roman"/>
          <w:sz w:val="18"/>
          <w:szCs w:val="18"/>
          <w:b w:val="1"/>
          <w:bCs w:val="1"/>
          <w:color w:val="auto"/>
        </w:rPr>
        <w:t>Page 2 of 8 pages</w:t>
      </w:r>
    </w:p>
    <w:sectPr>
      <w:pgSz w:w="11900" w:h="16838" w:orient="portrait"/>
      <w:cols w:equalWidth="0" w:num="1">
        <w:col w:w="11340"/>
      </w:cols>
      <w:pgMar w:left="280" w:top="69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2019-12-16T19:45:12Z</dcterms:created>
  <dcterms:modified xsi:type="dcterms:W3CDTF">2019-12-16T19:45:12Z</dcterms:modified>
</cp:coreProperties>
</file>