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182880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81915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67"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FORM 10-K/A</w:t>
      </w:r>
    </w:p>
    <w:p>
      <w:pPr>
        <w:spacing w:after="0" w:line="5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94615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87"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5" w:lineRule="exact"/>
        <w:rPr>
          <w:sz w:val="24"/>
          <w:szCs w:val="24"/>
          <w:color w:val="auto"/>
        </w:rPr>
      </w:pPr>
    </w:p>
    <w:p>
      <w:pPr>
        <w:ind w:left="3480" w:right="1980" w:hanging="3472"/>
        <w:spacing w:after="0" w:line="328" w:lineRule="auto"/>
        <w:tabs>
          <w:tab w:leader="none" w:pos="502"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January 30, 2021 (Fiscal 2020)</w:t>
      </w: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OR</w:t>
      </w:r>
    </w:p>
    <w:p>
      <w:pPr>
        <w:spacing w:after="0" w:line="77"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w:t>
      </w:r>
    </w:p>
    <w:p>
      <w:pPr>
        <w:spacing w:after="0" w:line="29" w:lineRule="exact"/>
        <w:rPr>
          <w:sz w:val="24"/>
          <w:szCs w:val="24"/>
          <w:color w:val="auto"/>
        </w:rPr>
      </w:pPr>
    </w:p>
    <w:p>
      <w:pPr>
        <w:ind w:left="500"/>
        <w:spacing w:after="0"/>
        <w:tabs>
          <w:tab w:leader="none" w:pos="3960" w:val="left"/>
        </w:tabs>
        <w:rPr>
          <w:sz w:val="20"/>
          <w:szCs w:val="20"/>
          <w:color w:val="auto"/>
        </w:rPr>
      </w:pPr>
      <w:r>
        <w:rPr>
          <w:rFonts w:ascii="Arial" w:cs="Arial" w:eastAsia="Arial" w:hAnsi="Arial"/>
          <w:sz w:val="18"/>
          <w:szCs w:val="18"/>
          <w:b w:val="1"/>
          <w:bCs w:val="1"/>
          <w:color w:val="auto"/>
        </w:rPr>
        <w:t>TRANSITION PERIOD FROM</w:t>
      </w:r>
      <w:r>
        <w:rPr>
          <w:sz w:val="20"/>
          <w:szCs w:val="20"/>
          <w:color w:val="auto"/>
        </w:rPr>
        <w:tab/>
      </w:r>
      <w:r>
        <w:rPr>
          <w:rFonts w:ascii="Arial" w:cs="Arial" w:eastAsia="Arial" w:hAnsi="Arial"/>
          <w:sz w:val="18"/>
          <w:szCs w:val="18"/>
          <w:b w:val="1"/>
          <w:bCs w:val="1"/>
          <w:color w:val="auto"/>
        </w:rPr>
        <w:t>TO</w:t>
      </w:r>
    </w:p>
    <w:p>
      <w:pPr>
        <w:spacing w:after="0" w:line="5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Commission File Number 01-34219</w:t>
      </w:r>
    </w:p>
    <w:p>
      <w:pPr>
        <w:spacing w:after="0" w:line="130"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DESTINATION XL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-199390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81915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5" w:lineRule="exact"/>
        <w:rPr>
          <w:sz w:val="24"/>
          <w:szCs w:val="24"/>
          <w:color w:val="auto"/>
        </w:rPr>
      </w:pPr>
    </w:p>
    <w:tbl>
      <w:tblPr>
        <w:tblLayout w:type="fixed"/>
        <w:tblInd w:w="30" w:type="dxa"/>
        <w:tblCellMar>
          <w:top w:w="0" w:type="dxa"/>
          <w:left w:w="0" w:type="dxa"/>
          <w:bottom w:w="0" w:type="dxa"/>
          <w:right w:w="0" w:type="dxa"/>
        </w:tblCellMar>
      </w:tblPr>
      <w:tr>
        <w:trPr>
          <w:trHeight w:val="216"/>
        </w:trPr>
        <w:tc>
          <w:tcPr>
            <w:tcW w:w="4480" w:type="dxa"/>
            <w:vAlign w:val="bottom"/>
            <w:gridSpan w:val="2"/>
          </w:tcPr>
          <w:p>
            <w:pPr>
              <w:jc w:val="center"/>
              <w:ind w:left="1041"/>
              <w:spacing w:after="0"/>
              <w:rPr>
                <w:sz w:val="20"/>
                <w:szCs w:val="20"/>
                <w:color w:val="auto"/>
              </w:rPr>
            </w:pPr>
            <w:r>
              <w:rPr>
                <w:rFonts w:ascii="Arial" w:cs="Arial" w:eastAsia="Arial" w:hAnsi="Arial"/>
                <w:sz w:val="18"/>
                <w:szCs w:val="18"/>
                <w:b w:val="1"/>
                <w:bCs w:val="1"/>
                <w:color w:val="auto"/>
                <w:w w:val="91"/>
              </w:rPr>
              <w:t>Delaware</w:t>
            </w:r>
          </w:p>
        </w:tc>
        <w:tc>
          <w:tcPr>
            <w:tcW w:w="2240" w:type="dxa"/>
            <w:vAlign w:val="bottom"/>
          </w:tcPr>
          <w:p>
            <w:pPr>
              <w:spacing w:after="0"/>
              <w:rPr>
                <w:sz w:val="18"/>
                <w:szCs w:val="18"/>
                <w:color w:val="auto"/>
              </w:rPr>
            </w:pPr>
          </w:p>
        </w:tc>
        <w:tc>
          <w:tcPr>
            <w:tcW w:w="4520" w:type="dxa"/>
            <w:vAlign w:val="bottom"/>
            <w:gridSpan w:val="2"/>
          </w:tcPr>
          <w:p>
            <w:pPr>
              <w:jc w:val="right"/>
              <w:ind w:right="2331"/>
              <w:spacing w:after="0"/>
              <w:rPr>
                <w:sz w:val="20"/>
                <w:szCs w:val="20"/>
                <w:color w:val="auto"/>
              </w:rPr>
            </w:pPr>
            <w:r>
              <w:rPr>
                <w:rFonts w:ascii="Arial" w:cs="Arial" w:eastAsia="Arial" w:hAnsi="Arial"/>
                <w:sz w:val="18"/>
                <w:szCs w:val="18"/>
                <w:b w:val="1"/>
                <w:bCs w:val="1"/>
                <w:color w:val="auto"/>
              </w:rPr>
              <w:t>04-2623104</w:t>
            </w:r>
          </w:p>
        </w:tc>
      </w:tr>
      <w:tr>
        <w:trPr>
          <w:trHeight w:val="164"/>
        </w:trPr>
        <w:tc>
          <w:tcPr>
            <w:tcW w:w="4480" w:type="dxa"/>
            <w:vAlign w:val="bottom"/>
            <w:gridSpan w:val="2"/>
          </w:tcPr>
          <w:p>
            <w:pPr>
              <w:jc w:val="center"/>
              <w:ind w:left="1041"/>
              <w:spacing w:after="0"/>
              <w:rPr>
                <w:sz w:val="20"/>
                <w:szCs w:val="20"/>
                <w:color w:val="auto"/>
              </w:rPr>
            </w:pPr>
            <w:r>
              <w:rPr>
                <w:rFonts w:ascii="Arial" w:cs="Arial" w:eastAsia="Arial" w:hAnsi="Arial"/>
                <w:sz w:val="13"/>
                <w:szCs w:val="13"/>
                <w:b w:val="1"/>
                <w:bCs w:val="1"/>
                <w:color w:val="auto"/>
                <w:w w:val="88"/>
              </w:rPr>
              <w:t>( State or other jurisdiction of incorporation or organization)</w:t>
            </w:r>
          </w:p>
        </w:tc>
        <w:tc>
          <w:tcPr>
            <w:tcW w:w="2240" w:type="dxa"/>
            <w:vAlign w:val="bottom"/>
          </w:tcPr>
          <w:p>
            <w:pPr>
              <w:spacing w:after="0"/>
              <w:rPr>
                <w:sz w:val="14"/>
                <w:szCs w:val="14"/>
                <w:color w:val="auto"/>
              </w:rPr>
            </w:pPr>
          </w:p>
        </w:tc>
        <w:tc>
          <w:tcPr>
            <w:tcW w:w="4520" w:type="dxa"/>
            <w:vAlign w:val="bottom"/>
            <w:gridSpan w:val="2"/>
          </w:tcPr>
          <w:p>
            <w:pPr>
              <w:jc w:val="center"/>
              <w:ind w:right="1071"/>
              <w:spacing w:after="0"/>
              <w:rPr>
                <w:sz w:val="20"/>
                <w:szCs w:val="20"/>
                <w:color w:val="auto"/>
              </w:rPr>
            </w:pPr>
            <w:r>
              <w:rPr>
                <w:rFonts w:ascii="Arial" w:cs="Arial" w:eastAsia="Arial" w:hAnsi="Arial"/>
                <w:sz w:val="13"/>
                <w:szCs w:val="13"/>
                <w:b w:val="1"/>
                <w:bCs w:val="1"/>
                <w:color w:val="auto"/>
                <w:w w:val="91"/>
              </w:rPr>
              <w:t>(I.R.S. Employer Identification No.)</w:t>
            </w:r>
          </w:p>
        </w:tc>
      </w:tr>
      <w:tr>
        <w:trPr>
          <w:trHeight w:val="335"/>
        </w:trPr>
        <w:tc>
          <w:tcPr>
            <w:tcW w:w="4480" w:type="dxa"/>
            <w:vAlign w:val="bottom"/>
            <w:gridSpan w:val="2"/>
          </w:tcPr>
          <w:p>
            <w:pPr>
              <w:jc w:val="center"/>
              <w:ind w:left="1021"/>
              <w:spacing w:after="0"/>
              <w:rPr>
                <w:sz w:val="20"/>
                <w:szCs w:val="20"/>
                <w:color w:val="auto"/>
              </w:rPr>
            </w:pPr>
            <w:r>
              <w:rPr>
                <w:rFonts w:ascii="Arial" w:cs="Arial" w:eastAsia="Arial" w:hAnsi="Arial"/>
                <w:sz w:val="18"/>
                <w:szCs w:val="18"/>
                <w:b w:val="1"/>
                <w:bCs w:val="1"/>
                <w:color w:val="auto"/>
                <w:w w:val="93"/>
              </w:rPr>
              <w:t>555 Turnpike Street, Canton, MA</w:t>
            </w:r>
          </w:p>
        </w:tc>
        <w:tc>
          <w:tcPr>
            <w:tcW w:w="2240" w:type="dxa"/>
            <w:vAlign w:val="bottom"/>
          </w:tcPr>
          <w:p>
            <w:pPr>
              <w:spacing w:after="0"/>
              <w:rPr>
                <w:sz w:val="24"/>
                <w:szCs w:val="24"/>
                <w:color w:val="auto"/>
              </w:rPr>
            </w:pPr>
          </w:p>
        </w:tc>
        <w:tc>
          <w:tcPr>
            <w:tcW w:w="4520" w:type="dxa"/>
            <w:vAlign w:val="bottom"/>
            <w:gridSpan w:val="2"/>
          </w:tcPr>
          <w:p>
            <w:pPr>
              <w:jc w:val="right"/>
              <w:ind w:right="2531"/>
              <w:spacing w:after="0"/>
              <w:rPr>
                <w:sz w:val="20"/>
                <w:szCs w:val="20"/>
                <w:color w:val="auto"/>
              </w:rPr>
            </w:pPr>
            <w:r>
              <w:rPr>
                <w:rFonts w:ascii="Arial" w:cs="Arial" w:eastAsia="Arial" w:hAnsi="Arial"/>
                <w:sz w:val="18"/>
                <w:szCs w:val="18"/>
                <w:b w:val="1"/>
                <w:bCs w:val="1"/>
                <w:color w:val="auto"/>
              </w:rPr>
              <w:t>02021</w:t>
            </w:r>
          </w:p>
        </w:tc>
      </w:tr>
      <w:tr>
        <w:trPr>
          <w:trHeight w:val="164"/>
        </w:trPr>
        <w:tc>
          <w:tcPr>
            <w:tcW w:w="4480" w:type="dxa"/>
            <w:vAlign w:val="bottom"/>
            <w:gridSpan w:val="2"/>
          </w:tcPr>
          <w:p>
            <w:pPr>
              <w:jc w:val="center"/>
              <w:ind w:left="1041"/>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2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720" w:type="dxa"/>
            <w:vAlign w:val="bottom"/>
          </w:tcPr>
          <w:p>
            <w:pPr>
              <w:jc w:val="center"/>
              <w:ind w:right="1871"/>
              <w:spacing w:after="0"/>
              <w:rPr>
                <w:sz w:val="20"/>
                <w:szCs w:val="20"/>
                <w:color w:val="auto"/>
              </w:rPr>
            </w:pPr>
            <w:r>
              <w:rPr>
                <w:rFonts w:ascii="Arial" w:cs="Arial" w:eastAsia="Arial" w:hAnsi="Arial"/>
                <w:sz w:val="13"/>
                <w:szCs w:val="13"/>
                <w:b w:val="1"/>
                <w:bCs w:val="1"/>
                <w:color w:val="auto"/>
                <w:w w:val="90"/>
              </w:rPr>
              <w:t>(Zip Code)</w:t>
            </w:r>
          </w:p>
        </w:tc>
      </w:tr>
      <w:tr>
        <w:trPr>
          <w:trHeight w:val="272"/>
        </w:trPr>
        <w:tc>
          <w:tcPr>
            <w:tcW w:w="11240" w:type="dxa"/>
            <w:vAlign w:val="bottom"/>
            <w:gridSpan w:val="5"/>
          </w:tcPr>
          <w:p>
            <w:pPr>
              <w:jc w:val="center"/>
              <w:spacing w:after="0"/>
              <w:rPr>
                <w:sz w:val="20"/>
                <w:szCs w:val="20"/>
                <w:color w:val="auto"/>
              </w:rPr>
            </w:pPr>
            <w:r>
              <w:rPr>
                <w:rFonts w:ascii="Arial" w:cs="Arial" w:eastAsia="Arial" w:hAnsi="Arial"/>
                <w:sz w:val="18"/>
                <w:szCs w:val="18"/>
                <w:b w:val="1"/>
                <w:bCs w:val="1"/>
                <w:color w:val="auto"/>
                <w:w w:val="89"/>
              </w:rPr>
              <w:t>Registrant’s telephone number, including area code: (781) 828-9300</w:t>
            </w:r>
          </w:p>
        </w:tc>
      </w:tr>
      <w:tr>
        <w:trPr>
          <w:trHeight w:val="122"/>
        </w:trPr>
        <w:tc>
          <w:tcPr>
            <w:tcW w:w="3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40" w:type="dxa"/>
            <w:vAlign w:val="bottom"/>
            <w:tcBorders>
              <w:bottom w:val="single" w:sz="8" w:color="auto"/>
            </w:tcBorders>
          </w:tcPr>
          <w:p>
            <w:pPr>
              <w:spacing w:after="0"/>
              <w:rPr>
                <w:sz w:val="10"/>
                <w:szCs w:val="10"/>
                <w:color w:val="auto"/>
              </w:rPr>
            </w:pPr>
          </w:p>
        </w:tc>
        <w:tc>
          <w:tcPr>
            <w:tcW w:w="800" w:type="dxa"/>
            <w:vAlign w:val="bottom"/>
          </w:tcPr>
          <w:p>
            <w:pPr>
              <w:spacing w:after="0"/>
              <w:rPr>
                <w:sz w:val="10"/>
                <w:szCs w:val="10"/>
                <w:color w:val="auto"/>
              </w:rPr>
            </w:pPr>
          </w:p>
        </w:tc>
        <w:tc>
          <w:tcPr>
            <w:tcW w:w="3720" w:type="dxa"/>
            <w:vAlign w:val="bottom"/>
          </w:tcPr>
          <w:p>
            <w:pPr>
              <w:spacing w:after="0"/>
              <w:rPr>
                <w:sz w:val="10"/>
                <w:szCs w:val="10"/>
                <w:color w:val="auto"/>
              </w:rPr>
            </w:pPr>
          </w:p>
        </w:tc>
      </w:tr>
      <w:tr>
        <w:trPr>
          <w:trHeight w:val="290"/>
        </w:trPr>
        <w:tc>
          <w:tcPr>
            <w:tcW w:w="1124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r>
      <w:tr>
        <w:trPr>
          <w:trHeight w:val="210"/>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72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Trading Symbols(s)</w:t>
            </w:r>
          </w:p>
        </w:tc>
        <w:tc>
          <w:tcPr>
            <w:tcW w:w="800" w:type="dxa"/>
            <w:vAlign w:val="bottom"/>
            <w:tcBorders>
              <w:bottom w:val="single" w:sz="8" w:color="auto"/>
              <w:right w:val="single" w:sz="8" w:color="auto"/>
            </w:tcBorders>
          </w:tcPr>
          <w:p>
            <w:pPr>
              <w:spacing w:after="0"/>
              <w:rPr>
                <w:sz w:val="18"/>
                <w:szCs w:val="18"/>
                <w:color w:val="auto"/>
              </w:rPr>
            </w:pPr>
          </w:p>
        </w:tc>
        <w:tc>
          <w:tcPr>
            <w:tcW w:w="3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09"/>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None</w:t>
            </w:r>
          </w:p>
        </w:tc>
        <w:tc>
          <w:tcPr>
            <w:tcW w:w="72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ind w:left="940"/>
              <w:spacing w:after="0"/>
              <w:rPr>
                <w:sz w:val="20"/>
                <w:szCs w:val="20"/>
                <w:color w:val="auto"/>
              </w:rPr>
            </w:pPr>
            <w:r>
              <w:rPr>
                <w:rFonts w:ascii="Arial" w:cs="Arial" w:eastAsia="Arial" w:hAnsi="Arial"/>
                <w:sz w:val="14"/>
                <w:szCs w:val="14"/>
                <w:b w:val="1"/>
                <w:bCs w:val="1"/>
                <w:color w:val="auto"/>
              </w:rPr>
              <w:t>DXLG</w:t>
            </w:r>
          </w:p>
        </w:tc>
        <w:tc>
          <w:tcPr>
            <w:tcW w:w="800" w:type="dxa"/>
            <w:vAlign w:val="bottom"/>
            <w:tcBorders>
              <w:bottom w:val="single" w:sz="8" w:color="auto"/>
              <w:right w:val="single" w:sz="8" w:color="auto"/>
            </w:tcBorders>
          </w:tcPr>
          <w:p>
            <w:pPr>
              <w:spacing w:after="0"/>
              <w:rPr>
                <w:sz w:val="18"/>
                <w:szCs w:val="18"/>
                <w:color w:val="auto"/>
              </w:rPr>
            </w:pPr>
          </w:p>
        </w:tc>
        <w:tc>
          <w:tcPr>
            <w:tcW w:w="3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N/A</w:t>
            </w:r>
          </w:p>
        </w:tc>
      </w:tr>
    </w:tbl>
    <w:p>
      <w:pPr>
        <w:spacing w:after="0" w:line="4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85"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Common Stock, $0.01 par value</w:t>
      </w:r>
    </w:p>
    <w:p>
      <w:pPr>
        <w:sectPr>
          <w:pgSz w:w="11900" w:h="16838" w:orient="portrait"/>
          <w:cols w:equalWidth="0" w:num="1">
            <w:col w:w="11260"/>
          </w:cols>
          <w:pgMar w:left="320" w:top="360" w:right="319" w:bottom="1440" w:gutter="0" w:footer="0" w:header="0"/>
        </w:sectPr>
      </w:pPr>
    </w:p>
    <w:p>
      <w:pPr>
        <w:spacing w:after="0" w:line="100"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80" w:lineRule="exact"/>
        <w:rPr>
          <w:sz w:val="24"/>
          <w:szCs w:val="24"/>
          <w:color w:val="auto"/>
        </w:rPr>
      </w:pPr>
    </w:p>
    <w:p>
      <w:pPr>
        <w:spacing w:after="0"/>
        <w:rPr>
          <w:sz w:val="20"/>
          <w:szCs w:val="20"/>
          <w:color w:val="auto"/>
        </w:rPr>
      </w:pPr>
      <w:r>
        <w:rPr>
          <w:rFonts w:ascii="Arial" w:cs="Arial" w:eastAsia="Arial" w:hAnsi="Arial"/>
          <w:sz w:val="13"/>
          <w:szCs w:val="13"/>
          <w:color w:val="auto"/>
        </w:rPr>
        <w:t>Yes</w:t>
      </w:r>
    </w:p>
    <w:p>
      <w:pPr>
        <w:spacing w:after="0" w:line="20" w:lineRule="exact"/>
        <w:rPr>
          <w:sz w:val="24"/>
          <w:szCs w:val="24"/>
          <w:color w:val="auto"/>
        </w:rPr>
      </w:pPr>
      <w:r>
        <w:rPr>
          <w:sz w:val="24"/>
          <w:szCs w:val="24"/>
          <w:color w:val="auto"/>
        </w:rPr>
        <w:br w:type="column"/>
      </w:r>
    </w:p>
    <w:p>
      <w:pPr>
        <w:spacing w:after="0" w:line="5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80" w:lineRule="exact"/>
        <w:rPr>
          <w:sz w:val="24"/>
          <w:szCs w:val="24"/>
          <w:color w:val="auto"/>
        </w:rPr>
      </w:pPr>
    </w:p>
    <w:p>
      <w:pPr>
        <w:spacing w:after="0"/>
        <w:rPr>
          <w:sz w:val="20"/>
          <w:szCs w:val="20"/>
          <w:color w:val="auto"/>
        </w:rPr>
      </w:pPr>
      <w:r>
        <w:rPr>
          <w:rFonts w:ascii="Arial" w:cs="Arial" w:eastAsia="Arial" w:hAnsi="Arial"/>
          <w:sz w:val="15"/>
          <w:szCs w:val="15"/>
          <w:color w:val="auto"/>
        </w:rPr>
        <w:t>No</w:t>
      </w:r>
    </w:p>
    <w:p>
      <w:pPr>
        <w:spacing w:after="0" w:line="20" w:lineRule="exact"/>
        <w:rPr>
          <w:sz w:val="24"/>
          <w:szCs w:val="24"/>
          <w:color w:val="auto"/>
        </w:rPr>
      </w:pPr>
      <w:r>
        <w:rPr>
          <w:sz w:val="24"/>
          <w:szCs w:val="24"/>
          <w:color w:val="auto"/>
        </w:rPr>
        <w:br w:type="column"/>
      </w:r>
    </w:p>
    <w:p>
      <w:pPr>
        <w:spacing w:after="0" w:line="50"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30" w:lineRule="exact"/>
        <w:rPr>
          <w:sz w:val="24"/>
          <w:szCs w:val="24"/>
          <w:color w:val="auto"/>
        </w:rPr>
      </w:pPr>
    </w:p>
    <w:p>
      <w:pPr>
        <w:sectPr>
          <w:pgSz w:w="11900" w:h="16838" w:orient="portrait"/>
          <w:cols w:equalWidth="0" w:num="5">
            <w:col w:w="7620" w:space="140"/>
            <w:col w:w="240" w:space="80"/>
            <w:col w:w="160" w:space="160"/>
            <w:col w:w="200" w:space="80"/>
            <w:col w:w="2580"/>
          </w:cols>
          <w:pgMar w:left="320" w:top="360" w:right="319" w:bottom="1440" w:gutter="0" w:footer="0" w:header="0"/>
          <w:type w:val="continuous"/>
        </w:sectPr>
      </w:pPr>
    </w:p>
    <w:p>
      <w:pPr>
        <w:spacing w:after="0" w:line="30"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if the registrant is not required to file reports pursuant to Section 13 or Section 15(d) of the Act.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3"/>
          <w:szCs w:val="13"/>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5"/>
          <w:szCs w:val="15"/>
          <w:color w:val="auto"/>
        </w:rPr>
        <w:t>No</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60" w:lineRule="exact"/>
        <w:rPr>
          <w:sz w:val="24"/>
          <w:szCs w:val="24"/>
          <w:color w:val="auto"/>
        </w:rPr>
      </w:pPr>
    </w:p>
    <w:p>
      <w:pPr>
        <w:sectPr>
          <w:pgSz w:w="11900" w:h="16838" w:orient="portrait"/>
          <w:cols w:equalWidth="0" w:num="5">
            <w:col w:w="7760" w:space="160"/>
            <w:col w:w="240" w:space="80"/>
            <w:col w:w="140" w:space="160"/>
            <w:col w:w="200" w:space="80"/>
            <w:col w:w="2440"/>
          </w:cols>
          <w:pgMar w:left="320" w:top="360" w:right="319" w:bottom="1440" w:gutter="0" w:footer="0" w:header="0"/>
          <w:type w:val="continuous"/>
        </w:sectPr>
      </w:pPr>
    </w:p>
    <w:p>
      <w:pPr>
        <w:jc w:val="both"/>
        <w:ind w:right="20"/>
        <w:spacing w:after="0" w:line="284"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84" w:lineRule="exact"/>
        <w:tabs>
          <w:tab w:leader="none" w:pos="480" w:val="left"/>
          <w:tab w:leader="none" w:pos="1100" w:val="left"/>
        </w:tabs>
        <w:rPr>
          <w:sz w:val="20"/>
          <w:szCs w:val="20"/>
          <w:color w:val="auto"/>
        </w:rPr>
      </w:pPr>
      <w:r>
        <w:rPr>
          <w:rFonts w:ascii="Arial" w:cs="Arial" w:eastAsia="Arial" w:hAnsi="Arial"/>
          <w:sz w:val="16"/>
          <w:szCs w:val="16"/>
          <w:color w:val="auto"/>
        </w:rPr>
        <w:t>days.</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82" w:lineRule="exact"/>
        <w:rPr>
          <w:sz w:val="24"/>
          <w:szCs w:val="24"/>
          <w:color w:val="auto"/>
        </w:rPr>
      </w:pPr>
    </w:p>
    <w:p>
      <w:pPr>
        <w:ind w:right="420"/>
        <w:spacing w:after="0" w:line="21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61" w:lineRule="exact"/>
        <w:rPr>
          <w:sz w:val="24"/>
          <w:szCs w:val="24"/>
          <w:color w:val="auto"/>
        </w:rPr>
      </w:pPr>
    </w:p>
    <w:p>
      <w:pPr>
        <w:jc w:val="both"/>
        <w:ind w:right="20"/>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emerging growth company. See the definitions of "large accelerated filer," "accelerated filer," "non-accelerated filer," "smaller reporting company" and “emerging growth company” in Rule 12b-2 of the Exchange Act.</w:t>
      </w:r>
    </w:p>
    <w:p>
      <w:pPr>
        <w:spacing w:after="0" w:line="46" w:lineRule="exact"/>
        <w:rPr>
          <w:sz w:val="24"/>
          <w:szCs w:val="24"/>
          <w:color w:val="auto"/>
        </w:rPr>
      </w:pPr>
    </w:p>
    <w:tbl>
      <w:tblPr>
        <w:tblLayout w:type="fixed"/>
        <w:tblInd w:w="860" w:type="dxa"/>
        <w:tblCellMar>
          <w:top w:w="0" w:type="dxa"/>
          <w:left w:w="0" w:type="dxa"/>
          <w:bottom w:w="0" w:type="dxa"/>
          <w:right w:w="0" w:type="dxa"/>
        </w:tblCellMar>
      </w:tblPr>
      <w:tr>
        <w:trPr>
          <w:trHeight w:val="203"/>
        </w:trPr>
        <w:tc>
          <w:tcPr>
            <w:tcW w:w="21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1740" w:type="dxa"/>
            <w:vAlign w:val="bottom"/>
          </w:tcPr>
          <w:p>
            <w:pPr>
              <w:ind w:left="700"/>
              <w:spacing w:after="0" w:line="161" w:lineRule="exact"/>
              <w:rPr>
                <w:sz w:val="20"/>
                <w:szCs w:val="20"/>
                <w:color w:val="auto"/>
              </w:rPr>
            </w:pPr>
            <w:r>
              <w:rPr>
                <w:rFonts w:ascii="MS PGothic" w:cs="MS PGothic" w:eastAsia="MS PGothic" w:hAnsi="MS PGothic"/>
                <w:sz w:val="16"/>
                <w:szCs w:val="16"/>
                <w:color w:val="auto"/>
              </w:rPr>
              <w:t>☐</w:t>
            </w:r>
          </w:p>
        </w:tc>
        <w:tc>
          <w:tcPr>
            <w:tcW w:w="3180" w:type="dxa"/>
            <w:vAlign w:val="bottom"/>
          </w:tcPr>
          <w:p>
            <w:pPr>
              <w:ind w:left="880"/>
              <w:spacing w:after="0"/>
              <w:rPr>
                <w:sz w:val="20"/>
                <w:szCs w:val="20"/>
                <w:color w:val="auto"/>
              </w:rPr>
            </w:pPr>
            <w:r>
              <w:rPr>
                <w:rFonts w:ascii="Arial" w:cs="Arial" w:eastAsia="Arial" w:hAnsi="Arial"/>
                <w:sz w:val="16"/>
                <w:szCs w:val="16"/>
                <w:color w:val="auto"/>
              </w:rPr>
              <w:t>Accelerated filer</w:t>
            </w:r>
          </w:p>
        </w:tc>
        <w:tc>
          <w:tcPr>
            <w:tcW w:w="700" w:type="dxa"/>
            <w:vAlign w:val="bottom"/>
          </w:tcPr>
          <w:p>
            <w:pPr>
              <w:ind w:left="5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2160" w:type="dxa"/>
            <w:vAlign w:val="bottom"/>
          </w:tcPr>
          <w:p>
            <w:pPr>
              <w:spacing w:after="0"/>
              <w:rPr>
                <w:sz w:val="20"/>
                <w:szCs w:val="20"/>
                <w:color w:val="auto"/>
              </w:rPr>
            </w:pPr>
            <w:r>
              <w:rPr>
                <w:rFonts w:ascii="Arial" w:cs="Arial" w:eastAsia="Arial" w:hAnsi="Arial"/>
                <w:sz w:val="16"/>
                <w:szCs w:val="16"/>
                <w:color w:val="auto"/>
              </w:rPr>
              <w:t>Non-accelerated filer</w:t>
            </w:r>
          </w:p>
        </w:tc>
        <w:tc>
          <w:tcPr>
            <w:tcW w:w="1740" w:type="dxa"/>
            <w:vAlign w:val="bottom"/>
          </w:tcPr>
          <w:p>
            <w:pPr>
              <w:ind w:left="700"/>
              <w:spacing w:after="0" w:line="161" w:lineRule="exact"/>
              <w:rPr>
                <w:sz w:val="20"/>
                <w:szCs w:val="20"/>
                <w:color w:val="auto"/>
              </w:rPr>
            </w:pPr>
            <w:r>
              <w:rPr>
                <w:rFonts w:ascii="MS PGothic" w:cs="MS PGothic" w:eastAsia="MS PGothic" w:hAnsi="MS PGothic"/>
                <w:sz w:val="16"/>
                <w:szCs w:val="16"/>
                <w:color w:val="auto"/>
              </w:rPr>
              <w:t>☒</w:t>
            </w:r>
          </w:p>
        </w:tc>
        <w:tc>
          <w:tcPr>
            <w:tcW w:w="3180" w:type="dxa"/>
            <w:vAlign w:val="bottom"/>
          </w:tcPr>
          <w:p>
            <w:pPr>
              <w:ind w:left="880"/>
              <w:spacing w:after="0"/>
              <w:rPr>
                <w:sz w:val="20"/>
                <w:szCs w:val="20"/>
                <w:color w:val="auto"/>
              </w:rPr>
            </w:pPr>
            <w:r>
              <w:rPr>
                <w:rFonts w:ascii="Arial" w:cs="Arial" w:eastAsia="Arial" w:hAnsi="Arial"/>
                <w:sz w:val="16"/>
                <w:szCs w:val="16"/>
                <w:color w:val="auto"/>
              </w:rPr>
              <w:t>Smaller reporting company</w:t>
            </w:r>
          </w:p>
        </w:tc>
        <w:tc>
          <w:tcPr>
            <w:tcW w:w="700" w:type="dxa"/>
            <w:vAlign w:val="bottom"/>
          </w:tcPr>
          <w:p>
            <w:pPr>
              <w:ind w:left="5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16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3180" w:type="dxa"/>
            <w:vAlign w:val="bottom"/>
          </w:tcPr>
          <w:p>
            <w:pPr>
              <w:ind w:left="880"/>
              <w:spacing w:after="0"/>
              <w:rPr>
                <w:sz w:val="20"/>
                <w:szCs w:val="20"/>
                <w:color w:val="auto"/>
              </w:rPr>
            </w:pPr>
            <w:r>
              <w:rPr>
                <w:rFonts w:ascii="Arial" w:cs="Arial" w:eastAsia="Arial" w:hAnsi="Arial"/>
                <w:sz w:val="16"/>
                <w:szCs w:val="16"/>
                <w:color w:val="auto"/>
              </w:rPr>
              <w:t>Emerging growth company</w:t>
            </w:r>
          </w:p>
        </w:tc>
        <w:tc>
          <w:tcPr>
            <w:tcW w:w="700" w:type="dxa"/>
            <w:vAlign w:val="bottom"/>
          </w:tcPr>
          <w:p>
            <w:pPr>
              <w:ind w:left="5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86" w:lineRule="exact"/>
        <w:rPr>
          <w:sz w:val="24"/>
          <w:szCs w:val="24"/>
          <w:color w:val="auto"/>
        </w:rPr>
      </w:pPr>
    </w:p>
    <w:p>
      <w:pPr>
        <w:ind w:right="20" w:firstLine="6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46" w:lineRule="exact"/>
        <w:rPr>
          <w:sz w:val="24"/>
          <w:szCs w:val="24"/>
          <w:color w:val="auto"/>
        </w:rPr>
      </w:pPr>
    </w:p>
    <w:p>
      <w:pPr>
        <w:ind w:right="40"/>
        <w:spacing w:after="0" w:line="214"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6" w:lineRule="exact"/>
        <w:rPr>
          <w:sz w:val="24"/>
          <w:szCs w:val="24"/>
          <w:color w:val="auto"/>
        </w:rPr>
      </w:pPr>
    </w:p>
    <w:p>
      <w:pPr>
        <w:spacing w:after="0" w:line="184" w:lineRule="exact"/>
        <w:tabs>
          <w:tab w:leader="none" w:pos="6820" w:val="left"/>
          <w:tab w:leader="none" w:pos="7460" w:val="left"/>
        </w:tabs>
        <w:rPr>
          <w:sz w:val="20"/>
          <w:szCs w:val="20"/>
          <w:color w:val="auto"/>
        </w:rPr>
      </w:pPr>
      <w:r>
        <w:rPr>
          <w:rFonts w:ascii="Arial" w:cs="Arial" w:eastAsia="Arial" w:hAnsi="Arial"/>
          <w:sz w:val="16"/>
          <w:szCs w:val="16"/>
          <w:color w:val="auto"/>
        </w:rPr>
        <w:t>Indicate by check mark whether the registrant is a shell company (as defined in Rule 12b-2 of the Act).</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30" w:lineRule="exact"/>
        <w:rPr>
          <w:sz w:val="24"/>
          <w:szCs w:val="24"/>
          <w:color w:val="auto"/>
        </w:rPr>
      </w:pPr>
    </w:p>
    <w:p>
      <w:pPr>
        <w:ind w:right="280"/>
        <w:spacing w:after="0" w:line="273" w:lineRule="auto"/>
        <w:rPr>
          <w:sz w:val="20"/>
          <w:szCs w:val="20"/>
          <w:color w:val="auto"/>
        </w:rPr>
      </w:pPr>
      <w:r>
        <w:rPr>
          <w:rFonts w:ascii="Arial" w:cs="Arial" w:eastAsia="Arial" w:hAnsi="Arial"/>
          <w:sz w:val="16"/>
          <w:szCs w:val="16"/>
          <w:color w:val="auto"/>
        </w:rPr>
        <w:t>As of July 31, 2020, the aggregate market value of the Common Stock held by non-affiliates of the registrant was approximately $12.2 million, based on the last reported sale price on that date. Shares of Common Stock held by each executive officer and director and by certain persons who own 10% or more of the outstanding Common Stock have been excluded on the basis that such persons may be deemed to be affiliates. This determination of affiliate status is not necessarily determinative for other purposes.</w:t>
      </w:r>
    </w:p>
    <w:p>
      <w:pPr>
        <w:spacing w:after="0" w:line="36"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The registrant had </w:t>
      </w:r>
      <w:r>
        <w:rPr>
          <w:rFonts w:ascii="Arial" w:cs="Arial" w:eastAsia="Arial" w:hAnsi="Arial"/>
          <w:sz w:val="17"/>
          <w:szCs w:val="17"/>
          <w:color w:val="auto"/>
        </w:rPr>
        <w:t>63,526,601</w:t>
      </w:r>
      <w:r>
        <w:rPr>
          <w:rFonts w:ascii="Arial" w:cs="Arial" w:eastAsia="Arial" w:hAnsi="Arial"/>
          <w:sz w:val="16"/>
          <w:szCs w:val="16"/>
          <w:color w:val="auto"/>
        </w:rPr>
        <w:t xml:space="preserve"> shares of Common Stock, $0.01 par value, outstanding as of May 14, 2021.</w:t>
      </w:r>
    </w:p>
    <w:p>
      <w:pPr>
        <w:spacing w:after="0" w:line="93" w:lineRule="exact"/>
        <w:rPr>
          <w:sz w:val="24"/>
          <w:szCs w:val="24"/>
          <w:color w:val="auto"/>
        </w:rPr>
      </w:pPr>
    </w:p>
    <w:p>
      <w:pPr>
        <w:spacing w:after="0"/>
        <w:rPr>
          <w:sz w:val="20"/>
          <w:szCs w:val="20"/>
          <w:color w:val="auto"/>
        </w:rPr>
      </w:pPr>
      <w:r>
        <w:rPr>
          <w:rFonts w:ascii="Arial" w:cs="Arial" w:eastAsia="Arial" w:hAnsi="Arial"/>
          <w:sz w:val="16"/>
          <w:szCs w:val="16"/>
          <w:color w:val="auto"/>
        </w:rPr>
        <w:t>Documents Incorporated by Reference: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103505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360" w:right="31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We are filing this Amendment No. 1 to our Annual Report on Form 10−K for the fiscal year ended January 30, 2021 (this “Form 10-K/A”) pursuant to General Instruction G(3) to Form 10−K for the purposes of filing the information required to be disclosed pursuant to Part III of Form 10−K.</w:t>
      </w:r>
    </w:p>
    <w:p>
      <w:pPr>
        <w:spacing w:after="0" w:line="14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Except for the amendments described above, this Form 10−K/A does not modify or update the disclosure in our Annual Report on Form 10−K for the fiscal year ended January 30, 2021 filed with the Securities and Exchange Commission on March 19, 2021.</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0" w:type="dxa"/>
            <w:vAlign w:val="bottom"/>
            <w:gridSpan w:val="3"/>
            <w:vMerge w:val="restart"/>
          </w:tcPr>
          <w:p>
            <w:pPr>
              <w:spacing w:after="0"/>
              <w:rPr>
                <w:sz w:val="20"/>
                <w:szCs w:val="20"/>
                <w:color w:val="auto"/>
              </w:rPr>
            </w:pPr>
            <w:r>
              <w:rPr>
                <w:rFonts w:ascii="Arial" w:cs="Arial" w:eastAsia="Arial" w:hAnsi="Arial"/>
                <w:sz w:val="18"/>
                <w:szCs w:val="18"/>
                <w:b w:val="1"/>
                <w:bCs w:val="1"/>
                <w:color w:val="0000EE"/>
              </w:rPr>
              <w:t>PART III</w:t>
            </w:r>
          </w:p>
        </w:tc>
        <w:tc>
          <w:tcPr>
            <w:tcW w:w="400" w:type="dxa"/>
            <w:vAlign w:val="bottom"/>
            <w:vMerge w:val="restart"/>
          </w:tcPr>
          <w:p>
            <w:pPr>
              <w:spacing w:after="0"/>
              <w:rPr>
                <w:sz w:val="14"/>
                <w:szCs w:val="14"/>
                <w:color w:val="auto"/>
              </w:rPr>
            </w:pPr>
          </w:p>
        </w:tc>
        <w:tc>
          <w:tcPr>
            <w:tcW w:w="1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12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4"/>
        </w:trPr>
        <w:tc>
          <w:tcPr>
            <w:tcW w:w="760" w:type="dxa"/>
            <w:vAlign w:val="bottom"/>
            <w:tcBorders>
              <w:bottom w:val="single" w:sz="8" w:color="0000EE"/>
            </w:tcBorders>
            <w:gridSpan w:val="3"/>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1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20" w:type="dxa"/>
            <w:vAlign w:val="bottom"/>
            <w:tcBorders>
              <w:bottom w:val="single" w:sz="8" w:color="0000EE"/>
            </w:tcBorders>
          </w:tcPr>
          <w:p>
            <w:pPr>
              <w:spacing w:after="0" w:line="196" w:lineRule="exact"/>
              <w:rPr>
                <w:sz w:val="20"/>
                <w:szCs w:val="20"/>
                <w:color w:val="auto"/>
              </w:rPr>
            </w:pPr>
            <w:r>
              <w:rPr>
                <w:rFonts w:ascii="Arial" w:cs="Arial" w:eastAsia="Arial" w:hAnsi="Arial"/>
                <w:sz w:val="18"/>
                <w:szCs w:val="18"/>
                <w:color w:val="0000EE"/>
                <w:w w:val="95"/>
              </w:rPr>
              <w:t>ITEM 10.</w:t>
            </w:r>
          </w:p>
        </w:tc>
        <w:tc>
          <w:tcPr>
            <w:tcW w:w="440" w:type="dxa"/>
            <w:vAlign w:val="bottom"/>
            <w:gridSpan w:val="3"/>
          </w:tcPr>
          <w:p>
            <w:pPr>
              <w:spacing w:after="0"/>
              <w:rPr>
                <w:sz w:val="17"/>
                <w:szCs w:val="17"/>
                <w:color w:val="auto"/>
              </w:rPr>
            </w:pPr>
          </w:p>
        </w:tc>
        <w:tc>
          <w:tcPr>
            <w:tcW w:w="408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w:anchor="page3">
              <w:r>
                <w:rPr>
                  <w:rFonts w:ascii="Arial" w:cs="Arial" w:eastAsia="Arial" w:hAnsi="Arial"/>
                  <w:sz w:val="18"/>
                  <w:szCs w:val="18"/>
                  <w:color w:val="0000EE"/>
                  <w:w w:val="90"/>
                </w:rPr>
                <w:t>Directors, Executive Officers and Corporate Governance</w:t>
              </w:r>
            </w:hyperlink>
          </w:p>
        </w:tc>
        <w:tc>
          <w:tcPr>
            <w:tcW w:w="4880" w:type="dxa"/>
            <w:vAlign w:val="bottom"/>
            <w:gridSpan w:val="3"/>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720" w:type="dxa"/>
            <w:vAlign w:val="bottom"/>
          </w:tcPr>
          <w:p>
            <w:pPr>
              <w:spacing w:after="0" w:line="196" w:lineRule="exact"/>
              <w:rPr>
                <w:sz w:val="20"/>
                <w:szCs w:val="20"/>
                <w:color w:val="auto"/>
              </w:rPr>
            </w:pPr>
            <w:r>
              <w:rPr>
                <w:rFonts w:ascii="Arial" w:cs="Arial" w:eastAsia="Arial" w:hAnsi="Arial"/>
                <w:sz w:val="18"/>
                <w:szCs w:val="18"/>
                <w:color w:val="0000EE"/>
                <w:w w:val="95"/>
              </w:rPr>
              <w:t>ITEM 11.</w:t>
            </w:r>
          </w:p>
        </w:tc>
        <w:tc>
          <w:tcPr>
            <w:tcW w:w="440" w:type="dxa"/>
            <w:vAlign w:val="bottom"/>
            <w:gridSpan w:val="3"/>
          </w:tcPr>
          <w:p>
            <w:pPr>
              <w:spacing w:after="0"/>
              <w:rPr>
                <w:sz w:val="17"/>
                <w:szCs w:val="17"/>
                <w:color w:val="auto"/>
              </w:rPr>
            </w:pPr>
          </w:p>
        </w:tc>
        <w:tc>
          <w:tcPr>
            <w:tcW w:w="8960" w:type="dxa"/>
            <w:vAlign w:val="bottom"/>
            <w:gridSpan w:val="7"/>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Executive Compensation</w:t>
              </w:r>
            </w:hyperlink>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7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0000EE"/>
            </w:tcBorders>
            <w:gridSpan w:val="2"/>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tcBorders>
              <w:bottom w:val="single" w:sz="8" w:color="0000EE"/>
            </w:tcBorders>
          </w:tcPr>
          <w:p>
            <w:pPr>
              <w:spacing w:after="0" w:line="196" w:lineRule="exact"/>
              <w:rPr>
                <w:sz w:val="20"/>
                <w:szCs w:val="20"/>
                <w:color w:val="auto"/>
              </w:rPr>
            </w:pPr>
            <w:r>
              <w:rPr>
                <w:rFonts w:ascii="Arial" w:cs="Arial" w:eastAsia="Arial" w:hAnsi="Arial"/>
                <w:sz w:val="18"/>
                <w:szCs w:val="18"/>
                <w:color w:val="0000EE"/>
                <w:w w:val="95"/>
              </w:rPr>
              <w:t>ITEM 12.</w:t>
            </w:r>
          </w:p>
        </w:tc>
        <w:tc>
          <w:tcPr>
            <w:tcW w:w="440" w:type="dxa"/>
            <w:vAlign w:val="bottom"/>
            <w:gridSpan w:val="3"/>
          </w:tcPr>
          <w:p>
            <w:pPr>
              <w:spacing w:after="0"/>
              <w:rPr>
                <w:sz w:val="17"/>
                <w:szCs w:val="17"/>
                <w:color w:val="auto"/>
              </w:rPr>
            </w:pPr>
          </w:p>
        </w:tc>
        <w:tc>
          <w:tcPr>
            <w:tcW w:w="728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w:anchor="page28">
              <w:r>
                <w:rPr>
                  <w:rFonts w:ascii="Arial" w:cs="Arial" w:eastAsia="Arial" w:hAnsi="Arial"/>
                  <w:sz w:val="18"/>
                  <w:szCs w:val="18"/>
                  <w:color w:val="0000EE"/>
                  <w:w w:val="90"/>
                </w:rPr>
                <w:t>Security Ownership of Certain Beneficial Owners and Management and Related Stockholder Matters</w:t>
              </w:r>
            </w:hyperlink>
          </w:p>
        </w:tc>
        <w:tc>
          <w:tcPr>
            <w:tcW w:w="1680" w:type="dxa"/>
            <w:vAlign w:val="bottom"/>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720" w:type="dxa"/>
            <w:vAlign w:val="bottom"/>
            <w:tcBorders>
              <w:bottom w:val="single" w:sz="8" w:color="0000EE"/>
            </w:tcBorders>
          </w:tcPr>
          <w:p>
            <w:pPr>
              <w:spacing w:after="0" w:line="196" w:lineRule="exact"/>
              <w:rPr>
                <w:sz w:val="20"/>
                <w:szCs w:val="20"/>
                <w:color w:val="auto"/>
              </w:rPr>
            </w:pPr>
            <w:r>
              <w:rPr>
                <w:rFonts w:ascii="Arial" w:cs="Arial" w:eastAsia="Arial" w:hAnsi="Arial"/>
                <w:sz w:val="18"/>
                <w:szCs w:val="18"/>
                <w:color w:val="0000EE"/>
                <w:w w:val="95"/>
              </w:rPr>
              <w:t>ITEM 13.</w:t>
            </w:r>
          </w:p>
        </w:tc>
        <w:tc>
          <w:tcPr>
            <w:tcW w:w="440" w:type="dxa"/>
            <w:vAlign w:val="bottom"/>
            <w:gridSpan w:val="3"/>
          </w:tcPr>
          <w:p>
            <w:pPr>
              <w:spacing w:after="0"/>
              <w:rPr>
                <w:sz w:val="17"/>
                <w:szCs w:val="17"/>
                <w:color w:val="auto"/>
              </w:rPr>
            </w:pPr>
          </w:p>
        </w:tc>
        <w:tc>
          <w:tcPr>
            <w:tcW w:w="544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32">
              <w:r>
                <w:rPr>
                  <w:rFonts w:ascii="Arial" w:cs="Arial" w:eastAsia="Arial" w:hAnsi="Arial"/>
                  <w:sz w:val="18"/>
                  <w:szCs w:val="18"/>
                  <w:color w:val="0000EE"/>
                  <w:w w:val="89"/>
                </w:rPr>
                <w:t>Certain Relationships and Related Transactions, and Director Independence</w:t>
              </w:r>
            </w:hyperlink>
          </w:p>
        </w:tc>
        <w:tc>
          <w:tcPr>
            <w:tcW w:w="3520" w:type="dxa"/>
            <w:vAlign w:val="bottom"/>
            <w:gridSpan w:val="2"/>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720" w:type="dxa"/>
            <w:vAlign w:val="bottom"/>
            <w:tcBorders>
              <w:bottom w:val="single" w:sz="8" w:color="0000EE"/>
            </w:tcBorders>
          </w:tcPr>
          <w:p>
            <w:pPr>
              <w:spacing w:after="0" w:line="196" w:lineRule="exact"/>
              <w:rPr>
                <w:sz w:val="20"/>
                <w:szCs w:val="20"/>
                <w:color w:val="auto"/>
              </w:rPr>
            </w:pPr>
            <w:r>
              <w:rPr>
                <w:rFonts w:ascii="Arial" w:cs="Arial" w:eastAsia="Arial" w:hAnsi="Arial"/>
                <w:sz w:val="18"/>
                <w:szCs w:val="18"/>
                <w:color w:val="0000EE"/>
                <w:w w:val="95"/>
              </w:rPr>
              <w:t>ITEM 14.</w:t>
            </w:r>
          </w:p>
        </w:tc>
        <w:tc>
          <w:tcPr>
            <w:tcW w:w="440" w:type="dxa"/>
            <w:vAlign w:val="bottom"/>
            <w:gridSpan w:val="3"/>
          </w:tcPr>
          <w:p>
            <w:pPr>
              <w:spacing w:after="0"/>
              <w:rPr>
                <w:sz w:val="17"/>
                <w:szCs w:val="17"/>
                <w:color w:val="auto"/>
              </w:rPr>
            </w:pPr>
          </w:p>
        </w:tc>
        <w:tc>
          <w:tcPr>
            <w:tcW w:w="2840" w:type="dxa"/>
            <w:vAlign w:val="bottom"/>
            <w:tcBorders>
              <w:bottom w:val="single" w:sz="8" w:color="0000EE"/>
            </w:tcBorders>
            <w:gridSpan w:val="2"/>
          </w:tcPr>
          <w:p>
            <w:pPr>
              <w:spacing w:after="0" w:line="196" w:lineRule="exact"/>
              <w:rPr>
                <w:rFonts w:ascii="Arial" w:cs="Arial" w:eastAsia="Arial" w:hAnsi="Arial"/>
                <w:sz w:val="18"/>
                <w:szCs w:val="18"/>
                <w:color w:val="0000EE"/>
                <w:w w:val="88"/>
              </w:rPr>
            </w:pPr>
            <w:hyperlink w:anchor="page33">
              <w:r>
                <w:rPr>
                  <w:rFonts w:ascii="Arial" w:cs="Arial" w:eastAsia="Arial" w:hAnsi="Arial"/>
                  <w:sz w:val="18"/>
                  <w:szCs w:val="18"/>
                  <w:color w:val="0000EE"/>
                  <w:w w:val="88"/>
                </w:rPr>
                <w:t>Principal Accountant Fees and Services</w:t>
              </w:r>
            </w:hyperlink>
          </w:p>
        </w:tc>
        <w:tc>
          <w:tcPr>
            <w:tcW w:w="6120" w:type="dxa"/>
            <w:vAlign w:val="bottom"/>
            <w:gridSpan w:val="5"/>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304"/>
        </w:trPr>
        <w:tc>
          <w:tcPr>
            <w:tcW w:w="74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b w:val="1"/>
                <w:bCs w:val="1"/>
                <w:color w:val="0000EE"/>
              </w:rPr>
              <w:t>PART IV</w:t>
            </w:r>
          </w:p>
        </w:tc>
        <w:tc>
          <w:tcPr>
            <w:tcW w:w="420" w:type="dxa"/>
            <w:vAlign w:val="bottom"/>
            <w:gridSpan w:val="2"/>
          </w:tcPr>
          <w:p>
            <w:pPr>
              <w:spacing w:after="0"/>
              <w:rPr>
                <w:sz w:val="24"/>
                <w:szCs w:val="24"/>
                <w:color w:val="auto"/>
              </w:rPr>
            </w:pPr>
          </w:p>
        </w:tc>
        <w:tc>
          <w:tcPr>
            <w:tcW w:w="17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line="196" w:lineRule="exact"/>
              <w:rPr>
                <w:sz w:val="20"/>
                <w:szCs w:val="20"/>
                <w:color w:val="auto"/>
              </w:rPr>
            </w:pPr>
            <w:r>
              <w:rPr>
                <w:rFonts w:ascii="Arial" w:cs="Arial" w:eastAsia="Arial" w:hAnsi="Arial"/>
                <w:sz w:val="18"/>
                <w:szCs w:val="18"/>
                <w:color w:val="0000EE"/>
                <w:w w:val="95"/>
              </w:rPr>
              <w:t>ITEM 15.</w:t>
            </w:r>
          </w:p>
        </w:tc>
        <w:tc>
          <w:tcPr>
            <w:tcW w:w="440" w:type="dxa"/>
            <w:vAlign w:val="bottom"/>
            <w:gridSpan w:val="3"/>
          </w:tcPr>
          <w:p>
            <w:pPr>
              <w:spacing w:after="0"/>
              <w:rPr>
                <w:sz w:val="17"/>
                <w:szCs w:val="17"/>
                <w:color w:val="auto"/>
              </w:rPr>
            </w:pPr>
          </w:p>
        </w:tc>
        <w:tc>
          <w:tcPr>
            <w:tcW w:w="8960" w:type="dxa"/>
            <w:vAlign w:val="bottom"/>
            <w:gridSpan w:val="7"/>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Exhibits and Financial Statement Schedules</w:t>
              </w:r>
            </w:hyperlink>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72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gridSpan w:val="3"/>
          </w:tcPr>
          <w:p>
            <w:pPr>
              <w:spacing w:after="0" w:line="20" w:lineRule="exact"/>
              <w:rPr>
                <w:sz w:val="1"/>
                <w:szCs w:val="1"/>
                <w:color w:val="auto"/>
              </w:rPr>
            </w:pPr>
          </w:p>
        </w:tc>
        <w:tc>
          <w:tcPr>
            <w:tcW w:w="3140" w:type="dxa"/>
            <w:vAlign w:val="bottom"/>
            <w:gridSpan w:val="3"/>
            <w:shd w:val="clear" w:color="auto" w:fill="0000EE"/>
          </w:tcPr>
          <w:p>
            <w:pPr>
              <w:spacing w:after="0" w:line="20" w:lineRule="exact"/>
              <w:rPr>
                <w:sz w:val="1"/>
                <w:szCs w:val="1"/>
                <w:color w:val="auto"/>
              </w:rPr>
            </w:pPr>
          </w:p>
        </w:tc>
        <w:tc>
          <w:tcPr>
            <w:tcW w:w="5820" w:type="dxa"/>
            <w:vAlign w:val="bottom"/>
            <w:gridSpan w:val="4"/>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120" w:type="dxa"/>
            <w:vAlign w:val="bottom"/>
            <w:gridSpan w:val="11"/>
          </w:tcPr>
          <w:p>
            <w:pPr>
              <w:spacing w:after="0"/>
              <w:rPr>
                <w:rFonts w:ascii="Arial" w:cs="Arial" w:eastAsia="Arial" w:hAnsi="Arial"/>
                <w:sz w:val="18"/>
                <w:szCs w:val="18"/>
                <w:b w:val="1"/>
                <w:bCs w:val="1"/>
                <w:color w:val="0000EE"/>
              </w:rPr>
            </w:pPr>
            <w:hyperlink w:anchor="page34">
              <w:r>
                <w:rPr>
                  <w:rFonts w:ascii="Arial" w:cs="Arial" w:eastAsia="Arial" w:hAnsi="Arial"/>
                  <w:sz w:val="18"/>
                  <w:szCs w:val="18"/>
                  <w:b w:val="1"/>
                  <w:bCs w:val="1"/>
                  <w:color w:val="0000EE"/>
                </w:rPr>
                <w:t>SIGNATURES</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844"/>
        </w:trPr>
        <w:tc>
          <w:tcPr>
            <w:tcW w:w="7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5440" w:type="dxa"/>
            <w:vAlign w:val="bottom"/>
            <w:gridSpan w:val="5"/>
          </w:tcPr>
          <w:p>
            <w:pPr>
              <w:jc w:val="right"/>
              <w:ind w:right="940"/>
              <w:spacing w:after="0"/>
              <w:rPr>
                <w:sz w:val="20"/>
                <w:szCs w:val="20"/>
                <w:color w:val="auto"/>
              </w:rPr>
            </w:pPr>
            <w:r>
              <w:rPr>
                <w:rFonts w:ascii="Arial" w:cs="Arial" w:eastAsia="Arial" w:hAnsi="Arial"/>
                <w:sz w:val="18"/>
                <w:szCs w:val="18"/>
                <w:color w:val="auto"/>
              </w:rPr>
              <w:t>1</w:t>
            </w:r>
          </w:p>
        </w:tc>
        <w:tc>
          <w:tcPr>
            <w:tcW w:w="18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7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III.</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Executive Officers and Corporate Governance</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Set forth below is certain information regarding our current directors, including information furnished by them as to their principal occupations and business experience for the past five years, certain directorships held by each director within the past five years, their respective ages as of May 14, 2021, current committee membership, and the year in which each became a director of our Company:</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5"/>
              </w:rPr>
              <w:t>Nominating and</w:t>
            </w:r>
          </w:p>
        </w:tc>
        <w:tc>
          <w:tcPr>
            <w:tcW w:w="1300" w:type="dxa"/>
            <w:vAlign w:val="bottom"/>
          </w:tcPr>
          <w:p>
            <w:pPr>
              <w:jc w:val="center"/>
              <w:spacing w:after="0"/>
              <w:rPr>
                <w:sz w:val="20"/>
                <w:szCs w:val="20"/>
                <w:color w:val="auto"/>
              </w:rPr>
            </w:pPr>
            <w:r>
              <w:rPr>
                <w:rFonts w:ascii="Arial" w:cs="Arial" w:eastAsia="Arial" w:hAnsi="Arial"/>
                <w:sz w:val="13"/>
                <w:szCs w:val="13"/>
                <w:b w:val="1"/>
                <w:bCs w:val="1"/>
                <w:color w:val="auto"/>
                <w:w w:val="92"/>
              </w:rPr>
              <w:t>Cybersecurity</w:t>
            </w:r>
          </w:p>
        </w:tc>
      </w:tr>
      <w:tr>
        <w:trPr>
          <w:trHeight w:val="149"/>
        </w:trPr>
        <w:tc>
          <w:tcPr>
            <w:tcW w:w="4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6"/>
              </w:rPr>
              <w:t>Director</w:t>
            </w: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6"/>
              </w:rPr>
              <w:t>Corporate</w:t>
            </w:r>
          </w:p>
        </w:tc>
        <w:tc>
          <w:tcPr>
            <w:tcW w:w="1300" w:type="dxa"/>
            <w:vAlign w:val="bottom"/>
          </w:tcPr>
          <w:p>
            <w:pPr>
              <w:jc w:val="center"/>
              <w:spacing w:after="0"/>
              <w:rPr>
                <w:sz w:val="20"/>
                <w:szCs w:val="20"/>
                <w:color w:val="auto"/>
              </w:rPr>
            </w:pPr>
            <w:r>
              <w:rPr>
                <w:rFonts w:ascii="Arial" w:cs="Arial" w:eastAsia="Arial" w:hAnsi="Arial"/>
                <w:sz w:val="13"/>
                <w:szCs w:val="13"/>
                <w:b w:val="1"/>
                <w:bCs w:val="1"/>
                <w:color w:val="auto"/>
                <w:w w:val="94"/>
              </w:rPr>
              <w:t>and</w:t>
            </w:r>
          </w:p>
        </w:tc>
      </w:tr>
      <w:tr>
        <w:trPr>
          <w:trHeight w:val="161"/>
        </w:trPr>
        <w:tc>
          <w:tcPr>
            <w:tcW w:w="4840" w:type="dxa"/>
            <w:vAlign w:val="bottom"/>
            <w:gridSpan w:val="2"/>
          </w:tcPr>
          <w:p>
            <w:pPr>
              <w:spacing w:after="0"/>
              <w:rPr>
                <w:sz w:val="20"/>
                <w:szCs w:val="20"/>
                <w:color w:val="auto"/>
              </w:rPr>
            </w:pPr>
            <w:r>
              <w:rPr>
                <w:rFonts w:ascii="Arial" w:cs="Arial" w:eastAsia="Arial" w:hAnsi="Arial"/>
                <w:sz w:val="13"/>
                <w:szCs w:val="13"/>
                <w:b w:val="1"/>
                <w:bCs w:val="1"/>
                <w:color w:val="auto"/>
              </w:rPr>
              <w:t>Name</w:t>
            </w:r>
          </w:p>
        </w:tc>
        <w:tc>
          <w:tcPr>
            <w:tcW w:w="660" w:type="dxa"/>
            <w:vAlign w:val="bottom"/>
            <w:gridSpan w:val="2"/>
          </w:tcPr>
          <w:p>
            <w:pPr>
              <w:ind w:left="180"/>
              <w:spacing w:after="0"/>
              <w:rPr>
                <w:sz w:val="20"/>
                <w:szCs w:val="20"/>
                <w:color w:val="auto"/>
              </w:rPr>
            </w:pPr>
            <w:r>
              <w:rPr>
                <w:rFonts w:ascii="Arial" w:cs="Arial" w:eastAsia="Arial" w:hAnsi="Arial"/>
                <w:sz w:val="13"/>
                <w:szCs w:val="13"/>
                <w:b w:val="1"/>
                <w:bCs w:val="1"/>
                <w:color w:val="auto"/>
              </w:rPr>
              <w:t>Age</w:t>
            </w:r>
          </w:p>
        </w:tc>
        <w:tc>
          <w:tcPr>
            <w:tcW w:w="8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6"/>
              </w:rPr>
              <w:t>Since</w:t>
            </w:r>
          </w:p>
        </w:tc>
        <w:tc>
          <w:tcPr>
            <w:tcW w:w="10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Audit</w:t>
            </w:r>
          </w:p>
        </w:tc>
        <w:tc>
          <w:tcPr>
            <w:tcW w:w="13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2"/>
              </w:rPr>
              <w:t>Compensation</w:t>
            </w:r>
          </w:p>
        </w:tc>
        <w:tc>
          <w:tcPr>
            <w:tcW w:w="12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3"/>
              </w:rPr>
              <w:t>Governance</w:t>
            </w:r>
          </w:p>
        </w:tc>
        <w:tc>
          <w:tcPr>
            <w:tcW w:w="1300" w:type="dxa"/>
            <w:vAlign w:val="bottom"/>
          </w:tcPr>
          <w:p>
            <w:pPr>
              <w:jc w:val="center"/>
              <w:spacing w:after="0"/>
              <w:rPr>
                <w:sz w:val="20"/>
                <w:szCs w:val="20"/>
                <w:color w:val="auto"/>
              </w:rPr>
            </w:pPr>
            <w:r>
              <w:rPr>
                <w:rFonts w:ascii="Arial" w:cs="Arial" w:eastAsia="Arial" w:hAnsi="Arial"/>
                <w:sz w:val="13"/>
                <w:szCs w:val="13"/>
                <w:b w:val="1"/>
                <w:bCs w:val="1"/>
                <w:color w:val="auto"/>
                <w:w w:val="97"/>
              </w:rPr>
              <w:t>Data Privacy</w:t>
            </w:r>
          </w:p>
        </w:tc>
      </w:tr>
      <w:tr>
        <w:trPr>
          <w:trHeight w:val="223"/>
        </w:trPr>
        <w:tc>
          <w:tcPr>
            <w:tcW w:w="47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Lionel F. Conacher, Chairman of the Board and Director</w:t>
            </w:r>
          </w:p>
        </w:tc>
        <w:tc>
          <w:tcPr>
            <w:tcW w:w="60" w:type="dxa"/>
            <w:vAlign w:val="bottom"/>
            <w:tcBorders>
              <w:top w:val="single" w:sz="8" w:color="CFF0FC"/>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ind w:left="200"/>
              <w:spacing w:after="0"/>
              <w:rPr>
                <w:sz w:val="20"/>
                <w:szCs w:val="20"/>
                <w:color w:val="auto"/>
              </w:rPr>
            </w:pPr>
            <w:r>
              <w:rPr>
                <w:rFonts w:ascii="Arial" w:cs="Arial" w:eastAsia="Arial" w:hAnsi="Arial"/>
                <w:sz w:val="18"/>
                <w:szCs w:val="18"/>
                <w:color w:val="auto"/>
              </w:rPr>
              <w:t>58</w:t>
            </w:r>
          </w:p>
        </w:tc>
        <w:tc>
          <w:tcPr>
            <w:tcW w:w="6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2018</w:t>
            </w:r>
          </w:p>
        </w:tc>
        <w:tc>
          <w:tcPr>
            <w:tcW w:w="8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1"/>
              </w:rPr>
              <w:t>C</w:t>
            </w:r>
          </w:p>
        </w:tc>
        <w:tc>
          <w:tcPr>
            <w:tcW w:w="80" w:type="dxa"/>
            <w:vAlign w:val="bottom"/>
            <w:tcBorders>
              <w:top w:val="single" w:sz="8" w:color="CFF0FC"/>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rPr>
              <w:t>X</w:t>
            </w:r>
          </w:p>
        </w:tc>
        <w:tc>
          <w:tcPr>
            <w:tcW w:w="8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spacing w:after="0"/>
              <w:rPr>
                <w:sz w:val="19"/>
                <w:szCs w:val="19"/>
                <w:color w:val="auto"/>
              </w:rPr>
            </w:pPr>
          </w:p>
        </w:tc>
      </w:tr>
      <w:tr>
        <w:trPr>
          <w:trHeight w:val="215"/>
        </w:trPr>
        <w:tc>
          <w:tcPr>
            <w:tcW w:w="4840" w:type="dxa"/>
            <w:vAlign w:val="bottom"/>
            <w:gridSpan w:val="2"/>
          </w:tcPr>
          <w:p>
            <w:pPr>
              <w:spacing w:after="0"/>
              <w:rPr>
                <w:sz w:val="20"/>
                <w:szCs w:val="20"/>
                <w:color w:val="auto"/>
              </w:rPr>
            </w:pPr>
            <w:r>
              <w:rPr>
                <w:rFonts w:ascii="Arial" w:cs="Arial" w:eastAsia="Arial" w:hAnsi="Arial"/>
                <w:sz w:val="18"/>
                <w:szCs w:val="18"/>
                <w:color w:val="auto"/>
              </w:rPr>
              <w:t>Harvey S. Kanter, President and Chief Executive Officer and</w:t>
            </w: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0"/>
        </w:trPr>
        <w:tc>
          <w:tcPr>
            <w:tcW w:w="48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600" w:type="dxa"/>
            <w:vAlign w:val="bottom"/>
          </w:tcPr>
          <w:p>
            <w:pPr>
              <w:ind w:left="200"/>
              <w:spacing w:after="0"/>
              <w:rPr>
                <w:sz w:val="20"/>
                <w:szCs w:val="20"/>
                <w:color w:val="auto"/>
              </w:rPr>
            </w:pPr>
            <w:r>
              <w:rPr>
                <w:rFonts w:ascii="Arial" w:cs="Arial" w:eastAsia="Arial" w:hAnsi="Arial"/>
                <w:sz w:val="18"/>
                <w:szCs w:val="18"/>
                <w:color w:val="auto"/>
              </w:rPr>
              <w:t>59</w:t>
            </w:r>
          </w:p>
        </w:tc>
        <w:tc>
          <w:tcPr>
            <w:tcW w:w="60" w:type="dxa"/>
            <w:vAlign w:val="bottom"/>
          </w:tcPr>
          <w:p>
            <w:pPr>
              <w:spacing w:after="0"/>
              <w:rPr>
                <w:sz w:val="20"/>
                <w:szCs w:val="20"/>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30"/>
        </w:trPr>
        <w:tc>
          <w:tcPr>
            <w:tcW w:w="48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Jack Boyle, Director</w:t>
            </w:r>
          </w:p>
        </w:tc>
        <w:tc>
          <w:tcPr>
            <w:tcW w:w="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53</w:t>
            </w:r>
          </w:p>
        </w:tc>
        <w:tc>
          <w:tcPr>
            <w:tcW w:w="60" w:type="dxa"/>
            <w:vAlign w:val="bottom"/>
            <w:shd w:val="clear" w:color="auto" w:fill="CFF0FC"/>
          </w:tcPr>
          <w:p>
            <w:pPr>
              <w:spacing w:after="0"/>
              <w:rPr>
                <w:sz w:val="19"/>
                <w:szCs w:val="19"/>
                <w:color w:val="auto"/>
              </w:rPr>
            </w:pPr>
          </w:p>
        </w:tc>
        <w:tc>
          <w:tcPr>
            <w:tcW w:w="7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2017</w:t>
            </w:r>
          </w:p>
        </w:tc>
        <w:tc>
          <w:tcPr>
            <w:tcW w:w="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center"/>
              <w:ind w:right="80"/>
              <w:spacing w:after="0"/>
              <w:rPr>
                <w:sz w:val="20"/>
                <w:szCs w:val="20"/>
                <w:color w:val="auto"/>
              </w:rPr>
            </w:pPr>
            <w:r>
              <w:rPr>
                <w:rFonts w:ascii="Arial" w:cs="Arial" w:eastAsia="Arial" w:hAnsi="Arial"/>
                <w:sz w:val="18"/>
                <w:szCs w:val="18"/>
                <w:color w:val="auto"/>
              </w:rPr>
              <w:t>X</w:t>
            </w:r>
          </w:p>
        </w:tc>
        <w:tc>
          <w:tcPr>
            <w:tcW w:w="1240" w:type="dxa"/>
            <w:vAlign w:val="bottom"/>
            <w:gridSpan w:val="2"/>
            <w:shd w:val="clear" w:color="auto" w:fill="CFF0FC"/>
          </w:tcPr>
          <w:p>
            <w:pPr>
              <w:jc w:val="center"/>
              <w:ind w:right="80"/>
              <w:spacing w:after="0"/>
              <w:rPr>
                <w:sz w:val="20"/>
                <w:szCs w:val="20"/>
                <w:color w:val="auto"/>
              </w:rPr>
            </w:pPr>
            <w:r>
              <w:rPr>
                <w:rFonts w:ascii="Arial" w:cs="Arial" w:eastAsia="Arial" w:hAnsi="Arial"/>
                <w:sz w:val="18"/>
                <w:szCs w:val="18"/>
                <w:color w:val="auto"/>
                <w:w w:val="99"/>
              </w:rPr>
              <w:t>X</w:t>
            </w:r>
          </w:p>
        </w:tc>
        <w:tc>
          <w:tcPr>
            <w:tcW w:w="13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C</w:t>
            </w:r>
          </w:p>
        </w:tc>
      </w:tr>
      <w:tr>
        <w:trPr>
          <w:trHeight w:val="229"/>
        </w:trPr>
        <w:tc>
          <w:tcPr>
            <w:tcW w:w="4840" w:type="dxa"/>
            <w:vAlign w:val="bottom"/>
            <w:gridSpan w:val="2"/>
          </w:tcPr>
          <w:p>
            <w:pPr>
              <w:spacing w:after="0"/>
              <w:rPr>
                <w:sz w:val="20"/>
                <w:szCs w:val="20"/>
                <w:color w:val="auto"/>
              </w:rPr>
            </w:pPr>
            <w:r>
              <w:rPr>
                <w:rFonts w:ascii="Arial" w:cs="Arial" w:eastAsia="Arial" w:hAnsi="Arial"/>
                <w:sz w:val="18"/>
                <w:szCs w:val="18"/>
                <w:color w:val="auto"/>
              </w:rPr>
              <w:t>Willem Mesdag, Director</w:t>
            </w:r>
          </w:p>
        </w:tc>
        <w:tc>
          <w:tcPr>
            <w:tcW w:w="600" w:type="dxa"/>
            <w:vAlign w:val="bottom"/>
          </w:tcPr>
          <w:p>
            <w:pPr>
              <w:ind w:left="200"/>
              <w:spacing w:after="0"/>
              <w:rPr>
                <w:sz w:val="20"/>
                <w:szCs w:val="20"/>
                <w:color w:val="auto"/>
              </w:rPr>
            </w:pPr>
            <w:r>
              <w:rPr>
                <w:rFonts w:ascii="Arial" w:cs="Arial" w:eastAsia="Arial" w:hAnsi="Arial"/>
                <w:sz w:val="18"/>
                <w:szCs w:val="18"/>
                <w:color w:val="auto"/>
              </w:rPr>
              <w:t>67</w:t>
            </w:r>
          </w:p>
        </w:tc>
        <w:tc>
          <w:tcPr>
            <w:tcW w:w="60" w:type="dxa"/>
            <w:vAlign w:val="bottom"/>
          </w:tcPr>
          <w:p>
            <w:pPr>
              <w:spacing w:after="0"/>
              <w:rPr>
                <w:sz w:val="19"/>
                <w:szCs w:val="19"/>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9"/>
              </w:rPr>
              <w:t>2014</w:t>
            </w:r>
          </w:p>
        </w:tc>
        <w:tc>
          <w:tcPr>
            <w:tcW w:w="80" w:type="dxa"/>
            <w:vAlign w:val="bottom"/>
          </w:tcPr>
          <w:p>
            <w:pPr>
              <w:spacing w:after="0"/>
              <w:rPr>
                <w:sz w:val="19"/>
                <w:szCs w:val="19"/>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color w:val="auto"/>
              </w:rPr>
              <w:t>X</w:t>
            </w:r>
          </w:p>
        </w:tc>
        <w:tc>
          <w:tcPr>
            <w:tcW w:w="138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C</w:t>
            </w: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48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Mitchell S. Presser, Director</w:t>
            </w:r>
          </w:p>
        </w:tc>
        <w:tc>
          <w:tcPr>
            <w:tcW w:w="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56</w:t>
            </w:r>
          </w:p>
        </w:tc>
        <w:tc>
          <w:tcPr>
            <w:tcW w:w="60" w:type="dxa"/>
            <w:vAlign w:val="bottom"/>
            <w:shd w:val="clear" w:color="auto" w:fill="CFF0FC"/>
          </w:tcPr>
          <w:p>
            <w:pPr>
              <w:spacing w:after="0"/>
              <w:rPr>
                <w:sz w:val="19"/>
                <w:szCs w:val="19"/>
                <w:color w:val="auto"/>
              </w:rPr>
            </w:pPr>
          </w:p>
        </w:tc>
        <w:tc>
          <w:tcPr>
            <w:tcW w:w="7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2007</w:t>
            </w:r>
          </w:p>
        </w:tc>
        <w:tc>
          <w:tcPr>
            <w:tcW w:w="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center"/>
              <w:ind w:right="100"/>
              <w:spacing w:after="0"/>
              <w:rPr>
                <w:sz w:val="20"/>
                <w:szCs w:val="20"/>
                <w:color w:val="auto"/>
              </w:rPr>
            </w:pPr>
            <w:r>
              <w:rPr>
                <w:rFonts w:ascii="Arial" w:cs="Arial" w:eastAsia="Arial" w:hAnsi="Arial"/>
                <w:sz w:val="18"/>
                <w:szCs w:val="18"/>
                <w:color w:val="auto"/>
              </w:rPr>
              <w:t>X</w:t>
            </w:r>
          </w:p>
        </w:tc>
        <w:tc>
          <w:tcPr>
            <w:tcW w:w="1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center"/>
              <w:ind w:right="80"/>
              <w:spacing w:after="0"/>
              <w:rPr>
                <w:sz w:val="20"/>
                <w:szCs w:val="20"/>
                <w:color w:val="auto"/>
              </w:rPr>
            </w:pPr>
            <w:r>
              <w:rPr>
                <w:rFonts w:ascii="Arial" w:cs="Arial" w:eastAsia="Arial" w:hAnsi="Arial"/>
                <w:sz w:val="18"/>
                <w:szCs w:val="18"/>
                <w:color w:val="auto"/>
                <w:w w:val="91"/>
              </w:rPr>
              <w:t>C</w:t>
            </w:r>
          </w:p>
        </w:tc>
        <w:tc>
          <w:tcPr>
            <w:tcW w:w="1300" w:type="dxa"/>
            <w:vAlign w:val="bottom"/>
            <w:shd w:val="clear" w:color="auto" w:fill="CFF0FC"/>
          </w:tcPr>
          <w:p>
            <w:pPr>
              <w:spacing w:after="0"/>
              <w:rPr>
                <w:sz w:val="19"/>
                <w:szCs w:val="19"/>
                <w:color w:val="auto"/>
              </w:rPr>
            </w:pPr>
          </w:p>
        </w:tc>
      </w:tr>
      <w:tr>
        <w:trPr>
          <w:trHeight w:val="229"/>
        </w:trPr>
        <w:tc>
          <w:tcPr>
            <w:tcW w:w="4840" w:type="dxa"/>
            <w:vAlign w:val="bottom"/>
            <w:gridSpan w:val="2"/>
          </w:tcPr>
          <w:p>
            <w:pPr>
              <w:spacing w:after="0"/>
              <w:rPr>
                <w:sz w:val="20"/>
                <w:szCs w:val="20"/>
                <w:color w:val="auto"/>
              </w:rPr>
            </w:pPr>
            <w:r>
              <w:rPr>
                <w:rFonts w:ascii="Arial" w:cs="Arial" w:eastAsia="Arial" w:hAnsi="Arial"/>
                <w:sz w:val="18"/>
                <w:szCs w:val="18"/>
                <w:color w:val="auto"/>
              </w:rPr>
              <w:t>Ivy Ross, Director</w:t>
            </w:r>
          </w:p>
        </w:tc>
        <w:tc>
          <w:tcPr>
            <w:tcW w:w="600" w:type="dxa"/>
            <w:vAlign w:val="bottom"/>
          </w:tcPr>
          <w:p>
            <w:pPr>
              <w:ind w:left="200"/>
              <w:spacing w:after="0"/>
              <w:rPr>
                <w:sz w:val="20"/>
                <w:szCs w:val="20"/>
                <w:color w:val="auto"/>
              </w:rPr>
            </w:pPr>
            <w:r>
              <w:rPr>
                <w:rFonts w:ascii="Arial" w:cs="Arial" w:eastAsia="Arial" w:hAnsi="Arial"/>
                <w:sz w:val="18"/>
                <w:szCs w:val="18"/>
                <w:color w:val="auto"/>
              </w:rPr>
              <w:t>65</w:t>
            </w:r>
          </w:p>
        </w:tc>
        <w:tc>
          <w:tcPr>
            <w:tcW w:w="60" w:type="dxa"/>
            <w:vAlign w:val="bottom"/>
          </w:tcPr>
          <w:p>
            <w:pPr>
              <w:spacing w:after="0"/>
              <w:rPr>
                <w:sz w:val="19"/>
                <w:szCs w:val="19"/>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9"/>
              </w:rPr>
              <w:t>2013</w:t>
            </w: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X</w:t>
            </w:r>
          </w:p>
        </w:tc>
        <w:tc>
          <w:tcPr>
            <w:tcW w:w="1300" w:type="dxa"/>
            <w:vAlign w:val="bottom"/>
          </w:tcPr>
          <w:p>
            <w:pPr>
              <w:jc w:val="center"/>
              <w:spacing w:after="0"/>
              <w:rPr>
                <w:sz w:val="20"/>
                <w:szCs w:val="20"/>
                <w:color w:val="auto"/>
              </w:rPr>
            </w:pPr>
            <w:r>
              <w:rPr>
                <w:rFonts w:ascii="Arial" w:cs="Arial" w:eastAsia="Arial" w:hAnsi="Arial"/>
                <w:sz w:val="18"/>
                <w:szCs w:val="18"/>
                <w:color w:val="auto"/>
                <w:w w:val="99"/>
              </w:rPr>
              <w:t>X</w:t>
            </w:r>
          </w:p>
        </w:tc>
      </w:tr>
      <w:tr>
        <w:trPr>
          <w:trHeight w:val="229"/>
        </w:trPr>
        <w:tc>
          <w:tcPr>
            <w:tcW w:w="48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Elaine Rubin, Director (1)</w:t>
            </w:r>
          </w:p>
        </w:tc>
        <w:tc>
          <w:tcPr>
            <w:tcW w:w="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58</w:t>
            </w:r>
          </w:p>
        </w:tc>
        <w:tc>
          <w:tcPr>
            <w:tcW w:w="60" w:type="dxa"/>
            <w:vAlign w:val="bottom"/>
            <w:shd w:val="clear" w:color="auto" w:fill="CFF0FC"/>
          </w:tcPr>
          <w:p>
            <w:pPr>
              <w:spacing w:after="0"/>
              <w:rPr>
                <w:sz w:val="19"/>
                <w:szCs w:val="19"/>
                <w:color w:val="auto"/>
              </w:rPr>
            </w:pPr>
          </w:p>
        </w:tc>
        <w:tc>
          <w:tcPr>
            <w:tcW w:w="7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2021</w:t>
            </w:r>
          </w:p>
        </w:tc>
        <w:tc>
          <w:tcPr>
            <w:tcW w:w="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X</w:t>
            </w: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C= current member and committee chairperson</w:t>
      </w:r>
    </w:p>
    <w:p>
      <w:pPr>
        <w:spacing w:after="0"/>
        <w:rPr>
          <w:sz w:val="20"/>
          <w:szCs w:val="20"/>
          <w:color w:val="auto"/>
        </w:rPr>
      </w:pPr>
      <w:r>
        <w:rPr>
          <w:rFonts w:ascii="Arial" w:cs="Arial" w:eastAsia="Arial" w:hAnsi="Arial"/>
          <w:sz w:val="14"/>
          <w:szCs w:val="14"/>
          <w:color w:val="auto"/>
        </w:rPr>
        <w:t>X= current member of the committee</w:t>
      </w:r>
    </w:p>
    <w:p>
      <w:pPr>
        <w:spacing w:after="0" w:line="128" w:lineRule="exact"/>
        <w:rPr>
          <w:sz w:val="20"/>
          <w:szCs w:val="20"/>
          <w:color w:val="auto"/>
        </w:rPr>
      </w:pPr>
    </w:p>
    <w:p>
      <w:pPr>
        <w:ind w:left="740" w:right="100" w:hanging="368"/>
        <w:spacing w:after="0" w:line="263"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On April 14, 2021, the Board of Directors expanded the size of the Board to seven members and appointed Ms. Rubin as a director. At the same time, the Cybersecurity and Data Privacy Committee was expanded to three members, and Ms. Rubin was appointed as a member of that committee.</w:t>
      </w:r>
    </w:p>
    <w:p>
      <w:pPr>
        <w:spacing w:after="0" w:line="184"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i w:val="1"/>
          <w:iCs w:val="1"/>
          <w:color w:val="auto"/>
        </w:rPr>
        <w:t xml:space="preserve">Lionel F. Conacher </w:t>
      </w:r>
      <w:r>
        <w:rPr>
          <w:rFonts w:ascii="Arial" w:cs="Arial" w:eastAsia="Arial" w:hAnsi="Arial"/>
          <w:sz w:val="17"/>
          <w:szCs w:val="17"/>
          <w:color w:val="auto"/>
        </w:rPr>
        <w:t>has been a director since June 2018 and became Chairman of the Board on August 12, 2020. Mr. Conacher was a managing partner of</w:t>
      </w:r>
      <w:r>
        <w:rPr>
          <w:rFonts w:ascii="Arial" w:cs="Arial" w:eastAsia="Arial" w:hAnsi="Arial"/>
          <w:sz w:val="17"/>
          <w:szCs w:val="17"/>
          <w:i w:val="1"/>
          <w:iCs w:val="1"/>
          <w:color w:val="auto"/>
        </w:rPr>
        <w:t xml:space="preserve"> </w:t>
      </w:r>
      <w:r>
        <w:rPr>
          <w:rFonts w:ascii="Arial" w:cs="Arial" w:eastAsia="Arial" w:hAnsi="Arial"/>
          <w:sz w:val="17"/>
          <w:szCs w:val="17"/>
          <w:color w:val="auto"/>
        </w:rPr>
        <w:t>Next Ventures, GP from August 2018 until February 2021. From January 2011 to June 2018, Mr. Conacher was a senior advisor for Altamont Capital Partners LLC (“ACP”), a private equity firm. Prior to joining ACP, from April 2008 until July 2010, Mr. Conacher was the president and chief operating officer of Thomas Weisel Partners, an investment bank. Additionally, Mr. Conacher served as the chairman of Wunderlich Securities, an investee company of ACP, from December 2013 until July 2017. Mr. Conacher previously served as a member of the board of directors for AmpHP Inc., a venture-backed human performance company. He formerly served as a member of the board of directors of Mervin Manufacturing, a leading designer and manufacturer of snow boards and other board sports equipment, and PowerDot, Inc., a consumer electronics company that markets a muscle recovery and performance tool. Mr. Conacher brings extensive financial and operational experience to the Board.</w:t>
      </w:r>
    </w:p>
    <w:p>
      <w:pPr>
        <w:spacing w:after="0" w:line="178"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i w:val="1"/>
          <w:iCs w:val="1"/>
          <w:color w:val="auto"/>
        </w:rPr>
        <w:t xml:space="preserve">Harvey S. Kanter </w:t>
      </w:r>
      <w:r>
        <w:rPr>
          <w:rFonts w:ascii="Arial" w:cs="Arial" w:eastAsia="Arial" w:hAnsi="Arial"/>
          <w:sz w:val="17"/>
          <w:szCs w:val="17"/>
          <w:color w:val="auto"/>
        </w:rPr>
        <w:t>is the President, Chief Executive Officer and a director of the Company. Mr. Kanter joined the Company in February 2019 in a transition</w:t>
      </w:r>
      <w:r>
        <w:rPr>
          <w:rFonts w:ascii="Arial" w:cs="Arial" w:eastAsia="Arial" w:hAnsi="Arial"/>
          <w:sz w:val="17"/>
          <w:szCs w:val="17"/>
          <w:i w:val="1"/>
          <w:iCs w:val="1"/>
          <w:color w:val="auto"/>
        </w:rPr>
        <w:t xml:space="preserve"> </w:t>
      </w:r>
      <w:r>
        <w:rPr>
          <w:rFonts w:ascii="Arial" w:cs="Arial" w:eastAsia="Arial" w:hAnsi="Arial"/>
          <w:sz w:val="17"/>
          <w:szCs w:val="17"/>
          <w:color w:val="auto"/>
        </w:rPr>
        <w:t>role as Advisor to the Acting CEO and assumed the role of President and Chief Executive Officer and a director of the Company in April 2019. Mr. Kanter has over 30 years of business experience, with an extensive background in the retail industry having served from March 2012 until June 2017 as the president and chief executive officer of Blue Nile, Inc., a leading online retailer of high-quality diamonds and fine jewelry and formerly a publicly-traded company. From March 2012 until February 2020, Mr. Kanter also served as a member of the board of directors of Blue Nile, Inc. and, from January 2014 until February 2020 as its chairman. From January 2009 to March 2012, Mr. Kanter was the chief executive officer and president of Moosejaw Mountaineering and Backcountry Travel, Inc., a leading multi-channel retailer of premium outdoor apparel and gear. From April 2003 to June 2008, Mr. Kanter served in various executive positions at Michaels Stores, Inc. Mr. Kanter currently serves as a non-executive co-chair, Seattle University Center for Leadership Formation, Albers School of Business and Economics. Mr. Kanter served as a director and a member of the compensation committee of Potbelly Corporation, a publicly-traded company, from August 2015 until May 2019. He was a former brand ambassador for the Fred Hutch Cancer Research Institute, and previously served as an advisory member to the Seattle University Executive MBA Program. Mr. Kanter brings an extensive knowledge of omni-channel retailing, with strong strategic and operational expertise.</w:t>
      </w:r>
    </w:p>
    <w:p>
      <w:pPr>
        <w:spacing w:after="0" w:line="17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 xml:space="preserve">Jack Boyle </w:t>
      </w:r>
      <w:r>
        <w:rPr>
          <w:rFonts w:ascii="Arial" w:cs="Arial" w:eastAsia="Arial" w:hAnsi="Arial"/>
          <w:sz w:val="18"/>
          <w:szCs w:val="18"/>
          <w:color w:val="auto"/>
        </w:rPr>
        <w:t>has been a director since August 2017. Since February 2019, Mr. Boyle has been the global co-president of direct to consumer/omni-channel</w:t>
      </w:r>
      <w:r>
        <w:rPr>
          <w:rFonts w:ascii="Arial" w:cs="Arial" w:eastAsia="Arial" w:hAnsi="Arial"/>
          <w:sz w:val="18"/>
          <w:szCs w:val="18"/>
          <w:i w:val="1"/>
          <w:iCs w:val="1"/>
          <w:color w:val="auto"/>
        </w:rPr>
        <w:t xml:space="preserve"> </w:t>
      </w:r>
      <w:r>
        <w:rPr>
          <w:rFonts w:ascii="Arial" w:cs="Arial" w:eastAsia="Arial" w:hAnsi="Arial"/>
          <w:sz w:val="18"/>
          <w:szCs w:val="18"/>
          <w:color w:val="auto"/>
        </w:rPr>
        <w:t>for Fanatics, Inc., a market leader for officially licensed sports merchandise. Mr. Boyle originally joined Fanatics as president of merchandising in June 2012, and from December 2017 to February 2019, served as co-president of North America direct to consumer/omni-channel. From February 2005 to June 2012, Mr. Boyle was the executive vice president, general merchandising manager of women’s apparel, intimate, cosmetics and accessories for Kohl’s Corporation. From October 2003 to February 2005, he served as senior vice president, divisional merchandise manager of women’s apparel for Kohl’s Corporation, vice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 w:name="page4"/>
    <w:bookmarkEnd w:id="3"/>
    <w:p>
      <w:pPr>
        <w:ind w:right="100"/>
        <w:spacing w:after="0" w:line="311" w:lineRule="auto"/>
        <w:rPr>
          <w:sz w:val="20"/>
          <w:szCs w:val="20"/>
          <w:color w:val="auto"/>
        </w:rPr>
      </w:pPr>
      <w:r>
        <w:rPr>
          <w:rFonts w:ascii="Arial" w:cs="Arial" w:eastAsia="Arial" w:hAnsi="Arial"/>
          <w:sz w:val="16"/>
          <w:szCs w:val="16"/>
          <w:color w:val="auto"/>
        </w:rPr>
        <w:t>president of junior sportswear from July 2000 to October 2003 and vice president of planning/allocation for women's apparel from December 1999 to July 2000. From June 1990 to December 1999, Mr. Boyle held various merchandise positions, including divisional merchandise manager of women’s at May Company. Mr. Boyle brings to the Board extensive experience in merchandising, brand management and omni-channel leadership.</w:t>
      </w:r>
    </w:p>
    <w:p>
      <w:pPr>
        <w:spacing w:after="0" w:line="14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i w:val="1"/>
          <w:iCs w:val="1"/>
          <w:color w:val="auto"/>
        </w:rPr>
        <w:t xml:space="preserve">Willem Mesdag </w:t>
      </w:r>
      <w:r>
        <w:rPr>
          <w:rFonts w:ascii="Arial" w:cs="Arial" w:eastAsia="Arial" w:hAnsi="Arial"/>
          <w:sz w:val="16"/>
          <w:szCs w:val="16"/>
          <w:color w:val="auto"/>
        </w:rPr>
        <w:t>has been a director since January 2014. Since January 2005, Mr. Mesdag has been the managing partner of Red Mountain Capital Partners</w:t>
      </w:r>
      <w:r>
        <w:rPr>
          <w:rFonts w:ascii="Arial" w:cs="Arial" w:eastAsia="Arial" w:hAnsi="Arial"/>
          <w:sz w:val="16"/>
          <w:szCs w:val="16"/>
          <w:i w:val="1"/>
          <w:iCs w:val="1"/>
          <w:color w:val="auto"/>
        </w:rPr>
        <w:t xml:space="preserve"> </w:t>
      </w:r>
      <w:r>
        <w:rPr>
          <w:rFonts w:ascii="Arial" w:cs="Arial" w:eastAsia="Arial" w:hAnsi="Arial"/>
          <w:sz w:val="16"/>
          <w:szCs w:val="16"/>
          <w:color w:val="auto"/>
        </w:rPr>
        <w:t>LLC, an investment management firm. Prior to founding Red Mountain in 2005, Mr. Mesdag was a partner and managing director of Goldman Sachs &amp; Co., which he joined in 1981. Prior to Goldman Sachs, he was a securities lawyer at Ballard, Spahr, Andrews &amp; Ingersoll, which he joined in 1978. He also serves on the board of Heidrick &amp; Struggles International, Inc., a publicly-traded company. He previously served on the boards of 3i Group plc, Cost Plus, Inc., Encore Capital Group, Inc., Nature’s Sunshine Products, Inc. and Yuma Energy, Inc., all of which are or were publicly-traded companies. Having had an extensive career in international investment banking and finance and having served on domestic and international public-company boards, Mr. Mesdag brings to the Board significant knowledge and experience related to business and financial issues and corporate governance.</w:t>
      </w:r>
    </w:p>
    <w:p>
      <w:pPr>
        <w:spacing w:after="0" w:line="166" w:lineRule="exact"/>
        <w:rPr>
          <w:sz w:val="20"/>
          <w:szCs w:val="20"/>
          <w:color w:val="auto"/>
        </w:rPr>
      </w:pPr>
    </w:p>
    <w:p>
      <w:pPr>
        <w:spacing w:after="0" w:line="293" w:lineRule="auto"/>
        <w:rPr>
          <w:sz w:val="20"/>
          <w:szCs w:val="20"/>
          <w:color w:val="auto"/>
        </w:rPr>
      </w:pPr>
      <w:r>
        <w:rPr>
          <w:rFonts w:ascii="Arial" w:cs="Arial" w:eastAsia="Arial" w:hAnsi="Arial"/>
          <w:sz w:val="16"/>
          <w:szCs w:val="16"/>
          <w:i w:val="1"/>
          <w:iCs w:val="1"/>
          <w:color w:val="auto"/>
        </w:rPr>
        <w:t xml:space="preserve">Mitchell S. Presser </w:t>
      </w:r>
      <w:r>
        <w:rPr>
          <w:rFonts w:ascii="Arial" w:cs="Arial" w:eastAsia="Arial" w:hAnsi="Arial"/>
          <w:sz w:val="16"/>
          <w:szCs w:val="16"/>
          <w:color w:val="auto"/>
        </w:rPr>
        <w:t>has been a director since May 2007. Since April 2020, Mr. Presser has been a partner focusing on mergers and acquisitions and private</w:t>
      </w:r>
      <w:r>
        <w:rPr>
          <w:rFonts w:ascii="Arial" w:cs="Arial" w:eastAsia="Arial" w:hAnsi="Arial"/>
          <w:sz w:val="16"/>
          <w:szCs w:val="16"/>
          <w:i w:val="1"/>
          <w:iCs w:val="1"/>
          <w:color w:val="auto"/>
        </w:rPr>
        <w:t xml:space="preserve"> </w:t>
      </w:r>
      <w:r>
        <w:rPr>
          <w:rFonts w:ascii="Arial" w:cs="Arial" w:eastAsia="Arial" w:hAnsi="Arial"/>
          <w:sz w:val="16"/>
          <w:szCs w:val="16"/>
          <w:color w:val="auto"/>
        </w:rPr>
        <w:t>equity investments at the law firm Morrison &amp; Foerster and also serves as co-chair of the firm’s Global Corporate Department. From July 2014 until April 2020, Mr. Presser was a partner and the head of U.S. Global Transactions at Freshfields Bruckhaus Deringer LLP. From January 2014 until July 2014, Mr. Presser was a senior advisor to Paine Schwartz Partners (formerly Paine &amp; Partners, LLC), a private equity firm. From November 2006 to December 2013, Mr. Presser was a founding partner of Paine &amp; Partners, LLC. Prior to that, Mr. Presser was a partner with the law firm of Wachtell, Lipton, Rosen &amp; Katz, specializing in mergers and acquisitions. Mr. Presser’s extensive experience in private equity and strategic planning provides valuable insight to the Board.</w:t>
      </w:r>
    </w:p>
    <w:p>
      <w:pPr>
        <w:spacing w:after="0" w:line="164" w:lineRule="exact"/>
        <w:rPr>
          <w:sz w:val="20"/>
          <w:szCs w:val="20"/>
          <w:color w:val="auto"/>
        </w:rPr>
      </w:pPr>
    </w:p>
    <w:p>
      <w:pPr>
        <w:spacing w:after="0" w:line="254" w:lineRule="auto"/>
        <w:rPr>
          <w:sz w:val="20"/>
          <w:szCs w:val="20"/>
          <w:color w:val="auto"/>
        </w:rPr>
      </w:pPr>
      <w:r>
        <w:rPr>
          <w:rFonts w:ascii="Arial" w:cs="Arial" w:eastAsia="Arial" w:hAnsi="Arial"/>
          <w:sz w:val="18"/>
          <w:szCs w:val="18"/>
          <w:i w:val="1"/>
          <w:iCs w:val="1"/>
          <w:color w:val="auto"/>
        </w:rPr>
        <w:t xml:space="preserve">Ivy Ross </w:t>
      </w:r>
      <w:r>
        <w:rPr>
          <w:rFonts w:ascii="Arial" w:cs="Arial" w:eastAsia="Arial" w:hAnsi="Arial"/>
          <w:sz w:val="18"/>
          <w:szCs w:val="18"/>
          <w:color w:val="auto"/>
        </w:rPr>
        <w:t>has been a director since January 2013. In May 2014, Ms. Ross joined Google as head of Glass and is currently a vice president of hardware</w:t>
      </w:r>
      <w:r>
        <w:rPr>
          <w:rFonts w:ascii="Arial" w:cs="Arial" w:eastAsia="Arial" w:hAnsi="Arial"/>
          <w:sz w:val="18"/>
          <w:szCs w:val="18"/>
          <w:i w:val="1"/>
          <w:iCs w:val="1"/>
          <w:color w:val="auto"/>
        </w:rPr>
        <w:t xml:space="preserve"> </w:t>
      </w:r>
      <w:r>
        <w:rPr>
          <w:rFonts w:ascii="Arial" w:cs="Arial" w:eastAsia="Arial" w:hAnsi="Arial"/>
          <w:sz w:val="18"/>
          <w:szCs w:val="18"/>
          <w:color w:val="auto"/>
        </w:rPr>
        <w:t>design at Google. From July 2011 until April 2014, Ms. Ross was the chief marketing officer of Art.com from where she oversaw the company's marketing, branding, merchandising and user-experience functions. Prior to Art.com, from June 2008 to June 2011, Ms. Ross was EVP of marketing for the Gap brand, and also acted as the creative catalyst for all brands within Gap, Inc. Ms. Ross also has held senior creative and product design positions at Disney Stores North America, Mattel, Calvin Klein, Coach, Liz Claiborne, Swatch Watch and Avon. She also has served on Proctor and Gamble’s design board since its inception. With her industry insight and marketing expertise, Ms. Ross provides a valuable perspective to the Board as we continue to build our DXL brand.</w:t>
      </w:r>
    </w:p>
    <w:p>
      <w:pPr>
        <w:spacing w:after="0" w:line="195"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i w:val="1"/>
          <w:iCs w:val="1"/>
          <w:color w:val="auto"/>
        </w:rPr>
        <w:t xml:space="preserve">Elaine Rubin </w:t>
      </w:r>
      <w:r>
        <w:rPr>
          <w:rFonts w:ascii="Arial" w:cs="Arial" w:eastAsia="Arial" w:hAnsi="Arial"/>
          <w:sz w:val="18"/>
          <w:szCs w:val="18"/>
          <w:color w:val="auto"/>
        </w:rPr>
        <w:t>was appointed a director of the Company in April 2021. Since January 2010, Ms. Rubin has been the founder and president of Digital</w:t>
      </w:r>
      <w:r>
        <w:rPr>
          <w:rFonts w:ascii="Arial" w:cs="Arial" w:eastAsia="Arial" w:hAnsi="Arial"/>
          <w:sz w:val="18"/>
          <w:szCs w:val="18"/>
          <w:i w:val="1"/>
          <w:iCs w:val="1"/>
          <w:color w:val="auto"/>
        </w:rPr>
        <w:t xml:space="preserve"> </w:t>
      </w:r>
      <w:r>
        <w:rPr>
          <w:rFonts w:ascii="Arial" w:cs="Arial" w:eastAsia="Arial" w:hAnsi="Arial"/>
          <w:sz w:val="18"/>
          <w:szCs w:val="18"/>
          <w:color w:val="auto"/>
        </w:rPr>
        <w:t>Prophets Network, LLC, a consulting, advisory and placement firm with a network of digital commerce experts that supports the growth of retail and direct-to-consumer businesses. Since October 2013, she has also served as an advisor to Hint, Inc., which produces fruit-infused water. Prior to that, Ms. Rubin previously held leadership positions at 1800flowers.com, iVillage.com and amazon.com. She previously served on the boards of Smart &amp; Final Stores, Inc. and Blue Nile, Inc., both which were formerly publicly-traded companies. Ms. Rubin co-founded shop.org in February 1996 and served as its elected chair of the board of directors from February 1996 to October 2007 and served on the board of the National Retail Federation (NRF) from 2001 until 2010. Ms. Rubin brings extensive knowledge and experience of digital commerce business and will provide a valuable insight to the board as it continues to grow its direct business.</w:t>
      </w:r>
    </w:p>
    <w:p>
      <w:pPr>
        <w:spacing w:after="0" w:line="19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All directors hold office until the next Annual Meeting of Stockholders and until their respective successors have been duly elected and qualified or until their earlier death, resignation or removal.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Current Non-Director Executive Officers</w:t>
      </w:r>
    </w:p>
    <w:p>
      <w:pPr>
        <w:spacing w:after="0" w:line="11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i w:val="1"/>
          <w:iCs w:val="1"/>
          <w:color w:val="auto"/>
        </w:rPr>
        <w:t>Peter H. Stratton, Jr.</w:t>
      </w:r>
      <w:r>
        <w:rPr>
          <w:rFonts w:ascii="Arial" w:cs="Arial" w:eastAsia="Arial" w:hAnsi="Arial"/>
          <w:sz w:val="18"/>
          <w:szCs w:val="18"/>
          <w:color w:val="auto"/>
        </w:rPr>
        <w:t>, 49, has been our Executive Vice President, Chief Financial Officer and Treasurer since November 2017. Prior to that, Mr. Stratton</w:t>
      </w:r>
      <w:r>
        <w:rPr>
          <w:rFonts w:ascii="Arial" w:cs="Arial" w:eastAsia="Arial" w:hAnsi="Arial"/>
          <w:sz w:val="18"/>
          <w:szCs w:val="18"/>
          <w:i w:val="1"/>
          <w:iCs w:val="1"/>
          <w:color w:val="auto"/>
        </w:rPr>
        <w:t xml:space="preserve"> </w:t>
      </w:r>
      <w:r>
        <w:rPr>
          <w:rFonts w:ascii="Arial" w:cs="Arial" w:eastAsia="Arial" w:hAnsi="Arial"/>
          <w:sz w:val="18"/>
          <w:szCs w:val="18"/>
          <w:color w:val="auto"/>
        </w:rPr>
        <w:t>served as our Senior Vice President, Chief Financial Officer and Treasurer from June 2014 to November 2017. From August 2009 to June 2014, Mr. Stratton was our Senior Vice President of Finance, Corporate Controller and Chief Accounting Officer. Mr. Stratton joined the Company in June 2009 as Vice President of Finance. Prior to joining the Company, Mr. Stratton served as the senior director of corporate accounting at BearingPoint, Inc. from May 2007 to June 2009. Prior to May 2007, Mr. Stratton held various finance and accounting leadership positions at Legal Sea Foods, Inc., Shaw’s Supermarkets, Inc. and Cintas Corporation.</w:t>
      </w:r>
    </w:p>
    <w:p>
      <w:pPr>
        <w:spacing w:after="0" w:line="19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i w:val="1"/>
          <w:iCs w:val="1"/>
          <w:color w:val="auto"/>
        </w:rPr>
        <w:t xml:space="preserve">Francis C. Chane, </w:t>
      </w:r>
      <w:r>
        <w:rPr>
          <w:rFonts w:ascii="Arial" w:cs="Arial" w:eastAsia="Arial" w:hAnsi="Arial"/>
          <w:sz w:val="18"/>
          <w:szCs w:val="18"/>
          <w:color w:val="auto"/>
        </w:rPr>
        <w:t>58, has been our Senior Vice President of Supply Chain and Customer Fulfillment since June 2011. Mr. Chane joined the Company in</w:t>
      </w:r>
      <w:r>
        <w:rPr>
          <w:rFonts w:ascii="Arial" w:cs="Arial" w:eastAsia="Arial" w:hAnsi="Arial"/>
          <w:sz w:val="18"/>
          <w:szCs w:val="18"/>
          <w:i w:val="1"/>
          <w:iCs w:val="1"/>
          <w:color w:val="auto"/>
        </w:rPr>
        <w:t xml:space="preserve"> </w:t>
      </w:r>
      <w:r>
        <w:rPr>
          <w:rFonts w:ascii="Arial" w:cs="Arial" w:eastAsia="Arial" w:hAnsi="Arial"/>
          <w:sz w:val="18"/>
          <w:szCs w:val="18"/>
          <w:color w:val="auto"/>
        </w:rPr>
        <w:t>June 2008 as our Vice President of Distribution &amp; Logistics. Prior to joining our Company, Mr. Chane was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4" w:name="page5"/>
    <w:bookmarkEnd w:id="4"/>
    <w:p>
      <w:pPr>
        <w:ind w:right="260"/>
        <w:spacing w:after="0" w:line="277" w:lineRule="auto"/>
        <w:rPr>
          <w:sz w:val="20"/>
          <w:szCs w:val="20"/>
          <w:color w:val="auto"/>
        </w:rPr>
      </w:pPr>
      <w:r>
        <w:rPr>
          <w:rFonts w:ascii="Arial" w:cs="Arial" w:eastAsia="Arial" w:hAnsi="Arial"/>
          <w:sz w:val="18"/>
          <w:szCs w:val="18"/>
          <w:color w:val="auto"/>
        </w:rPr>
        <w:t>the vice president operations &amp; facilities for Redcats USA, a division of the French multi-national company PPR, from 1999 to June 2008. Prior to that, Mr. Chane held various leadership positions with WearGuard Corporation, a division of Aramark Corporation.</w:t>
      </w:r>
    </w:p>
    <w:p>
      <w:pPr>
        <w:spacing w:after="0" w:line="170"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i w:val="1"/>
          <w:iCs w:val="1"/>
          <w:color w:val="auto"/>
        </w:rPr>
        <w:t>John F. Cooney</w:t>
      </w:r>
      <w:r>
        <w:rPr>
          <w:rFonts w:ascii="Arial" w:cs="Arial" w:eastAsia="Arial" w:hAnsi="Arial"/>
          <w:sz w:val="17"/>
          <w:szCs w:val="17"/>
          <w:color w:val="auto"/>
        </w:rPr>
        <w:t>, 38, has been our Vice President of Finance and Managing Director, Corporate Controller and Chief Accounting Officer since May 2018</w:t>
      </w:r>
      <w:r>
        <w:rPr>
          <w:rFonts w:ascii="Arial" w:cs="Arial" w:eastAsia="Arial" w:hAnsi="Arial"/>
          <w:sz w:val="17"/>
          <w:szCs w:val="17"/>
          <w:i w:val="1"/>
          <w:iCs w:val="1"/>
          <w:color w:val="auto"/>
        </w:rPr>
        <w:t xml:space="preserve"> </w:t>
      </w:r>
      <w:r>
        <w:rPr>
          <w:rFonts w:ascii="Arial" w:cs="Arial" w:eastAsia="Arial" w:hAnsi="Arial"/>
          <w:sz w:val="17"/>
          <w:szCs w:val="17"/>
          <w:color w:val="auto"/>
        </w:rPr>
        <w:t>and was our Vice President of Finance, Corporate Controller and Chief Accounting Officer since May 2015 and our Vice President of Finance and Corporate Controller since June 2014. From November 2010 until June 2014, Mr. Cooney was our Director of Financial Accounting and Reporting. Prior to joining the Company, Mr. Cooney was an audit manager with PricewaterhouseCoopers LLP, which he joined in August 2004.</w:t>
      </w:r>
    </w:p>
    <w:p>
      <w:pPr>
        <w:spacing w:after="0" w:line="17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Ujjwal Dhoot</w:t>
      </w:r>
      <w:r>
        <w:rPr>
          <w:rFonts w:ascii="Arial" w:cs="Arial" w:eastAsia="Arial" w:hAnsi="Arial"/>
          <w:sz w:val="18"/>
          <w:szCs w:val="18"/>
          <w:color w:val="auto"/>
        </w:rPr>
        <w:t>, 37, joined the Company in December 2019 as our Chief Digital Officer and in August 2020 was promoted to Chief Marketing Officer. Prior</w:t>
      </w:r>
      <w:r>
        <w:rPr>
          <w:rFonts w:ascii="Arial" w:cs="Arial" w:eastAsia="Arial" w:hAnsi="Arial"/>
          <w:sz w:val="18"/>
          <w:szCs w:val="18"/>
          <w:i w:val="1"/>
          <w:iCs w:val="1"/>
          <w:color w:val="auto"/>
        </w:rPr>
        <w:t xml:space="preserve"> </w:t>
      </w:r>
      <w:r>
        <w:rPr>
          <w:rFonts w:ascii="Arial" w:cs="Arial" w:eastAsia="Arial" w:hAnsi="Arial"/>
          <w:sz w:val="18"/>
          <w:szCs w:val="18"/>
          <w:color w:val="auto"/>
        </w:rPr>
        <w:t>to joining our Company, Mr. Dhoot was the chief marketing officer and chief product officer for Health E-Commerce, a hyper growth healthcare e-Commerce company, from January 2018 to December 2019. Prior to that, Mr. Dhoot was the vice president of marketing for Charming Charlie from March 2017 until April 2017 and their vice president of marketing and e-commerce from April 2017 until January 2018. From June 2013 until March 2016, Mr. Dhoot was the chief marketing officer of FSAstore.com. Prior to that, Mr. Dhoot held vice president of marketing positions at Jen Beckman Project, Inc. and PetCareRx, Inc.</w:t>
      </w:r>
    </w:p>
    <w:p>
      <w:pPr>
        <w:spacing w:after="0" w:line="152"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i w:val="1"/>
          <w:iCs w:val="1"/>
          <w:color w:val="auto"/>
        </w:rPr>
        <w:t xml:space="preserve">Anthony J. Gaeta, </w:t>
      </w:r>
      <w:r>
        <w:rPr>
          <w:rFonts w:ascii="Arial" w:cs="Arial" w:eastAsia="Arial" w:hAnsi="Arial"/>
          <w:sz w:val="17"/>
          <w:szCs w:val="17"/>
          <w:color w:val="auto"/>
        </w:rPr>
        <w:t>51, has been our Senior Vice President of Store Sales and Operations since November 2017. Mr. Gaeta joined the Company in April</w:t>
      </w:r>
      <w:r>
        <w:rPr>
          <w:rFonts w:ascii="Arial" w:cs="Arial" w:eastAsia="Arial" w:hAnsi="Arial"/>
          <w:sz w:val="17"/>
          <w:szCs w:val="17"/>
          <w:i w:val="1"/>
          <w:iCs w:val="1"/>
          <w:color w:val="auto"/>
        </w:rPr>
        <w:t xml:space="preserve"> </w:t>
      </w:r>
      <w:r>
        <w:rPr>
          <w:rFonts w:ascii="Arial" w:cs="Arial" w:eastAsia="Arial" w:hAnsi="Arial"/>
          <w:sz w:val="17"/>
          <w:szCs w:val="17"/>
          <w:color w:val="auto"/>
        </w:rPr>
        <w:t>2010 as a Zone Vice President and was promoted to Vice President of Store Operations and Training in November 2013 before being named to his current position. Prior to joining the Company, Mr. Gaeta was a regional manager for Men’s Wearhouse from September 2007 until April 2011 and, prior to that, a regional vice president for After Hours Formalwear from March 2006 until September 2007</w:t>
      </w:r>
      <w:r>
        <w:rPr>
          <w:rFonts w:ascii="Arial" w:cs="Arial" w:eastAsia="Arial" w:hAnsi="Arial"/>
          <w:sz w:val="15"/>
          <w:szCs w:val="15"/>
          <w:color w:val="auto"/>
        </w:rPr>
        <w:t>.</w:t>
      </w:r>
    </w:p>
    <w:p>
      <w:pPr>
        <w:spacing w:after="0" w:line="158"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i w:val="1"/>
          <w:iCs w:val="1"/>
          <w:color w:val="auto"/>
        </w:rPr>
        <w:t xml:space="preserve">Stacey Jones, </w:t>
      </w:r>
      <w:r>
        <w:rPr>
          <w:rFonts w:ascii="Arial" w:cs="Arial" w:eastAsia="Arial" w:hAnsi="Arial"/>
          <w:sz w:val="17"/>
          <w:szCs w:val="17"/>
          <w:color w:val="auto"/>
        </w:rPr>
        <w:t>50, has been our Chief Human Resources Officer since February 2021. From May 2018 until February 2021, she served as Vice President,</w:t>
      </w:r>
      <w:r>
        <w:rPr>
          <w:rFonts w:ascii="Arial" w:cs="Arial" w:eastAsia="Arial" w:hAnsi="Arial"/>
          <w:sz w:val="17"/>
          <w:szCs w:val="17"/>
          <w:i w:val="1"/>
          <w:iCs w:val="1"/>
          <w:color w:val="auto"/>
        </w:rPr>
        <w:t xml:space="preserve"> </w:t>
      </w:r>
      <w:r>
        <w:rPr>
          <w:rFonts w:ascii="Arial" w:cs="Arial" w:eastAsia="Arial" w:hAnsi="Arial"/>
          <w:sz w:val="17"/>
          <w:szCs w:val="17"/>
          <w:color w:val="auto"/>
        </w:rPr>
        <w:t>Managing Director of Human Resources. Prior to that, from April 2013 to April 2018, Ms. Jones was Vice President, Human Resources Operations. Ms. Jones joined the Company in October 2001 and has held a variety of positions in both Retail Operations and Human Resources. Prior to joining the Company, she held leadership positions with Converse, Inc., Jet Apparel and T.A.C. Group, Inc.</w:t>
      </w:r>
    </w:p>
    <w:p>
      <w:pPr>
        <w:spacing w:after="0" w:line="13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Robert S. Molloy, </w:t>
      </w:r>
      <w:r>
        <w:rPr>
          <w:rFonts w:ascii="Arial" w:cs="Arial" w:eastAsia="Arial" w:hAnsi="Arial"/>
          <w:sz w:val="18"/>
          <w:szCs w:val="18"/>
          <w:color w:val="auto"/>
        </w:rPr>
        <w:t>61, has been our General Counsel since April 2010 and Secretary of the Company since May 2014. From May 2018 until February 2021,</w:t>
      </w:r>
      <w:r>
        <w:rPr>
          <w:rFonts w:ascii="Arial" w:cs="Arial" w:eastAsia="Arial" w:hAnsi="Arial"/>
          <w:sz w:val="18"/>
          <w:szCs w:val="18"/>
          <w:i w:val="1"/>
          <w:iCs w:val="1"/>
          <w:color w:val="auto"/>
        </w:rPr>
        <w:t xml:space="preserve"> </w:t>
      </w:r>
      <w:r>
        <w:rPr>
          <w:rFonts w:ascii="Arial" w:cs="Arial" w:eastAsia="Arial" w:hAnsi="Arial"/>
          <w:sz w:val="18"/>
          <w:szCs w:val="18"/>
          <w:color w:val="auto"/>
        </w:rPr>
        <w:t>Mr. Molloy also served as Chief Administrative Officer. Prior to joining the Company, Mr. Molloy served as the vice president, assistant general counsel at Staples, Inc. from May 1999 to February 2008. Prior to May 1999, Mr. Molloy was a trial attorney.</w:t>
      </w:r>
    </w:p>
    <w:p>
      <w:pPr>
        <w:spacing w:after="0" w:line="143"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i w:val="1"/>
          <w:iCs w:val="1"/>
          <w:color w:val="auto"/>
        </w:rPr>
        <w:t>Allison Surette</w:t>
      </w:r>
      <w:r>
        <w:rPr>
          <w:rFonts w:ascii="Arial" w:cs="Arial" w:eastAsia="Arial" w:hAnsi="Arial"/>
          <w:sz w:val="18"/>
          <w:szCs w:val="18"/>
          <w:color w:val="auto"/>
        </w:rPr>
        <w:t>, 40, has been our Senior Vice President, General Merchandise Manager since May 2018. Prior to that, Ms. Surette was Vice President,</w:t>
      </w:r>
      <w:r>
        <w:rPr>
          <w:rFonts w:ascii="Arial" w:cs="Arial" w:eastAsia="Arial" w:hAnsi="Arial"/>
          <w:sz w:val="18"/>
          <w:szCs w:val="18"/>
          <w:i w:val="1"/>
          <w:iCs w:val="1"/>
          <w:color w:val="auto"/>
        </w:rPr>
        <w:t xml:space="preserve"> </w:t>
      </w:r>
      <w:r>
        <w:rPr>
          <w:rFonts w:ascii="Arial" w:cs="Arial" w:eastAsia="Arial" w:hAnsi="Arial"/>
          <w:sz w:val="18"/>
          <w:szCs w:val="18"/>
          <w:color w:val="auto"/>
        </w:rPr>
        <w:t>Merchandise Manager of Private Label, Active, Young Men’s and Outerwear since September 2016. Ms. Surette joined the Company in May 2006 as an Associate Planner and in June 2008, she transitioned into Merchandising as an Associate Buyer for Branded Collections. From October 2010 to January 2014, she served as a Buyer of Traditional Branded Collections and Buyer of Private Label Sportshirts and Outerwear. From January 2014 to September 2016, she was the Senior Buyer of Private Label Sportshirts and Outerwear. Prior to joining the Company, Ms. Surette was a planner for TJX from June 2003 until May 2006.</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There are no family relationships between any of our directors and executive officers.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Delinquent Section 16(a) Reports</w:t>
      </w:r>
    </w:p>
    <w:p>
      <w:pPr>
        <w:spacing w:after="0" w:line="22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Section 16(a) of the Securities Exchange Act of 1934, as amended (the “Exchange Act”), requires our executive officers and directors, and persons who own more than 10% of a registered class of our equity securities (collectively, the “Reporting Persons”), to file reports of ownership and changes in ownership with the Securities and Exchange Commission (the “SEC”). The Reporting Persons are required to furnish us with copies of all Section 16(a) reports they file. Based solely upon a review of Forms 3, 4 and 5 and amendments thereto furnished to us by our officers and directors during fiscal 2020, we believe that the Reporting Persons complied with all applicable Section 16(a) reporting requirements and that all required reports were filed in a timely manner, except for two Form 4s, which were filed late by the Company on August 21, 2020, for Messrs. Boyle and Conacher, to report incremental director compensation related to their respective committee chairperson appointments and Mr. Conacher’s appointment to Chairman of the Board.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121"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 xml:space="preserve">We have adopted a Code of Ethics for Directors, Officers and Financial Professionals (the “Code of Ethics”). The full text of the Code of Ethics can be found under “Corporate Governance –Charters &amp; Policies” on the Investor Relations page of our corporate web site, which is at </w:t>
      </w:r>
      <w:r>
        <w:rPr>
          <w:rFonts w:ascii="Arial" w:cs="Arial" w:eastAsia="Arial" w:hAnsi="Arial"/>
          <w:sz w:val="18"/>
          <w:szCs w:val="18"/>
          <w:i w:val="1"/>
          <w:iCs w:val="1"/>
          <w:color w:val="auto"/>
        </w:rPr>
        <w:t>https://investor.dxl.com.</w:t>
      </w:r>
      <w:r>
        <w:rPr>
          <w:rFonts w:ascii="Arial" w:cs="Arial" w:eastAsia="Arial" w:hAnsi="Arial"/>
          <w:sz w:val="18"/>
          <w:szCs w:val="18"/>
          <w:color w:val="auto"/>
        </w:rPr>
        <w:t xml:space="preserve"> We intend to satisfy the disclosure requirement under Item 5.05 of Form 8-K regarding</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 w:name="page6"/>
    <w:bookmarkEnd w:id="5"/>
    <w:p>
      <w:pPr>
        <w:ind w:right="60"/>
        <w:spacing w:after="0" w:line="342" w:lineRule="auto"/>
        <w:rPr>
          <w:sz w:val="20"/>
          <w:szCs w:val="20"/>
          <w:color w:val="auto"/>
        </w:rPr>
      </w:pPr>
      <w:r>
        <w:rPr>
          <w:rFonts w:ascii="Arial" w:cs="Arial" w:eastAsia="Arial" w:hAnsi="Arial"/>
          <w:sz w:val="16"/>
          <w:szCs w:val="16"/>
          <w:color w:val="auto"/>
        </w:rPr>
        <w:t>any amendment to, or waiver from, a provision of our Code of Ethics by posting such information on our website. We also have a Code of Ethics for all of our associates. Annually, our directors and associates, including our officers, certify that they have read and are in compliance with our Code of Ethics.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a separately-designated standing Audit Committee established in accordance with section 3(a)(58)(A) of the Exchange Act. The Audit Committee is currently comprised of Messrs. Conacher, Mesdag and Presser. Each of the members of the Audit Committee is independent, as independence for Audit Committee members is defined under the OTCQX rules for U.S. Companies. Messrs. Conacher and Mesdag each qualify as an audit committee financial expert under the rules of the Securities Exchange Commission (the “SEC”).</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Nominations</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No material changes have been made to the procedures by which security holders may recommend nominees to our Board from those that were described in our Definitive Proxy Statement for our 2020 Annual Meeting of Stockholders that was filed with the SEC on July 2, 2020.</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Compensation Discussion and Analysis provides a summary of our executive compensation philosophy and programs, and discusses the compensation paid to our Chief Executive Officer (“CEO”), our Chief Financial Officer (“CFO”) and other executive officers who served in fiscal 2020 (collectively, our “Named Executive Officers”).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Our Named Executive Officers for fiscal 2020 were:</w:t>
      </w:r>
    </w:p>
    <w:p>
      <w:pPr>
        <w:spacing w:after="0" w:line="225" w:lineRule="exact"/>
        <w:rPr>
          <w:sz w:val="20"/>
          <w:szCs w:val="20"/>
          <w:color w:val="auto"/>
        </w:rPr>
      </w:pPr>
    </w:p>
    <w:p>
      <w:pPr>
        <w:ind w:left="1120" w:hanging="370"/>
        <w:spacing w:after="0"/>
        <w:tabs>
          <w:tab w:leader="none" w:pos="112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Harvey S. Kanter, President, CEO and Director</w:t>
      </w:r>
    </w:p>
    <w:p>
      <w:pPr>
        <w:spacing w:after="0" w:line="25" w:lineRule="exact"/>
        <w:rPr>
          <w:rFonts w:ascii="MS PGothic" w:cs="MS PGothic" w:eastAsia="MS PGothic" w:hAnsi="MS PGothic"/>
          <w:sz w:val="18"/>
          <w:szCs w:val="18"/>
          <w:color w:val="auto"/>
        </w:rPr>
      </w:pPr>
    </w:p>
    <w:p>
      <w:pPr>
        <w:ind w:left="1120" w:hanging="370"/>
        <w:spacing w:after="0"/>
        <w:tabs>
          <w:tab w:leader="none" w:pos="112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Peter H. Stratton, Jr., Executive Vice President, CFO and Treasurer</w:t>
      </w:r>
    </w:p>
    <w:p>
      <w:pPr>
        <w:spacing w:after="0" w:line="9" w:lineRule="exact"/>
        <w:rPr>
          <w:rFonts w:ascii="MS PGothic" w:cs="MS PGothic" w:eastAsia="MS PGothic" w:hAnsi="MS PGothic"/>
          <w:sz w:val="18"/>
          <w:szCs w:val="18"/>
          <w:color w:val="auto"/>
        </w:rPr>
      </w:pPr>
    </w:p>
    <w:p>
      <w:pPr>
        <w:ind w:left="1120" w:hanging="370"/>
        <w:spacing w:after="0"/>
        <w:tabs>
          <w:tab w:leader="none" w:pos="112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Ujjwal Dhoot, Chief Marketing Officer</w:t>
      </w:r>
    </w:p>
    <w:p>
      <w:pPr>
        <w:spacing w:after="0" w:line="9" w:lineRule="exact"/>
        <w:rPr>
          <w:rFonts w:ascii="MS PGothic" w:cs="MS PGothic" w:eastAsia="MS PGothic" w:hAnsi="MS PGothic"/>
          <w:sz w:val="18"/>
          <w:szCs w:val="18"/>
          <w:color w:val="auto"/>
        </w:rPr>
      </w:pPr>
    </w:p>
    <w:p>
      <w:pPr>
        <w:ind w:left="1120" w:hanging="370"/>
        <w:spacing w:after="0"/>
        <w:tabs>
          <w:tab w:leader="none" w:pos="112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Robert S. Molloy, General Counsel and Secretary</w:t>
      </w:r>
    </w:p>
    <w:p>
      <w:pPr>
        <w:spacing w:after="0" w:line="9" w:lineRule="exact"/>
        <w:rPr>
          <w:rFonts w:ascii="MS PGothic" w:cs="MS PGothic" w:eastAsia="MS PGothic" w:hAnsi="MS PGothic"/>
          <w:sz w:val="18"/>
          <w:szCs w:val="18"/>
          <w:color w:val="auto"/>
        </w:rPr>
      </w:pPr>
    </w:p>
    <w:p>
      <w:pPr>
        <w:ind w:left="1120" w:hanging="370"/>
        <w:spacing w:after="0"/>
        <w:tabs>
          <w:tab w:leader="none" w:pos="112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Anthony J. Gaeta, Senior Vice President of Store Sales and Operations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Fiscal 2020 Financial and Executive Compensation Highlights</w:t>
      </w:r>
    </w:p>
    <w:p>
      <w:pPr>
        <w:spacing w:after="0" w:line="117"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The COVID-19 pandemic had an adverse impact on our revenues and, as a result, our earnings in fiscal 2020. Our retail stores were closed on March 17, 2020. Even after all of our stores were reopened by June 2020, they were operating at reduced hours and some store locations experienced subsequent temporary closures in response to the pandemic and individual state/county/city mandates. While comparable store sales were down 47.1%, our direct business, specifically our DXL.com website, which experienced a sales increase of 38.6% over the prior year, provided us with the ability to navigate through this unprecedented time.</w:t>
      </w:r>
    </w:p>
    <w:p>
      <w:pPr>
        <w:spacing w:after="0" w:line="188"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In June 2020, the Compensation Committee set metrics for the 2020 Annual Incentive Plan, with performance metrics and potential payout levels derived from the Company’s revised annual operating plan and budget for fiscal 2020 taking into account the adverse impact of the pandemic on the Company’s operations. We believed that achievement of the 2020 Annual Incentive Plan would be an indication that management had successfully navigated through fiscal 2020 and protected the future viability of the Company, and that any compensation earned by our Named Executive Officers in fiscal 2020 would reward management’s effective response to the pandemic.</w:t>
      </w:r>
    </w:p>
    <w:p>
      <w:pPr>
        <w:spacing w:after="0" w:line="8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response to the pandemic, we took decisive steps in fiscal 2020 to pivot our business model and reposition ourselves for recovery with significantly more operating leverage in fiscal 2021. Our primary focus in fiscal 2020 was managing liquidity to weather the impact of the pandemic, which we believe our management team successfully accomplished. While total sales decreased by $155.1 million in fiscal 2020, we maintained sufficient liquidity to support operations while our total debt, net of cash, increased by only $5.6 million over the prior year. Management took several steps to preserve liquidity, which among other things included: (i) canceling approximately $148.0 million, at retail, of on-order inventory early, (ii) eliminating substantially all capital spending, (iii) drawing approximately $30.0 million under the credit facility and renegotiating the credit facility to increase availability, (iv) working with landlords on rent deferments and abatements while stores were closed and renegotiating existing lease terms, (v) negotiating extended payment terms with vendors including entering into a few short-term promissory notes, (vi) implementing cost savings initiatives to reduce expenses, (vii) pursuing all opportunities available under the CARES Act, (viii) furloughing the majority of the organization while the stores were closed, (ix) suspending merit increases, and (x) instituting a temporary reduction in pay for management (director-level and above) and suspending Board compensation for the second quarter. During fiscal 2020, we reduced our field organization by approximately 54% and our corporate workforce by 29%. While difficult, this was necessary to align our cost structure with sales trends given the uncertainty regarding the duration of the pandemic. We believe that our management team successfully navigated through the pandemic and the adverse impact that it has had on our business.</w:t>
      </w:r>
    </w:p>
    <w:p>
      <w:pPr>
        <w:spacing w:after="0" w:line="66"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Consequently, for fiscal 2020, the compensation earned by our Named Executive Officers, except for Mr. Kanter, increased from fiscal 2019, due primarily to an increase in the earned payout under the annual incentive plan in fiscal 2020 (as discussed below) as compared to fiscal 2019, partially offset by the temporary reduction in salary. Mr. Kanter’s compensation in fiscal 2020 decreased due primarily to the fact that his compensation in fiscal 2019 included his sign-on awards in connection with his hiring. Also in June 2020, the Board, at the recommendation of the Compensation Committee, granted Mr. Kanter a stock option to purchase up to 450,000 shares of common stock, at an exercise price of $0.64 per share, which will vest in three equal installments, with the first tranche vesting on June 10, 2021, the second tranche on April 1, 2022 and remaining tranche on April 1, 2023. In approving the award, the Compensation Committee, in consultation with Segal, determined that it was important to preserve continuity of leadership through the COVID-19 pandemic and the uncertain recovery period, and accordingly to provide Mr. Kanter with a long-term equity incentive that aligns his interests with those of our stockholders. With respect to the Company’s long-term incentive plan for the 2020-2022 performance period, due to the limited share availability under the Company’s 2016 Incentive Compensation Plan</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spacing w:after="0"/>
        <w:rPr>
          <w:sz w:val="20"/>
          <w:szCs w:val="20"/>
          <w:color w:val="auto"/>
        </w:rPr>
      </w:pPr>
      <w:r>
        <w:rPr>
          <w:rFonts w:ascii="Arial" w:cs="Arial" w:eastAsia="Arial" w:hAnsi="Arial"/>
          <w:sz w:val="17"/>
          <w:szCs w:val="17"/>
          <w:color w:val="auto"/>
        </w:rPr>
        <w:t>and the low stock price, the Compensation Committee shifted to the use of stock options as opposed to the historical use of restricted stock units.</w:t>
      </w:r>
    </w:p>
    <w:p>
      <w:pPr>
        <w:spacing w:after="0" w:line="23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table shows total compensation earned for those Named Executive Officers (NEOs) who were serving at the end of fiscal 2020 as compared to fiscal 2019, as applicable:</w:t>
      </w:r>
    </w:p>
    <w:p>
      <w:pPr>
        <w:spacing w:after="0" w:line="85"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2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5"/>
          </w:tcPr>
          <w:p>
            <w:pPr>
              <w:ind w:left="1040"/>
              <w:spacing w:after="0"/>
              <w:rPr>
                <w:sz w:val="20"/>
                <w:szCs w:val="20"/>
                <w:color w:val="auto"/>
              </w:rPr>
            </w:pPr>
            <w:r>
              <w:rPr>
                <w:rFonts w:ascii="Arial" w:cs="Arial" w:eastAsia="Arial" w:hAnsi="Arial"/>
                <w:sz w:val="18"/>
                <w:szCs w:val="18"/>
                <w:b w:val="1"/>
                <w:bCs w:val="1"/>
                <w:color w:val="auto"/>
                <w:w w:val="90"/>
              </w:rPr>
              <w:t>Total Compensation</w:t>
            </w:r>
            <w:r>
              <w:rPr>
                <w:rFonts w:ascii="Arial" w:cs="Arial" w:eastAsia="Arial" w:hAnsi="Arial"/>
                <w:sz w:val="15"/>
                <w:szCs w:val="15"/>
                <w:b w:val="1"/>
                <w:bCs w:val="1"/>
                <w:color w:val="auto"/>
                <w:w w:val="90"/>
              </w:rPr>
              <w:t>(1)</w:t>
            </w:r>
          </w:p>
        </w:tc>
        <w:tc>
          <w:tcPr>
            <w:tcW w:w="116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5"/>
          </w:tcPr>
          <w:p>
            <w:pPr>
              <w:ind w:left="960"/>
              <w:spacing w:after="0"/>
              <w:rPr>
                <w:sz w:val="20"/>
                <w:szCs w:val="20"/>
                <w:color w:val="auto"/>
              </w:rPr>
            </w:pPr>
            <w:r>
              <w:rPr>
                <w:rFonts w:ascii="Arial" w:cs="Arial" w:eastAsia="Arial" w:hAnsi="Arial"/>
                <w:sz w:val="18"/>
                <w:szCs w:val="18"/>
                <w:b w:val="1"/>
                <w:bCs w:val="1"/>
                <w:color w:val="auto"/>
                <w:w w:val="94"/>
              </w:rPr>
              <w:t xml:space="preserve">Total Realized Pay </w:t>
            </w:r>
            <w:r>
              <w:rPr>
                <w:rFonts w:ascii="Arial" w:cs="Arial" w:eastAsia="Arial" w:hAnsi="Arial"/>
                <w:sz w:val="15"/>
                <w:szCs w:val="15"/>
                <w:b w:val="1"/>
                <w:bCs w:val="1"/>
                <w:color w:val="auto"/>
                <w:w w:val="94"/>
              </w:rPr>
              <w:t>(2)</w:t>
            </w:r>
          </w:p>
        </w:tc>
        <w:tc>
          <w:tcPr>
            <w:tcW w:w="98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r>
      <w:tr>
        <w:trPr>
          <w:trHeight w:val="232"/>
        </w:trPr>
        <w:tc>
          <w:tcPr>
            <w:tcW w:w="24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Named Executive Officer</w:t>
            </w:r>
          </w:p>
        </w:tc>
        <w:tc>
          <w:tcPr>
            <w:tcW w:w="12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3"/>
              </w:rPr>
              <w:t>Fiscal 2020</w:t>
            </w:r>
          </w:p>
        </w:tc>
        <w:tc>
          <w:tcPr>
            <w:tcW w:w="20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8"/>
              </w:rPr>
              <w:t xml:space="preserve">Fiscal 2019 </w:t>
            </w:r>
            <w:r>
              <w:rPr>
                <w:rFonts w:ascii="Arial" w:cs="Arial" w:eastAsia="Arial" w:hAnsi="Arial"/>
                <w:sz w:val="15"/>
                <w:szCs w:val="15"/>
                <w:b w:val="1"/>
                <w:bCs w:val="1"/>
                <w:color w:val="auto"/>
                <w:w w:val="88"/>
              </w:rPr>
              <w:t>(3)</w:t>
            </w:r>
          </w:p>
        </w:tc>
        <w:tc>
          <w:tcPr>
            <w:tcW w:w="160" w:type="dxa"/>
            <w:vAlign w:val="bottom"/>
            <w:tcBorders>
              <w:bottom w:val="single" w:sz="8" w:color="CFF0FC"/>
            </w:tcBorders>
          </w:tcPr>
          <w:p>
            <w:pPr>
              <w:spacing w:after="0"/>
              <w:rPr>
                <w:sz w:val="20"/>
                <w:szCs w:val="20"/>
                <w:color w:val="auto"/>
              </w:rPr>
            </w:pPr>
          </w:p>
        </w:tc>
        <w:tc>
          <w:tcPr>
            <w:tcW w:w="11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 Change</w:t>
            </w:r>
          </w:p>
        </w:tc>
        <w:tc>
          <w:tcPr>
            <w:tcW w:w="34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89"/>
              </w:rPr>
              <w:t>Fiscal 2020</w:t>
            </w:r>
          </w:p>
        </w:tc>
        <w:tc>
          <w:tcPr>
            <w:tcW w:w="16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0"/>
              </w:rPr>
              <w:t xml:space="preserve">Fiscal 2019 </w:t>
            </w:r>
            <w:r>
              <w:rPr>
                <w:rFonts w:ascii="Arial" w:cs="Arial" w:eastAsia="Arial" w:hAnsi="Arial"/>
                <w:sz w:val="15"/>
                <w:szCs w:val="15"/>
                <w:b w:val="1"/>
                <w:bCs w:val="1"/>
                <w:color w:val="auto"/>
                <w:w w:val="90"/>
              </w:rPr>
              <w:t>(3)</w:t>
            </w:r>
          </w:p>
        </w:tc>
        <w:tc>
          <w:tcPr>
            <w:tcW w:w="160" w:type="dxa"/>
            <w:vAlign w:val="bottom"/>
            <w:tcBorders>
              <w:bottom w:val="single" w:sz="8" w:color="CFF0FC"/>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 Change</w:t>
            </w:r>
          </w:p>
        </w:tc>
        <w:tc>
          <w:tcPr>
            <w:tcW w:w="260" w:type="dxa"/>
            <w:vAlign w:val="bottom"/>
            <w:tcBorders>
              <w:bottom w:val="single" w:sz="8" w:color="CFF0FC"/>
            </w:tcBorders>
          </w:tcPr>
          <w:p>
            <w:pPr>
              <w:spacing w:after="0"/>
              <w:rPr>
                <w:sz w:val="20"/>
                <w:szCs w:val="20"/>
                <w:color w:val="auto"/>
              </w:rPr>
            </w:pPr>
          </w:p>
        </w:tc>
      </w:tr>
      <w:tr>
        <w:trPr>
          <w:trHeight w:val="227"/>
        </w:trPr>
        <w:tc>
          <w:tcPr>
            <w:tcW w:w="2400" w:type="dxa"/>
            <w:vAlign w:val="bottom"/>
            <w:shd w:val="clear" w:color="auto" w:fill="CFF0FC"/>
          </w:tcPr>
          <w:p>
            <w:pPr>
              <w:spacing w:after="0"/>
              <w:rPr>
                <w:sz w:val="20"/>
                <w:szCs w:val="20"/>
                <w:color w:val="auto"/>
              </w:rPr>
            </w:pPr>
            <w:r>
              <w:rPr>
                <w:rFonts w:ascii="Arial" w:cs="Arial" w:eastAsia="Arial" w:hAnsi="Arial"/>
                <w:sz w:val="18"/>
                <w:szCs w:val="18"/>
                <w:color w:val="auto"/>
              </w:rPr>
              <w:t>Harvey S. Kanter</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2,110,929</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3,164,067</w:t>
            </w:r>
          </w:p>
        </w:tc>
        <w:tc>
          <w:tcPr>
            <w:tcW w:w="1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(33.3)%</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1,710,074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1,222,093</w:t>
            </w:r>
          </w:p>
        </w:tc>
        <w:tc>
          <w:tcPr>
            <w:tcW w:w="1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39.9%</w:t>
            </w:r>
          </w:p>
        </w:tc>
      </w:tr>
      <w:tr>
        <w:trPr>
          <w:trHeight w:val="229"/>
        </w:trPr>
        <w:tc>
          <w:tcPr>
            <w:tcW w:w="2520" w:type="dxa"/>
            <w:vAlign w:val="bottom"/>
            <w:gridSpan w:val="2"/>
          </w:tcPr>
          <w:p>
            <w:pPr>
              <w:spacing w:after="0"/>
              <w:rPr>
                <w:sz w:val="20"/>
                <w:szCs w:val="20"/>
                <w:color w:val="auto"/>
              </w:rPr>
            </w:pPr>
            <w:r>
              <w:rPr>
                <w:rFonts w:ascii="Arial" w:cs="Arial" w:eastAsia="Arial" w:hAnsi="Arial"/>
                <w:sz w:val="18"/>
                <w:szCs w:val="18"/>
                <w:color w:val="auto"/>
              </w:rPr>
              <w:t>Peter H. Stratton, Jr.</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656,025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588,245</w:t>
            </w:r>
          </w:p>
        </w:tc>
        <w:tc>
          <w:tcPr>
            <w:tcW w:w="16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11.5%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609,771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639,910</w:t>
            </w:r>
          </w:p>
        </w:tc>
        <w:tc>
          <w:tcPr>
            <w:tcW w:w="16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(4.7)%</w:t>
            </w:r>
          </w:p>
        </w:tc>
      </w:tr>
      <w:tr>
        <w:trPr>
          <w:trHeight w:val="229"/>
        </w:trPr>
        <w:tc>
          <w:tcPr>
            <w:tcW w:w="2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Ujjwal Dhoot</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614,812</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606,122</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r>
      <w:tr>
        <w:trPr>
          <w:trHeight w:val="230"/>
        </w:trPr>
        <w:tc>
          <w:tcPr>
            <w:tcW w:w="2520" w:type="dxa"/>
            <w:vAlign w:val="bottom"/>
            <w:gridSpan w:val="2"/>
          </w:tcPr>
          <w:p>
            <w:pPr>
              <w:spacing w:after="0"/>
              <w:rPr>
                <w:sz w:val="20"/>
                <w:szCs w:val="20"/>
                <w:color w:val="auto"/>
              </w:rPr>
            </w:pPr>
            <w:r>
              <w:rPr>
                <w:rFonts w:ascii="Arial" w:cs="Arial" w:eastAsia="Arial" w:hAnsi="Arial"/>
                <w:sz w:val="18"/>
                <w:szCs w:val="18"/>
                <w:color w:val="auto"/>
              </w:rPr>
              <w:t>Robert S. Molloy</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592,925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533,245</w:t>
            </w:r>
          </w:p>
        </w:tc>
        <w:tc>
          <w:tcPr>
            <w:tcW w:w="16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11.2%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549,184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583,951</w:t>
            </w:r>
          </w:p>
        </w:tc>
        <w:tc>
          <w:tcPr>
            <w:tcW w:w="16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(6.0)%</w:t>
            </w:r>
          </w:p>
        </w:tc>
      </w:tr>
      <w:tr>
        <w:trPr>
          <w:trHeight w:val="229"/>
        </w:trPr>
        <w:tc>
          <w:tcPr>
            <w:tcW w:w="2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Anthony J. Gaeta</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455,561</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408,405</w:t>
            </w:r>
          </w:p>
        </w:tc>
        <w:tc>
          <w:tcPr>
            <w:tcW w:w="1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11.5%</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421,087</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433,128</w:t>
            </w:r>
          </w:p>
        </w:tc>
        <w:tc>
          <w:tcPr>
            <w:tcW w:w="1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(2.8)%</w:t>
            </w:r>
          </w:p>
        </w:tc>
      </w:tr>
    </w:tbl>
    <w:p>
      <w:pPr>
        <w:spacing w:after="0" w:line="98" w:lineRule="exact"/>
        <w:rPr>
          <w:sz w:val="20"/>
          <w:szCs w:val="20"/>
          <w:color w:val="auto"/>
        </w:rPr>
      </w:pPr>
    </w:p>
    <w:p>
      <w:pPr>
        <w:ind w:left="740" w:right="300" w:hanging="368"/>
        <w:spacing w:after="0" w:line="293" w:lineRule="auto"/>
        <w:tabs>
          <w:tab w:leader="none" w:pos="740" w:val="left"/>
        </w:tabs>
        <w:numPr>
          <w:ilvl w:val="0"/>
          <w:numId w:val="5"/>
        </w:numPr>
        <w:rPr>
          <w:rFonts w:ascii="Arial" w:cs="Arial" w:eastAsia="Arial" w:hAnsi="Arial"/>
          <w:sz w:val="16"/>
          <w:szCs w:val="16"/>
          <w:color w:val="auto"/>
        </w:rPr>
      </w:pPr>
      <w:r>
        <w:rPr>
          <w:rFonts w:ascii="Arial" w:cs="Arial" w:eastAsia="Arial" w:hAnsi="Arial"/>
          <w:sz w:val="16"/>
          <w:szCs w:val="16"/>
          <w:color w:val="auto"/>
        </w:rPr>
        <w:t>Total compensation reflects amounts as reported in the “</w:t>
      </w:r>
      <w:r>
        <w:rPr>
          <w:rFonts w:ascii="Arial" w:cs="Arial" w:eastAsia="Arial" w:hAnsi="Arial"/>
          <w:sz w:val="16"/>
          <w:szCs w:val="16"/>
          <w:i w:val="1"/>
          <w:iCs w:val="1"/>
          <w:color w:val="auto"/>
        </w:rPr>
        <w:t>Summary Compensation Table</w:t>
      </w:r>
      <w:r>
        <w:rPr>
          <w:rFonts w:ascii="Arial" w:cs="Arial" w:eastAsia="Arial" w:hAnsi="Arial"/>
          <w:sz w:val="16"/>
          <w:szCs w:val="16"/>
          <w:color w:val="auto"/>
        </w:rPr>
        <w:t>”, which for Mr. Kanter includes the fair value of $1.6 million in fiscal 2019 for one-time, sign-on awards granted in connection with his hiring.</w:t>
      </w:r>
    </w:p>
    <w:p>
      <w:pPr>
        <w:spacing w:after="0" w:line="171" w:lineRule="exact"/>
        <w:rPr>
          <w:rFonts w:ascii="Arial" w:cs="Arial" w:eastAsia="Arial" w:hAnsi="Arial"/>
          <w:sz w:val="16"/>
          <w:szCs w:val="16"/>
          <w:color w:val="auto"/>
        </w:rPr>
      </w:pPr>
    </w:p>
    <w:p>
      <w:pPr>
        <w:ind w:left="740" w:right="20" w:hanging="368"/>
        <w:spacing w:after="0" w:line="303" w:lineRule="auto"/>
        <w:tabs>
          <w:tab w:leader="none" w:pos="740" w:val="left"/>
        </w:tabs>
        <w:numPr>
          <w:ilvl w:val="0"/>
          <w:numId w:val="5"/>
        </w:numPr>
        <w:rPr>
          <w:rFonts w:ascii="Arial" w:cs="Arial" w:eastAsia="Arial" w:hAnsi="Arial"/>
          <w:sz w:val="14"/>
          <w:szCs w:val="14"/>
          <w:color w:val="auto"/>
        </w:rPr>
      </w:pPr>
      <w:r>
        <w:rPr>
          <w:rFonts w:ascii="Arial" w:cs="Arial" w:eastAsia="Arial" w:hAnsi="Arial"/>
          <w:sz w:val="14"/>
          <w:szCs w:val="14"/>
          <w:color w:val="auto"/>
        </w:rPr>
        <w:t>Total realized pay is calculated as total compensation per the “</w:t>
      </w:r>
      <w:r>
        <w:rPr>
          <w:rFonts w:ascii="Arial" w:cs="Arial" w:eastAsia="Arial" w:hAnsi="Arial"/>
          <w:sz w:val="14"/>
          <w:szCs w:val="14"/>
          <w:i w:val="1"/>
          <w:iCs w:val="1"/>
          <w:color w:val="auto"/>
        </w:rPr>
        <w:t>Summary Compensation Table</w:t>
      </w:r>
      <w:r>
        <w:rPr>
          <w:rFonts w:ascii="Arial" w:cs="Arial" w:eastAsia="Arial" w:hAnsi="Arial"/>
          <w:sz w:val="14"/>
          <w:szCs w:val="14"/>
          <w:color w:val="auto"/>
        </w:rPr>
        <w:t>” minus the value of equity awards granted, as reported in the “</w:t>
      </w:r>
      <w:r>
        <w:rPr>
          <w:rFonts w:ascii="Arial" w:cs="Arial" w:eastAsia="Arial" w:hAnsi="Arial"/>
          <w:sz w:val="14"/>
          <w:szCs w:val="14"/>
          <w:i w:val="1"/>
          <w:iCs w:val="1"/>
          <w:color w:val="auto"/>
        </w:rPr>
        <w:t>Stock</w:t>
      </w:r>
      <w:r>
        <w:rPr>
          <w:rFonts w:ascii="Arial" w:cs="Arial" w:eastAsia="Arial" w:hAnsi="Arial"/>
          <w:sz w:val="14"/>
          <w:szCs w:val="14"/>
          <w:color w:val="auto"/>
        </w:rPr>
        <w:t xml:space="preserve"> </w:t>
      </w:r>
      <w:r>
        <w:rPr>
          <w:rFonts w:ascii="Arial" w:cs="Arial" w:eastAsia="Arial" w:hAnsi="Arial"/>
          <w:sz w:val="14"/>
          <w:szCs w:val="14"/>
          <w:i w:val="1"/>
          <w:iCs w:val="1"/>
          <w:color w:val="auto"/>
        </w:rPr>
        <w:t>Awards</w:t>
      </w:r>
      <w:r>
        <w:rPr>
          <w:rFonts w:ascii="Arial" w:cs="Arial" w:eastAsia="Arial" w:hAnsi="Arial"/>
          <w:sz w:val="14"/>
          <w:szCs w:val="14"/>
          <w:color w:val="auto"/>
        </w:rPr>
        <w:t>” column and “</w:t>
      </w:r>
      <w:r>
        <w:rPr>
          <w:rFonts w:ascii="Arial" w:cs="Arial" w:eastAsia="Arial" w:hAnsi="Arial"/>
          <w:sz w:val="14"/>
          <w:szCs w:val="14"/>
          <w:i w:val="1"/>
          <w:iCs w:val="1"/>
          <w:color w:val="auto"/>
        </w:rPr>
        <w:t>Option Awards</w:t>
      </w:r>
      <w:r>
        <w:rPr>
          <w:rFonts w:ascii="Arial" w:cs="Arial" w:eastAsia="Arial" w:hAnsi="Arial"/>
          <w:sz w:val="14"/>
          <w:szCs w:val="14"/>
          <w:color w:val="auto"/>
        </w:rPr>
        <w:t>” column of that table, plus the value of any options exercised or stock awards that vested, as reflected in the “</w:t>
      </w:r>
      <w:r>
        <w:rPr>
          <w:rFonts w:ascii="Arial" w:cs="Arial" w:eastAsia="Arial" w:hAnsi="Arial"/>
          <w:sz w:val="14"/>
          <w:szCs w:val="14"/>
          <w:i w:val="1"/>
          <w:iCs w:val="1"/>
          <w:color w:val="auto"/>
        </w:rPr>
        <w:t>Option Exercises and Stock Vested</w:t>
      </w:r>
      <w:r>
        <w:rPr>
          <w:rFonts w:ascii="Arial" w:cs="Arial" w:eastAsia="Arial" w:hAnsi="Arial"/>
          <w:sz w:val="14"/>
          <w:szCs w:val="14"/>
          <w:color w:val="auto"/>
        </w:rPr>
        <w:t>” table for each of the respective years. The decrease in realized pay for fiscal 2020, as compared to fiscal 2019, for Messrs. Stratton,</w:t>
      </w:r>
      <w:r>
        <w:rPr>
          <w:rFonts w:ascii="Arial" w:cs="Arial" w:eastAsia="Arial" w:hAnsi="Arial"/>
          <w:sz w:val="14"/>
          <w:szCs w:val="14"/>
          <w:i w:val="1"/>
          <w:iCs w:val="1"/>
          <w:color w:val="auto"/>
        </w:rPr>
        <w:t xml:space="preserve"> </w:t>
      </w:r>
      <w:r>
        <w:rPr>
          <w:rFonts w:ascii="Arial" w:cs="Arial" w:eastAsia="Arial" w:hAnsi="Arial"/>
          <w:sz w:val="14"/>
          <w:szCs w:val="14"/>
          <w:color w:val="auto"/>
        </w:rPr>
        <w:t>Molloy and Gaeta was due primarily to the decrease in the value of awards that vested, as a result of the Company’s decreased stock price in fiscal</w:t>
      </w:r>
    </w:p>
    <w:p>
      <w:pPr>
        <w:ind w:left="740"/>
        <w:spacing w:after="0"/>
        <w:rPr>
          <w:rFonts w:ascii="Arial" w:cs="Arial" w:eastAsia="Arial" w:hAnsi="Arial"/>
          <w:sz w:val="14"/>
          <w:szCs w:val="14"/>
          <w:color w:val="auto"/>
        </w:rPr>
      </w:pPr>
      <w:r>
        <w:rPr>
          <w:rFonts w:ascii="Arial" w:cs="Arial" w:eastAsia="Arial" w:hAnsi="Arial"/>
          <w:sz w:val="16"/>
          <w:szCs w:val="16"/>
          <w:color w:val="auto"/>
        </w:rPr>
        <w:t>2020. Because Mr. Kanter was hired in February 2019, Mr. Kanter had no awards that vested during fiscal 2019.</w:t>
      </w:r>
    </w:p>
    <w:p>
      <w:pPr>
        <w:spacing w:after="0" w:line="230" w:lineRule="exact"/>
        <w:rPr>
          <w:rFonts w:ascii="Arial" w:cs="Arial" w:eastAsia="Arial" w:hAnsi="Arial"/>
          <w:sz w:val="14"/>
          <w:szCs w:val="14"/>
          <w:color w:val="auto"/>
        </w:rPr>
      </w:pPr>
    </w:p>
    <w:p>
      <w:pPr>
        <w:ind w:left="740" w:hanging="368"/>
        <w:spacing w:after="0"/>
        <w:tabs>
          <w:tab w:leader="none" w:pos="74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There is no comparable salary information for Mr. Dhoot, because he only became a named executive officer in fiscal 2020.</w:t>
      </w: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 Philosophy and Objectives</w:t>
      </w:r>
    </w:p>
    <w:p>
      <w:pPr>
        <w:spacing w:after="0" w:line="12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Our Compensation Committee is responsible for establishing, implementing and monitoring adherence to the Board’s compensation philosophy, which is to ensure that executive compensation is fair, reasonable, competitive and consistent with the interests of the Company’s stockholders.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Committee believes that an effective executive compensation program will:</w:t>
      </w:r>
    </w:p>
    <w:p>
      <w:pPr>
        <w:spacing w:after="0" w:line="117" w:lineRule="exact"/>
        <w:rPr>
          <w:sz w:val="20"/>
          <w:szCs w:val="20"/>
          <w:color w:val="auto"/>
        </w:rPr>
      </w:pPr>
    </w:p>
    <w:p>
      <w:pPr>
        <w:ind w:left="760" w:hanging="253"/>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Attract, retain and engage the executive talent the Company requires to perform in line with the Board’s expectations;</w:t>
      </w:r>
    </w:p>
    <w:p>
      <w:pPr>
        <w:spacing w:after="0" w:line="117" w:lineRule="exact"/>
        <w:rPr>
          <w:rFonts w:ascii="Arial" w:cs="Arial" w:eastAsia="Arial" w:hAnsi="Arial"/>
          <w:sz w:val="18"/>
          <w:szCs w:val="18"/>
          <w:color w:val="auto"/>
        </w:rPr>
      </w:pPr>
    </w:p>
    <w:p>
      <w:pPr>
        <w:ind w:left="760" w:right="460" w:hanging="253"/>
        <w:spacing w:after="0" w:line="277" w:lineRule="auto"/>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Recognize and reward the achievement of specific annual and long-term performance goals through a combination of cash and stock-based compensation; and</w:t>
      </w:r>
    </w:p>
    <w:p>
      <w:pPr>
        <w:spacing w:after="0" w:line="62" w:lineRule="exact"/>
        <w:rPr>
          <w:rFonts w:ascii="Arial" w:cs="Arial" w:eastAsia="Arial" w:hAnsi="Arial"/>
          <w:sz w:val="18"/>
          <w:szCs w:val="18"/>
          <w:color w:val="auto"/>
        </w:rPr>
      </w:pPr>
    </w:p>
    <w:p>
      <w:pPr>
        <w:ind w:left="760" w:hanging="253"/>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Align the Company’s executives’ interests with those of its stockholders.</w:t>
      </w:r>
    </w:p>
    <w:p>
      <w:pPr>
        <w:spacing w:after="0" w:line="225"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When reviewing compensation, the Compensation Committee emphasizes Direct Compensation. Direct Compensation consists of total cash compensation (base salary and annual performance-based cash incentive awards) plus long-term incentive awards, which are primarily equity-based. Every year, we assess the effectiveness of our compensation plans with the goal of strengthening our overall compensation program as appropriate, including by adjusting performance metrics to ensure that compensation is aligned with performance that drives stockholder value. We also compare our performance metrics to those used by our peers, and take into consideration the recommendations of proxy advisory services.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Features of Our Executive Compensation Program</w:t>
      </w:r>
    </w:p>
    <w:p>
      <w:pPr>
        <w:spacing w:after="0" w:line="13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We believe that the Company’s executive compensation program includes key features that align the compensation for our executive officers with the interests of our stockholders.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2380" w:type="dxa"/>
            <w:vAlign w:val="bottom"/>
          </w:tcPr>
          <w:p>
            <w:pPr>
              <w:spacing w:after="0"/>
              <w:rPr>
                <w:sz w:val="17"/>
                <w:szCs w:val="17"/>
                <w:color w:val="auto"/>
              </w:rPr>
            </w:pPr>
          </w:p>
        </w:tc>
        <w:tc>
          <w:tcPr>
            <w:tcW w:w="2560" w:type="dxa"/>
            <w:vAlign w:val="bottom"/>
            <w:gridSpan w:val="2"/>
          </w:tcPr>
          <w:p>
            <w:pPr>
              <w:spacing w:after="0"/>
              <w:rPr>
                <w:sz w:val="20"/>
                <w:szCs w:val="20"/>
                <w:color w:val="auto"/>
              </w:rPr>
            </w:pPr>
            <w:r>
              <w:rPr>
                <w:rFonts w:ascii="Arial" w:cs="Arial" w:eastAsia="Arial" w:hAnsi="Arial"/>
                <w:sz w:val="18"/>
                <w:szCs w:val="18"/>
                <w:i w:val="1"/>
                <w:iCs w:val="1"/>
                <w:color w:val="auto"/>
              </w:rPr>
              <w:t>What We Do</w:t>
            </w:r>
          </w:p>
        </w:tc>
        <w:tc>
          <w:tcPr>
            <w:tcW w:w="6300" w:type="dxa"/>
            <w:vAlign w:val="bottom"/>
            <w:gridSpan w:val="3"/>
          </w:tcPr>
          <w:p>
            <w:pPr>
              <w:ind w:left="2820"/>
              <w:spacing w:after="0"/>
              <w:rPr>
                <w:sz w:val="20"/>
                <w:szCs w:val="20"/>
                <w:color w:val="auto"/>
              </w:rPr>
            </w:pPr>
            <w:r>
              <w:rPr>
                <w:rFonts w:ascii="Arial" w:cs="Arial" w:eastAsia="Arial" w:hAnsi="Arial"/>
                <w:sz w:val="18"/>
                <w:szCs w:val="18"/>
                <w:i w:val="1"/>
                <w:iCs w:val="1"/>
                <w:color w:val="auto"/>
              </w:rPr>
              <w:t>What We Don’t Do</w:t>
            </w:r>
          </w:p>
        </w:tc>
      </w:tr>
      <w:tr>
        <w:trPr>
          <w:trHeight w:val="20"/>
        </w:trPr>
        <w:tc>
          <w:tcPr>
            <w:tcW w:w="2380" w:type="dxa"/>
            <w:vAlign w:val="bottom"/>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360" w:type="dxa"/>
            <w:vAlign w:val="bottom"/>
            <w:tcBorders>
              <w:top w:val="single" w:sz="8" w:color="auto"/>
            </w:tcBorders>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324"/>
        </w:trPr>
        <w:tc>
          <w:tcPr>
            <w:tcW w:w="4940" w:type="dxa"/>
            <w:vAlign w:val="bottom"/>
            <w:gridSpan w:val="3"/>
            <w:shd w:val="clear" w:color="auto" w:fill="CFF0FC"/>
          </w:tcPr>
          <w:p>
            <w:pPr>
              <w:ind w:left="1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Focus on performance-based pay</w:t>
            </w:r>
          </w:p>
        </w:tc>
        <w:tc>
          <w:tcPr>
            <w:tcW w:w="6300" w:type="dxa"/>
            <w:vAlign w:val="bottom"/>
            <w:gridSpan w:val="3"/>
            <w:shd w:val="clear" w:color="auto" w:fill="CFF0FC"/>
          </w:tcPr>
          <w:p>
            <w:pPr>
              <w:ind w:left="10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 re-pricing of underwater options</w:t>
            </w:r>
          </w:p>
        </w:tc>
      </w:tr>
      <w:tr>
        <w:trPr>
          <w:trHeight w:val="324"/>
        </w:trPr>
        <w:tc>
          <w:tcPr>
            <w:tcW w:w="4940" w:type="dxa"/>
            <w:vAlign w:val="bottom"/>
            <w:gridSpan w:val="3"/>
          </w:tcPr>
          <w:p>
            <w:pPr>
              <w:ind w:left="1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Balance short-term and long-term incentives</w:t>
            </w:r>
          </w:p>
        </w:tc>
        <w:tc>
          <w:tcPr>
            <w:tcW w:w="6300" w:type="dxa"/>
            <w:vAlign w:val="bottom"/>
            <w:gridSpan w:val="3"/>
          </w:tcPr>
          <w:p>
            <w:pPr>
              <w:ind w:left="10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 hedging of Company stock</w:t>
            </w:r>
          </w:p>
        </w:tc>
      </w:tr>
      <w:tr>
        <w:trPr>
          <w:trHeight w:val="324"/>
        </w:trPr>
        <w:tc>
          <w:tcPr>
            <w:tcW w:w="4940" w:type="dxa"/>
            <w:vAlign w:val="bottom"/>
            <w:gridSpan w:val="3"/>
            <w:shd w:val="clear" w:color="auto" w:fill="CFF0FC"/>
          </w:tcPr>
          <w:p>
            <w:pPr>
              <w:ind w:left="1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Use multiple targets for performance awards</w:t>
            </w:r>
          </w:p>
        </w:tc>
        <w:tc>
          <w:tcPr>
            <w:tcW w:w="6300" w:type="dxa"/>
            <w:vAlign w:val="bottom"/>
            <w:gridSpan w:val="3"/>
            <w:shd w:val="clear" w:color="auto" w:fill="CFF0FC"/>
          </w:tcPr>
          <w:p>
            <w:pPr>
              <w:ind w:left="10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 tax gross-up on severance payments</w:t>
            </w:r>
          </w:p>
        </w:tc>
      </w:tr>
      <w:tr>
        <w:trPr>
          <w:trHeight w:val="344"/>
        </w:trPr>
        <w:tc>
          <w:tcPr>
            <w:tcW w:w="4940" w:type="dxa"/>
            <w:vAlign w:val="bottom"/>
            <w:gridSpan w:val="3"/>
          </w:tcPr>
          <w:p>
            <w:pPr>
              <w:ind w:left="1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Provide executives with very limited perquisites</w:t>
            </w:r>
          </w:p>
        </w:tc>
        <w:tc>
          <w:tcPr>
            <w:tcW w:w="6300" w:type="dxa"/>
            <w:vAlign w:val="bottom"/>
            <w:gridSpan w:val="3"/>
          </w:tcPr>
          <w:p>
            <w:pPr>
              <w:ind w:left="10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 active supplemental executive retirement plan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2057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spacing w:after="0" w:line="54" w:lineRule="exact"/>
        <w:rPr>
          <w:sz w:val="20"/>
          <w:szCs w:val="20"/>
          <w:color w:val="auto"/>
        </w:rPr>
      </w:pPr>
    </w:p>
    <w:p>
      <w:pPr>
        <w:ind w:left="460" w:hanging="284"/>
        <w:spacing w:after="0"/>
        <w:tabs>
          <w:tab w:leader="none" w:pos="460" w:val="left"/>
        </w:tabs>
        <w:numPr>
          <w:ilvl w:val="0"/>
          <w:numId w:val="7"/>
        </w:numPr>
        <w:rPr>
          <w:rFonts w:ascii="MS PGothic" w:cs="MS PGothic" w:eastAsia="MS PGothic" w:hAnsi="MS PGothic"/>
          <w:sz w:val="18"/>
          <w:szCs w:val="18"/>
          <w:color w:val="auto"/>
        </w:rPr>
      </w:pPr>
      <w:r>
        <w:rPr>
          <w:rFonts w:ascii="Arial" w:cs="Arial" w:eastAsia="Arial" w:hAnsi="Arial"/>
          <w:sz w:val="18"/>
          <w:szCs w:val="18"/>
          <w:color w:val="auto"/>
        </w:rPr>
        <w:t>Require “double-trigger” change-in-control provisions</w:t>
      </w:r>
    </w:p>
    <w:p>
      <w:pPr>
        <w:spacing w:after="0" w:line="117" w:lineRule="exact"/>
        <w:rPr>
          <w:rFonts w:ascii="MS PGothic" w:cs="MS PGothic" w:eastAsia="MS PGothic" w:hAnsi="MS PGothic"/>
          <w:sz w:val="18"/>
          <w:szCs w:val="18"/>
          <w:color w:val="auto"/>
        </w:rPr>
      </w:pPr>
    </w:p>
    <w:p>
      <w:pPr>
        <w:ind w:left="500" w:right="6080" w:hanging="324"/>
        <w:spacing w:after="0" w:line="277" w:lineRule="auto"/>
        <w:tabs>
          <w:tab w:leader="none" w:pos="459" w:val="left"/>
        </w:tabs>
        <w:numPr>
          <w:ilvl w:val="0"/>
          <w:numId w:val="7"/>
        </w:numPr>
        <w:rPr>
          <w:rFonts w:ascii="MS PGothic" w:cs="MS PGothic" w:eastAsia="MS PGothic" w:hAnsi="MS PGothic"/>
          <w:sz w:val="18"/>
          <w:szCs w:val="18"/>
          <w:color w:val="auto"/>
        </w:rPr>
      </w:pPr>
      <w:r>
        <w:rPr>
          <w:rFonts w:ascii="Arial" w:cs="Arial" w:eastAsia="Arial" w:hAnsi="Arial"/>
          <w:sz w:val="18"/>
          <w:szCs w:val="18"/>
          <w:color w:val="auto"/>
        </w:rPr>
        <w:t>Maintain a “clawback” policy covering incentive cash and equity programs</w:t>
      </w:r>
    </w:p>
    <w:p>
      <w:pPr>
        <w:spacing w:after="0" w:line="62" w:lineRule="exact"/>
        <w:rPr>
          <w:rFonts w:ascii="MS PGothic" w:cs="MS PGothic" w:eastAsia="MS PGothic" w:hAnsi="MS PGothic"/>
          <w:sz w:val="18"/>
          <w:szCs w:val="18"/>
          <w:color w:val="auto"/>
        </w:rPr>
      </w:pPr>
    </w:p>
    <w:p>
      <w:pPr>
        <w:ind w:left="460" w:hanging="284"/>
        <w:spacing w:after="0"/>
        <w:tabs>
          <w:tab w:leader="none" w:pos="460" w:val="left"/>
        </w:tabs>
        <w:numPr>
          <w:ilvl w:val="0"/>
          <w:numId w:val="7"/>
        </w:numPr>
        <w:rPr>
          <w:rFonts w:ascii="MS PGothic" w:cs="MS PGothic" w:eastAsia="MS PGothic" w:hAnsi="MS PGothic"/>
          <w:sz w:val="18"/>
          <w:szCs w:val="18"/>
          <w:color w:val="auto"/>
        </w:rPr>
      </w:pPr>
      <w:r>
        <w:rPr>
          <w:rFonts w:ascii="Arial" w:cs="Arial" w:eastAsia="Arial" w:hAnsi="Arial"/>
          <w:sz w:val="18"/>
          <w:szCs w:val="18"/>
          <w:color w:val="auto"/>
        </w:rPr>
        <w:t>Seek to mitigate undue risk in compensation plans</w:t>
      </w:r>
    </w:p>
    <w:p>
      <w:pPr>
        <w:spacing w:after="0" w:line="117" w:lineRule="exact"/>
        <w:rPr>
          <w:rFonts w:ascii="MS PGothic" w:cs="MS PGothic" w:eastAsia="MS PGothic" w:hAnsi="MS PGothic"/>
          <w:sz w:val="18"/>
          <w:szCs w:val="18"/>
          <w:color w:val="auto"/>
        </w:rPr>
      </w:pPr>
    </w:p>
    <w:p>
      <w:pPr>
        <w:ind w:left="460" w:hanging="284"/>
        <w:spacing w:after="0"/>
        <w:tabs>
          <w:tab w:leader="none" w:pos="460" w:val="left"/>
        </w:tabs>
        <w:numPr>
          <w:ilvl w:val="0"/>
          <w:numId w:val="7"/>
        </w:numPr>
        <w:rPr>
          <w:rFonts w:ascii="MS PGothic" w:cs="MS PGothic" w:eastAsia="MS PGothic" w:hAnsi="MS PGothic"/>
          <w:sz w:val="18"/>
          <w:szCs w:val="18"/>
          <w:color w:val="auto"/>
        </w:rPr>
      </w:pPr>
      <w:r>
        <w:rPr>
          <w:rFonts w:ascii="Arial" w:cs="Arial" w:eastAsia="Arial" w:hAnsi="Arial"/>
          <w:sz w:val="18"/>
          <w:szCs w:val="18"/>
          <w:color w:val="auto"/>
        </w:rPr>
        <w:t>Utilize an independent compensation consultant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-396240</wp:posOffset>
            </wp:positionV>
            <wp:extent cx="7132320" cy="2057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2057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057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Compensation Consultants</w:t>
      </w:r>
    </w:p>
    <w:p>
      <w:pPr>
        <w:spacing w:after="0" w:line="117"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Compensation Committee has the authority to retain compensation consultants and other outside advisors to assist in carrying out its duties, including the review of compensation of our Named Executive Officers. The Compensation Committee may accept, reject or modify any recommendations by compensation consultants or other outside advisors.</w:t>
      </w:r>
    </w:p>
    <w:p>
      <w:pPr>
        <w:spacing w:after="0" w:line="184"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Compensation Committee periodically consults with Segal, formerly Sibson Consulting, an independent firm that specializes in benefits and compensation, with respect to the structure and competitiveness of the Company’s executive compensation program compared to its proxy peer group. The Compensation Committee has assessed Segal’s independence, and has concluded that no conflict of interest exists with respect to the services that it performs. Segal was initially engaged in fiscal 2018 to evaluate CEO compensation in connection with the Company’s search for a new CEO. In fiscal 2020, the Compensation Committee engaged Segal to evaluate a potential incremental grant to the CEO given the pandemic and the need to ensure retention. The Compensation Committee also consulted with Segal in August 2019 to evaluate the Company’s long-term incentive program, including its mix of equity and cash.</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2020 Target Compensation</w:t>
      </w:r>
    </w:p>
    <w:p>
      <w:pPr>
        <w:spacing w:after="0" w:line="11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i w:val="1"/>
          <w:iCs w:val="1"/>
          <w:color w:val="auto"/>
        </w:rPr>
        <w:t>CEO Compensation</w:t>
      </w:r>
      <w:r>
        <w:rPr>
          <w:rFonts w:ascii="Arial" w:cs="Arial" w:eastAsia="Arial" w:hAnsi="Arial"/>
          <w:sz w:val="18"/>
          <w:szCs w:val="18"/>
          <w:color w:val="auto"/>
        </w:rPr>
        <w:t>. The Compensation Committee is responsible for determining the target compensation of our CEO. Working with Segal,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Committee compared each element of the CEO’s Direct Compensation (base salary, annual incentive plan and long-term incentive compensation) to published survey data and data from the Company’s peer group. The Compensation Committee’s objective is that total target compensation should approximate the median target compensation of the Company’s peer group. In developing the compensation package for our current CEO, the Compensation Committee placed additional emphasis on performance pay by increasing the participation rate in the long-term incentive plan. In addition, as part of his compensation package in fiscal 2019 when he joined the Company, Mr. Kanter received a sign-on performance stock unit award (“PSU”) tied directly to the Company’s stock price.</w:t>
      </w:r>
    </w:p>
    <w:p>
      <w:pPr>
        <w:spacing w:after="0" w:line="195"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i w:val="1"/>
          <w:iCs w:val="1"/>
          <w:color w:val="auto"/>
        </w:rPr>
        <w:t xml:space="preserve">Other Named Executive Officers. </w:t>
      </w:r>
      <w:r>
        <w:rPr>
          <w:rFonts w:ascii="Arial" w:cs="Arial" w:eastAsia="Arial" w:hAnsi="Arial"/>
          <w:sz w:val="17"/>
          <w:szCs w:val="17"/>
          <w:color w:val="auto"/>
        </w:rPr>
        <w:t>Our CEO is primarily responsible for determining the compensation paid to our other Named Executive Officers, subject</w:t>
      </w:r>
      <w:r>
        <w:rPr>
          <w:rFonts w:ascii="Arial" w:cs="Arial" w:eastAsia="Arial" w:hAnsi="Arial"/>
          <w:sz w:val="17"/>
          <w:szCs w:val="17"/>
          <w:i w:val="1"/>
          <w:iCs w:val="1"/>
          <w:color w:val="auto"/>
        </w:rPr>
        <w:t xml:space="preserve"> </w:t>
      </w:r>
      <w:r>
        <w:rPr>
          <w:rFonts w:ascii="Arial" w:cs="Arial" w:eastAsia="Arial" w:hAnsi="Arial"/>
          <w:sz w:val="17"/>
          <w:szCs w:val="17"/>
          <w:color w:val="auto"/>
        </w:rPr>
        <w:t>to the review and approval of the Compensation Committee. Our other Named Executive Officers are provided with a competitive base salary and an opportunity to earn performance awards each year, which are driven by our overall financial targets. Compensation to our other Named Executive Officers was most recently reviewed by Segal in May 2019, at which time they reported that such compensation was within the median (or 50% percentile) of the Company’s then proxy peer group. See “</w:t>
      </w:r>
      <w:r>
        <w:rPr>
          <w:rFonts w:ascii="Arial" w:cs="Arial" w:eastAsia="Arial" w:hAnsi="Arial"/>
          <w:sz w:val="17"/>
          <w:szCs w:val="17"/>
          <w:i w:val="1"/>
          <w:iCs w:val="1"/>
          <w:color w:val="auto"/>
        </w:rPr>
        <w:t>Compensation Components and Fiscal 2020 Compensation Decisions</w:t>
      </w:r>
      <w:r>
        <w:rPr>
          <w:rFonts w:ascii="Arial" w:cs="Arial" w:eastAsia="Arial" w:hAnsi="Arial"/>
          <w:sz w:val="17"/>
          <w:szCs w:val="17"/>
          <w:color w:val="auto"/>
        </w:rPr>
        <w:t>”.</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Peers</w:t>
      </w:r>
    </w:p>
    <w:p>
      <w:pPr>
        <w:spacing w:after="0" w:line="117"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When determining peer companies for use in reviewing and establishing compensation for our Named Executive Officers, we focus primarily on public companies within the specialty retail apparel business with similar revenue and/or market capitalization. The companies in the fiscal 2020 peer group were: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00" w:type="dxa"/>
            <w:vAlign w:val="bottom"/>
          </w:tcPr>
          <w:p>
            <w:pPr>
              <w:ind w:left="1560"/>
              <w:spacing w:after="0"/>
              <w:rPr>
                <w:sz w:val="20"/>
                <w:szCs w:val="20"/>
                <w:color w:val="auto"/>
              </w:rPr>
            </w:pPr>
            <w:r>
              <w:rPr>
                <w:rFonts w:ascii="Arial" w:cs="Arial" w:eastAsia="Arial" w:hAnsi="Arial"/>
                <w:sz w:val="18"/>
                <w:szCs w:val="18"/>
                <w:color w:val="auto"/>
              </w:rPr>
              <w:t>Boot Barn Holding, Inc.</w:t>
            </w:r>
          </w:p>
        </w:tc>
        <w:tc>
          <w:tcPr>
            <w:tcW w:w="3020" w:type="dxa"/>
            <w:vAlign w:val="bottom"/>
          </w:tcPr>
          <w:p>
            <w:pPr>
              <w:ind w:left="500"/>
              <w:spacing w:after="0"/>
              <w:rPr>
                <w:sz w:val="20"/>
                <w:szCs w:val="20"/>
                <w:color w:val="auto"/>
              </w:rPr>
            </w:pPr>
            <w:r>
              <w:rPr>
                <w:rFonts w:ascii="Arial" w:cs="Arial" w:eastAsia="Arial" w:hAnsi="Arial"/>
                <w:sz w:val="18"/>
                <w:szCs w:val="18"/>
                <w:color w:val="auto"/>
              </w:rPr>
              <w:t>Francesca’s Holding Corp.</w:t>
            </w:r>
          </w:p>
        </w:tc>
        <w:tc>
          <w:tcPr>
            <w:tcW w:w="4020" w:type="dxa"/>
            <w:vAlign w:val="bottom"/>
          </w:tcPr>
          <w:p>
            <w:pPr>
              <w:ind w:left="600"/>
              <w:spacing w:after="0"/>
              <w:rPr>
                <w:sz w:val="20"/>
                <w:szCs w:val="20"/>
                <w:color w:val="auto"/>
              </w:rPr>
            </w:pPr>
            <w:r>
              <w:rPr>
                <w:rFonts w:ascii="Arial" w:cs="Arial" w:eastAsia="Arial" w:hAnsi="Arial"/>
                <w:sz w:val="18"/>
                <w:szCs w:val="18"/>
                <w:color w:val="auto"/>
              </w:rPr>
              <w:t>Tilly’s Inc.</w:t>
            </w:r>
          </w:p>
        </w:tc>
      </w:tr>
      <w:tr>
        <w:trPr>
          <w:trHeight w:val="337"/>
        </w:trPr>
        <w:tc>
          <w:tcPr>
            <w:tcW w:w="4200" w:type="dxa"/>
            <w:vAlign w:val="bottom"/>
          </w:tcPr>
          <w:p>
            <w:pPr>
              <w:ind w:left="1560"/>
              <w:spacing w:after="0"/>
              <w:rPr>
                <w:sz w:val="20"/>
                <w:szCs w:val="20"/>
                <w:color w:val="auto"/>
              </w:rPr>
            </w:pPr>
            <w:r>
              <w:rPr>
                <w:rFonts w:ascii="Arial" w:cs="Arial" w:eastAsia="Arial" w:hAnsi="Arial"/>
                <w:sz w:val="18"/>
                <w:szCs w:val="18"/>
                <w:color w:val="auto"/>
              </w:rPr>
              <w:t>Build-A-Bear Workshop, Inc.</w:t>
            </w:r>
          </w:p>
        </w:tc>
        <w:tc>
          <w:tcPr>
            <w:tcW w:w="3020" w:type="dxa"/>
            <w:vAlign w:val="bottom"/>
          </w:tcPr>
          <w:p>
            <w:pPr>
              <w:ind w:left="500"/>
              <w:spacing w:after="0"/>
              <w:rPr>
                <w:sz w:val="20"/>
                <w:szCs w:val="20"/>
                <w:color w:val="auto"/>
              </w:rPr>
            </w:pPr>
            <w:r>
              <w:rPr>
                <w:rFonts w:ascii="Arial" w:cs="Arial" w:eastAsia="Arial" w:hAnsi="Arial"/>
                <w:sz w:val="18"/>
                <w:szCs w:val="18"/>
                <w:color w:val="auto"/>
              </w:rPr>
              <w:t>Kirkland’s, Inc.</w:t>
            </w:r>
          </w:p>
        </w:tc>
        <w:tc>
          <w:tcPr>
            <w:tcW w:w="4020" w:type="dxa"/>
            <w:vAlign w:val="bottom"/>
          </w:tcPr>
          <w:p>
            <w:pPr>
              <w:ind w:left="600"/>
              <w:spacing w:after="0"/>
              <w:rPr>
                <w:sz w:val="20"/>
                <w:szCs w:val="20"/>
                <w:color w:val="auto"/>
              </w:rPr>
            </w:pPr>
            <w:r>
              <w:rPr>
                <w:rFonts w:ascii="Arial" w:cs="Arial" w:eastAsia="Arial" w:hAnsi="Arial"/>
                <w:sz w:val="18"/>
                <w:szCs w:val="18"/>
                <w:color w:val="auto"/>
              </w:rPr>
              <w:t>Vera Bradley</w:t>
            </w:r>
          </w:p>
        </w:tc>
      </w:tr>
      <w:tr>
        <w:trPr>
          <w:trHeight w:val="338"/>
        </w:trPr>
        <w:tc>
          <w:tcPr>
            <w:tcW w:w="4200" w:type="dxa"/>
            <w:vAlign w:val="bottom"/>
          </w:tcPr>
          <w:p>
            <w:pPr>
              <w:ind w:left="1560"/>
              <w:spacing w:after="0"/>
              <w:rPr>
                <w:sz w:val="20"/>
                <w:szCs w:val="20"/>
                <w:color w:val="auto"/>
              </w:rPr>
            </w:pPr>
            <w:r>
              <w:rPr>
                <w:rFonts w:ascii="Arial" w:cs="Arial" w:eastAsia="Arial" w:hAnsi="Arial"/>
                <w:sz w:val="18"/>
                <w:szCs w:val="18"/>
                <w:color w:val="auto"/>
              </w:rPr>
              <w:t>Cato Group</w:t>
            </w:r>
          </w:p>
        </w:tc>
        <w:tc>
          <w:tcPr>
            <w:tcW w:w="3020" w:type="dxa"/>
            <w:vAlign w:val="bottom"/>
          </w:tcPr>
          <w:p>
            <w:pPr>
              <w:ind w:left="500"/>
              <w:spacing w:after="0"/>
              <w:rPr>
                <w:sz w:val="20"/>
                <w:szCs w:val="20"/>
                <w:color w:val="auto"/>
              </w:rPr>
            </w:pPr>
            <w:r>
              <w:rPr>
                <w:rFonts w:ascii="Arial" w:cs="Arial" w:eastAsia="Arial" w:hAnsi="Arial"/>
                <w:sz w:val="18"/>
                <w:szCs w:val="18"/>
                <w:color w:val="auto"/>
              </w:rPr>
              <w:t>Movado Group</w:t>
            </w:r>
          </w:p>
        </w:tc>
        <w:tc>
          <w:tcPr>
            <w:tcW w:w="4020" w:type="dxa"/>
            <w:vAlign w:val="bottom"/>
          </w:tcPr>
          <w:p>
            <w:pPr>
              <w:ind w:left="600"/>
              <w:spacing w:after="0"/>
              <w:rPr>
                <w:sz w:val="20"/>
                <w:szCs w:val="20"/>
                <w:color w:val="auto"/>
              </w:rPr>
            </w:pPr>
            <w:r>
              <w:rPr>
                <w:rFonts w:ascii="Arial" w:cs="Arial" w:eastAsia="Arial" w:hAnsi="Arial"/>
                <w:sz w:val="18"/>
                <w:szCs w:val="18"/>
                <w:color w:val="auto"/>
              </w:rPr>
              <w:t>Vince Holding Corp.</w:t>
            </w:r>
          </w:p>
        </w:tc>
      </w:tr>
      <w:tr>
        <w:trPr>
          <w:trHeight w:val="554"/>
        </w:trPr>
        <w:tc>
          <w:tcPr>
            <w:tcW w:w="4200" w:type="dxa"/>
            <w:vAlign w:val="bottom"/>
          </w:tcPr>
          <w:p>
            <w:pPr>
              <w:spacing w:after="0"/>
              <w:rPr>
                <w:sz w:val="24"/>
                <w:szCs w:val="24"/>
                <w:color w:val="auto"/>
              </w:rPr>
            </w:pPr>
          </w:p>
        </w:tc>
        <w:tc>
          <w:tcPr>
            <w:tcW w:w="3020" w:type="dxa"/>
            <w:vAlign w:val="bottom"/>
          </w:tcPr>
          <w:p>
            <w:pPr>
              <w:jc w:val="right"/>
              <w:ind w:right="1470"/>
              <w:spacing w:after="0"/>
              <w:rPr>
                <w:sz w:val="20"/>
                <w:szCs w:val="20"/>
                <w:color w:val="auto"/>
              </w:rPr>
            </w:pPr>
            <w:r>
              <w:rPr>
                <w:rFonts w:ascii="Arial" w:cs="Arial" w:eastAsia="Arial" w:hAnsi="Arial"/>
                <w:sz w:val="18"/>
                <w:szCs w:val="18"/>
                <w:color w:val="auto"/>
              </w:rPr>
              <w:t>8</w:t>
            </w:r>
          </w:p>
        </w:tc>
        <w:tc>
          <w:tcPr>
            <w:tcW w:w="4020" w:type="dxa"/>
            <w:vAlign w:val="bottom"/>
          </w:tcPr>
          <w:p>
            <w:pPr>
              <w:spacing w:after="0"/>
              <w:rPr>
                <w:sz w:val="24"/>
                <w:szCs w:val="24"/>
                <w:color w:val="auto"/>
              </w:rPr>
            </w:pPr>
          </w:p>
        </w:tc>
      </w:tr>
      <w:tr>
        <w:trPr>
          <w:trHeight w:val="331"/>
        </w:trPr>
        <w:tc>
          <w:tcPr>
            <w:tcW w:w="4200" w:type="dxa"/>
            <w:vAlign w:val="bottom"/>
            <w:tcBorders>
              <w:bottom w:val="single" w:sz="8" w:color="9A9A9A"/>
            </w:tcBorders>
          </w:tcPr>
          <w:p>
            <w:pPr>
              <w:spacing w:after="0"/>
              <w:rPr>
                <w:sz w:val="24"/>
                <w:szCs w:val="24"/>
                <w:color w:val="auto"/>
              </w:rPr>
            </w:pPr>
          </w:p>
        </w:tc>
        <w:tc>
          <w:tcPr>
            <w:tcW w:w="3020" w:type="dxa"/>
            <w:vAlign w:val="bottom"/>
            <w:tcBorders>
              <w:bottom w:val="single" w:sz="8" w:color="9A9A9A"/>
            </w:tcBorders>
          </w:tcPr>
          <w:p>
            <w:pPr>
              <w:spacing w:after="0"/>
              <w:rPr>
                <w:sz w:val="24"/>
                <w:szCs w:val="24"/>
                <w:color w:val="auto"/>
              </w:rPr>
            </w:pPr>
          </w:p>
        </w:tc>
        <w:tc>
          <w:tcPr>
            <w:tcW w:w="4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9" w:name="page10"/>
    <w:bookmarkEnd w:id="9"/>
    <w:p>
      <w:pPr>
        <w:jc w:val="center"/>
        <w:ind w:left="660"/>
        <w:spacing w:after="0"/>
        <w:rPr>
          <w:sz w:val="20"/>
          <w:szCs w:val="20"/>
          <w:color w:val="auto"/>
        </w:rPr>
      </w:pPr>
      <w:r>
        <w:rPr>
          <w:rFonts w:ascii="Arial" w:cs="Arial" w:eastAsia="Arial" w:hAnsi="Arial"/>
          <w:sz w:val="16"/>
          <w:szCs w:val="16"/>
          <w:color w:val="auto"/>
        </w:rPr>
        <w:t>Christopher &amp; Banks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Retailwinds,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Zumiez, Inc.</w:t>
      </w:r>
    </w:p>
    <w:p>
      <w:pPr>
        <w:spacing w:after="0" w:line="154" w:lineRule="exact"/>
        <w:rPr>
          <w:sz w:val="20"/>
          <w:szCs w:val="20"/>
          <w:color w:val="auto"/>
        </w:rPr>
      </w:pPr>
    </w:p>
    <w:p>
      <w:pPr>
        <w:sectPr>
          <w:pgSz w:w="11900" w:h="16838" w:orient="portrait"/>
          <w:cols w:equalWidth="0" w:num="3">
            <w:col w:w="3980" w:space="720"/>
            <w:col w:w="2400" w:space="720"/>
            <w:col w:w="3420"/>
          </w:cols>
          <w:pgMar w:left="320" w:top="341" w:right="339" w:bottom="1440" w:gutter="0" w:footer="0" w:header="0"/>
        </w:sectPr>
      </w:pPr>
    </w:p>
    <w:p>
      <w:pPr>
        <w:ind w:left="1560"/>
        <w:spacing w:after="0"/>
        <w:rPr>
          <w:sz w:val="20"/>
          <w:szCs w:val="20"/>
          <w:color w:val="auto"/>
        </w:rPr>
      </w:pPr>
      <w:r>
        <w:rPr>
          <w:rFonts w:ascii="Arial" w:cs="Arial" w:eastAsia="Arial" w:hAnsi="Arial"/>
          <w:sz w:val="16"/>
          <w:szCs w:val="16"/>
          <w:color w:val="auto"/>
        </w:rPr>
        <w:t>Citi Trends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Sportsman’s Warehouse</w:t>
      </w:r>
    </w:p>
    <w:p>
      <w:pPr>
        <w:spacing w:after="0" w:line="165" w:lineRule="exact"/>
        <w:rPr>
          <w:sz w:val="20"/>
          <w:szCs w:val="20"/>
          <w:color w:val="auto"/>
        </w:rPr>
      </w:pPr>
    </w:p>
    <w:p>
      <w:pPr>
        <w:sectPr>
          <w:pgSz w:w="11900" w:h="16838" w:orient="portrait"/>
          <w:cols w:equalWidth="0" w:num="2">
            <w:col w:w="3980" w:space="720"/>
            <w:col w:w="6540"/>
          </w:cols>
          <w:pgMar w:left="320" w:top="341" w:right="339" w:bottom="1440" w:gutter="0" w:footer="0" w:header="0"/>
          <w:type w:val="continuous"/>
        </w:sectPr>
      </w:pPr>
    </w:p>
    <w:p>
      <w:pPr>
        <w:jc w:val="center"/>
        <w:ind w:left="640"/>
        <w:spacing w:after="0"/>
        <w:rPr>
          <w:sz w:val="20"/>
          <w:szCs w:val="20"/>
          <w:color w:val="auto"/>
        </w:rPr>
      </w:pPr>
      <w:r>
        <w:rPr>
          <w:rFonts w:ascii="Arial" w:cs="Arial" w:eastAsia="Arial" w:hAnsi="Arial"/>
          <w:sz w:val="17"/>
          <w:szCs w:val="17"/>
          <w:color w:val="auto"/>
        </w:rPr>
        <w:t>Duluth Holding,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Tile Shop Holdings</w:t>
      </w:r>
    </w:p>
    <w:p>
      <w:pPr>
        <w:spacing w:after="0" w:line="211" w:lineRule="exact"/>
        <w:rPr>
          <w:sz w:val="20"/>
          <w:szCs w:val="20"/>
          <w:color w:val="auto"/>
        </w:rPr>
      </w:pPr>
    </w:p>
    <w:p>
      <w:pPr>
        <w:sectPr>
          <w:pgSz w:w="11900" w:h="16838" w:orient="portrait"/>
          <w:cols w:equalWidth="0" w:num="2">
            <w:col w:w="3980" w:space="720"/>
            <w:col w:w="6540"/>
          </w:cols>
          <w:pgMar w:left="320" w:top="341" w:right="339" w:bottom="1440" w:gutter="0" w:footer="0" w:header="0"/>
          <w:type w:val="continuous"/>
        </w:sectPr>
      </w:pPr>
    </w:p>
    <w:p>
      <w:pPr>
        <w:spacing w:after="0" w:line="15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For fiscal 2021, we updated our peer group to remove Christopher &amp; Banks, Francesca’s Holding Corp. and Retailwinds, Inc. due to bankruptcy, and to add Delta Apparel, Inc., J.Jill, Inc., and Kaspien Holding, Inc.</w:t>
      </w:r>
    </w:p>
    <w:p>
      <w:pPr>
        <w:spacing w:after="0" w:line="17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order to develop an appropriate peer group, we consider companies with a range of revenues, assets and market capitalizations that may differ from those included by independent analysts such as Institutional Shareholder Services (ISS). With respect to our fiscal 2020 peers, we fell just below the median of the revenues and assets of our peer group. Our market capitalization was considered in developing our peer group, but due to the fact that our stock is so thinly traded, more weight was given to the revenue and assets. We do so because we believe that companies doing business in specialty retail markets with omni-channel distribution models provide a better benchmark for total shareholder return. An independent analyst may include a company that falls within the same Standard &amp; Poor’s GICS code with similar revenue and market capitalization but with a different business model, business risks, geographic locations, customer base and industry traffic trends and which, consequently, may have nothing in common with our Company. For example, a company that owns automotive dealerships is within the same GICS code as our Company, but clearly has a distinctively different business model and is not affected by the same trends that affect specialty retail apparel.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Say-on-Pay</w:t>
      </w:r>
    </w:p>
    <w:p>
      <w:pPr>
        <w:spacing w:after="0" w:line="22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At our 2017 Annual Meeting, stockholders voted on a non-binding advisory proposal as to the frequency with which we should conduct an advisory vote on executive compensation (a "say-on-pay proposal"). At that meeting, and in accordance with the recommendation of our Board, 95.6% of votes cast voted for the “one-year” frequency for advisory votes on executive compensation. We intend to hold such vote every year, until the next “say-on-pay” frequency vote, which will not be until our 2023 Annual Meeting.</w:t>
      </w:r>
    </w:p>
    <w:p>
      <w:pPr>
        <w:spacing w:after="0" w:line="18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At our 2020 Annual Meeting, stockholders had an opportunity to cast a non-binding advisory vote on executive compensation as disclosed in the 2020 Proxy Statement. Of the votes cast on the say-on-pay proposal, 80.5% voted in favor of the proposal. The Compensation Committee considered the results of the 2020 advisory vote and believes that it affirms support of our stockholders for our approach to executive compensation, namely to align short- and long-term incentives with the Company’s financial performance. We will continue to consider the outcome of subsequent say-on-pay votes when making future compensation decisions for our executive officers.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Assessment/Clawback</w:t>
      </w:r>
    </w:p>
    <w:p>
      <w:pPr>
        <w:spacing w:after="0" w:line="11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believe that our compensation programs do not provide incentives for unnecessary risk taking by our employees. Our employment agreements with each of our Named Executive Officers include a “clawback” provision that permits us to demand full repayment of certain amounts paid to the executive in the event we learn, after the executive’s termination, that the executive could have been terminated for “justifiable cause.” In addition, in August 2018, our Compensation Committee approved the Executive Incentive Pay Clawback Policy (“Clawback Policy”) that would allow the Company to recover all Excess Incentive-Based Compensation, as defined in the Clawback Policy, from each Executive who willfully committed an act of fraud, dishonesty, or recklessness that contributed to any error or noncompliance that resulted in a financial restatement. Incentive-Based Compensation includes all cash and equity awards.</w:t>
      </w:r>
    </w:p>
    <w:p>
      <w:pPr>
        <w:spacing w:after="0" w:line="87"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Our emphasis on performance-based annual and long-term incentive awards is also designed to align executives with preserving and enhancing shareholder value. Based on these considerations, among others, we do not believe that our compensation policies and practices create risks that are likely to have a material adverse effect on our Company.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Components and Fiscal 2020 Compensation Decisions</w:t>
      </w:r>
    </w:p>
    <w:p>
      <w:pPr>
        <w:spacing w:after="0" w:line="121"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We believe that our executive compensation policies and practices appropriately align the interests of our executives with those of our stockholders and emphasize the shared responsibility of our executive officers for the Company’s financial performance. Accordingly, the compensation of our Named Executive Officers is heavily weighted toward “at-risk” performance-based compensation.</w:t>
      </w:r>
    </w:p>
    <w:p>
      <w:pPr>
        <w:spacing w:after="0" w:line="76"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 primary components of compensation for our Named Executive Officers include base salary (“fixed compensation”), annual performance-based cash incentives and long-term incentives (“at-risk compensation”). The annual weight of each component leads to the following allocation of potential compensation that each executive can earn.</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type w:val="continuous"/>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6094730" cy="18002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094730" cy="1800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4"/>
          <w:szCs w:val="14"/>
          <w:color w:val="auto"/>
        </w:rPr>
        <w:t>* The above target compensation for the CEO does not reflect the value of Mr. Kanter’s discretionary grant of stock options on June 10, 2020.</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executive compensation are as follows:</w:t>
      </w:r>
    </w:p>
    <w:p>
      <w:pPr>
        <w:spacing w:after="0" w:line="117" w:lineRule="exact"/>
        <w:rPr>
          <w:sz w:val="20"/>
          <w:szCs w:val="20"/>
          <w:color w:val="auto"/>
        </w:rPr>
      </w:pPr>
    </w:p>
    <w:p>
      <w:pPr>
        <w:ind w:left="760" w:hanging="253"/>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Base salary</w:t>
      </w:r>
    </w:p>
    <w:p>
      <w:pPr>
        <w:spacing w:after="0" w:line="117" w:lineRule="exact"/>
        <w:rPr>
          <w:rFonts w:ascii="Arial" w:cs="Arial" w:eastAsia="Arial" w:hAnsi="Arial"/>
          <w:sz w:val="18"/>
          <w:szCs w:val="18"/>
          <w:color w:val="auto"/>
        </w:rPr>
      </w:pPr>
    </w:p>
    <w:p>
      <w:pPr>
        <w:ind w:left="760" w:right="60"/>
        <w:spacing w:after="0" w:line="277" w:lineRule="auto"/>
        <w:rPr>
          <w:rFonts w:ascii="Arial" w:cs="Arial" w:eastAsia="Arial" w:hAnsi="Arial"/>
          <w:sz w:val="18"/>
          <w:szCs w:val="18"/>
          <w:color w:val="auto"/>
        </w:rPr>
      </w:pPr>
      <w:r>
        <w:rPr>
          <w:rFonts w:ascii="Arial" w:cs="Arial" w:eastAsia="Arial" w:hAnsi="Arial"/>
          <w:sz w:val="18"/>
          <w:szCs w:val="18"/>
          <w:color w:val="auto"/>
        </w:rPr>
        <w:t>Base salary represents the fixed component of an executive’s annual compensation. In order to attract and retain top executive talent, we believe that it is important that our base salary be competitive, generally at or near the median of our industry peers.</w:t>
      </w:r>
    </w:p>
    <w:p>
      <w:pPr>
        <w:spacing w:after="0" w:line="62" w:lineRule="exact"/>
        <w:rPr>
          <w:rFonts w:ascii="Arial" w:cs="Arial" w:eastAsia="Arial" w:hAnsi="Arial"/>
          <w:sz w:val="18"/>
          <w:szCs w:val="18"/>
          <w:color w:val="auto"/>
        </w:rPr>
      </w:pPr>
    </w:p>
    <w:p>
      <w:pPr>
        <w:ind w:left="760"/>
        <w:spacing w:after="0" w:line="259" w:lineRule="auto"/>
        <w:rPr>
          <w:rFonts w:ascii="Arial" w:cs="Arial" w:eastAsia="Arial" w:hAnsi="Arial"/>
          <w:sz w:val="18"/>
          <w:szCs w:val="18"/>
          <w:color w:val="auto"/>
        </w:rPr>
      </w:pPr>
      <w:r>
        <w:rPr>
          <w:rFonts w:ascii="Arial" w:cs="Arial" w:eastAsia="Arial" w:hAnsi="Arial"/>
          <w:sz w:val="18"/>
          <w:szCs w:val="18"/>
          <w:color w:val="auto"/>
        </w:rPr>
        <w:t>Base salaries are reviewed annually and adjustments are influenced by the Company’s performance in the previous fiscal year and the executive’s contribution to that performance. The executive’s performance is measured by various factors, including, but not limited to, achievement of specific individual and department goals. Additionally, adjustments may consider an individual’s promotion that may have occurred during the fiscal year, and any modifications in the individual's level of responsibility.</w:t>
      </w:r>
    </w:p>
    <w:p>
      <w:pPr>
        <w:spacing w:after="0" w:line="78" w:lineRule="exact"/>
        <w:rPr>
          <w:rFonts w:ascii="Arial" w:cs="Arial" w:eastAsia="Arial" w:hAnsi="Arial"/>
          <w:sz w:val="18"/>
          <w:szCs w:val="18"/>
          <w:color w:val="auto"/>
        </w:rPr>
      </w:pPr>
    </w:p>
    <w:p>
      <w:pPr>
        <w:ind w:left="760" w:right="140"/>
        <w:spacing w:after="0" w:line="286" w:lineRule="auto"/>
        <w:rPr>
          <w:rFonts w:ascii="Arial" w:cs="Arial" w:eastAsia="Arial" w:hAnsi="Arial"/>
          <w:sz w:val="18"/>
          <w:szCs w:val="18"/>
          <w:color w:val="auto"/>
        </w:rPr>
      </w:pPr>
      <w:r>
        <w:rPr>
          <w:rFonts w:ascii="Arial" w:cs="Arial" w:eastAsia="Arial" w:hAnsi="Arial"/>
          <w:sz w:val="17"/>
          <w:szCs w:val="17"/>
          <w:color w:val="auto"/>
        </w:rPr>
        <w:t>The Compensation Committee expects the CEO’s base salary to be at or near the peer group median, and to approximate 25%-33% of his target Direct Compensation. Our CEO determines the base salary of our other Named Executive Officers, subject to the review and approval of the Compensation Committee, and targets the median of the peer group and published industry compensation surveys.</w:t>
      </w:r>
    </w:p>
    <w:p>
      <w:pPr>
        <w:spacing w:after="0" w:line="57" w:lineRule="exact"/>
        <w:rPr>
          <w:rFonts w:ascii="Arial" w:cs="Arial" w:eastAsia="Arial" w:hAnsi="Arial"/>
          <w:sz w:val="18"/>
          <w:szCs w:val="18"/>
          <w:color w:val="auto"/>
        </w:rPr>
      </w:pPr>
    </w:p>
    <w:p>
      <w:pPr>
        <w:ind w:left="760"/>
        <w:spacing w:after="0" w:line="286" w:lineRule="auto"/>
        <w:rPr>
          <w:rFonts w:ascii="Arial" w:cs="Arial" w:eastAsia="Arial" w:hAnsi="Arial"/>
          <w:sz w:val="18"/>
          <w:szCs w:val="18"/>
          <w:color w:val="auto"/>
        </w:rPr>
      </w:pPr>
      <w:r>
        <w:rPr>
          <w:rFonts w:ascii="Arial" w:cs="Arial" w:eastAsia="Arial" w:hAnsi="Arial"/>
          <w:sz w:val="17"/>
          <w:szCs w:val="17"/>
          <w:color w:val="auto"/>
        </w:rPr>
        <w:t>Each of our Named Executive Officers took a temporary salary reduction of 20% for the period April 5, 2020 through August 2, 2020. In August 2020, Mr. Dhoot received a salary increase of $85,000 to $385,000 in connection with his promotion from Chief Digital Officer to Chief Marketing Officer. There were no other adjustments to the base salaries of our other Named Executive Officers.</w:t>
      </w:r>
    </w:p>
    <w:p>
      <w:pPr>
        <w:spacing w:after="0" w:line="165" w:lineRule="exact"/>
        <w:rPr>
          <w:rFonts w:ascii="Arial" w:cs="Arial" w:eastAsia="Arial" w:hAnsi="Arial"/>
          <w:sz w:val="18"/>
          <w:szCs w:val="18"/>
          <w:color w:val="auto"/>
        </w:rPr>
      </w:pPr>
    </w:p>
    <w:p>
      <w:pPr>
        <w:ind w:left="760" w:hanging="253"/>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Performance-based annual incentive plan</w:t>
      </w:r>
    </w:p>
    <w:p>
      <w:pPr>
        <w:spacing w:after="0" w:line="225" w:lineRule="exact"/>
        <w:rPr>
          <w:rFonts w:ascii="Arial" w:cs="Arial" w:eastAsia="Arial" w:hAnsi="Arial"/>
          <w:sz w:val="18"/>
          <w:szCs w:val="18"/>
          <w:color w:val="auto"/>
        </w:rPr>
      </w:pPr>
    </w:p>
    <w:p>
      <w:pPr>
        <w:ind w:left="760" w:right="40"/>
        <w:spacing w:after="0" w:line="263" w:lineRule="auto"/>
        <w:rPr>
          <w:rFonts w:ascii="Arial" w:cs="Arial" w:eastAsia="Arial" w:hAnsi="Arial"/>
          <w:sz w:val="18"/>
          <w:szCs w:val="18"/>
          <w:color w:val="auto"/>
        </w:rPr>
      </w:pPr>
      <w:r>
        <w:rPr>
          <w:rFonts w:ascii="Arial" w:cs="Arial" w:eastAsia="Arial" w:hAnsi="Arial"/>
          <w:sz w:val="18"/>
          <w:szCs w:val="18"/>
          <w:color w:val="auto"/>
        </w:rPr>
        <w:t>The Compensation Committee believes that a substantial portion of each Named Executive Officer’s compensation should tie directly to our Company’s financial performance. Our Fourth Amended and Restated Annual Incentive Plan (“AIP”) provides for an annual performance-based cash incentive for all executives as well as certain non-executive employees.</w:t>
      </w:r>
    </w:p>
    <w:p>
      <w:pPr>
        <w:spacing w:after="0" w:line="183" w:lineRule="exact"/>
        <w:rPr>
          <w:rFonts w:ascii="Arial" w:cs="Arial" w:eastAsia="Arial" w:hAnsi="Arial"/>
          <w:sz w:val="18"/>
          <w:szCs w:val="18"/>
          <w:color w:val="auto"/>
        </w:rPr>
      </w:pPr>
    </w:p>
    <w:p>
      <w:pPr>
        <w:ind w:left="760"/>
        <w:spacing w:after="0"/>
        <w:rPr>
          <w:rFonts w:ascii="Arial" w:cs="Arial" w:eastAsia="Arial" w:hAnsi="Arial"/>
          <w:sz w:val="18"/>
          <w:szCs w:val="18"/>
          <w:color w:val="auto"/>
        </w:rPr>
      </w:pPr>
      <w:r>
        <w:rPr>
          <w:rFonts w:ascii="Arial" w:cs="Arial" w:eastAsia="Arial" w:hAnsi="Arial"/>
          <w:sz w:val="18"/>
          <w:szCs w:val="18"/>
          <w:u w:val="single" w:color="auto"/>
          <w:color w:val="auto"/>
        </w:rPr>
        <w:t>2020 AIP</w:t>
      </w:r>
    </w:p>
    <w:p>
      <w:pPr>
        <w:spacing w:after="0" w:line="117" w:lineRule="exact"/>
        <w:rPr>
          <w:rFonts w:ascii="Arial" w:cs="Arial" w:eastAsia="Arial" w:hAnsi="Arial"/>
          <w:sz w:val="18"/>
          <w:szCs w:val="18"/>
          <w:color w:val="auto"/>
        </w:rPr>
      </w:pPr>
    </w:p>
    <w:p>
      <w:pPr>
        <w:ind w:left="760" w:right="60"/>
        <w:spacing w:after="0" w:line="253" w:lineRule="auto"/>
        <w:rPr>
          <w:rFonts w:ascii="Arial" w:cs="Arial" w:eastAsia="Arial" w:hAnsi="Arial"/>
          <w:sz w:val="18"/>
          <w:szCs w:val="18"/>
          <w:color w:val="auto"/>
        </w:rPr>
      </w:pPr>
      <w:r>
        <w:rPr>
          <w:rFonts w:ascii="Arial" w:cs="Arial" w:eastAsia="Arial" w:hAnsi="Arial"/>
          <w:sz w:val="18"/>
          <w:szCs w:val="18"/>
          <w:color w:val="auto"/>
        </w:rPr>
        <w:t>On June 23, 2020, the Compensation Committee established the performance metrics for the 2020 AIP. The potential payout for each performance metric was based on full-year results for fiscal 2020. A participant’s payout under the AIP was based on earned wages, accordingly, each participant’s earned wages for fiscal 2020 reflected a reduction in normal earnings due to either: (i) furlough or (ii) temporary pay reductions, ranging from 10% to 20%. Each of our Named Executive Officers took a temporary salary reduction of 20% for the period April 5, 2020 through August 2, 2020.</w:t>
      </w:r>
    </w:p>
    <w:p>
      <w:pPr>
        <w:spacing w:after="0" w:line="3" w:lineRule="exact"/>
        <w:rPr>
          <w:rFonts w:ascii="Arial" w:cs="Arial" w:eastAsia="Arial" w:hAnsi="Arial"/>
          <w:sz w:val="18"/>
          <w:szCs w:val="18"/>
          <w:color w:val="auto"/>
        </w:rPr>
      </w:pPr>
    </w:p>
    <w:p>
      <w:pPr>
        <w:ind w:left="760" w:right="60"/>
        <w:spacing w:after="0" w:line="268" w:lineRule="auto"/>
        <w:rPr>
          <w:rFonts w:ascii="Arial" w:cs="Arial" w:eastAsia="Arial" w:hAnsi="Arial"/>
          <w:sz w:val="18"/>
          <w:szCs w:val="18"/>
          <w:color w:val="auto"/>
        </w:rPr>
      </w:pPr>
      <w:r>
        <w:rPr>
          <w:rFonts w:ascii="Arial" w:cs="Arial" w:eastAsia="Arial" w:hAnsi="Arial"/>
          <w:sz w:val="17"/>
          <w:szCs w:val="17"/>
          <w:color w:val="auto"/>
        </w:rPr>
        <w:t>The performance metrics and potential payouts levels were derived from the Company’s revised annual operating plan for fiscal 2020. The revised annual operating plan included the potential impact that the COVID-19 pandemic would have on operations and the objectives that management needed to accomplish in order for the Company to preserve liquidity, weather the negative impact of the pandemic and be positioned to successfully emerge from the pandemic. The Compensation Committee believed it was necessary, due to the uncertainty regarding the impact and duration of the pandemic, to focus on two key financial metrics for fiscal 2020 (Sales and Adjusted EBITDA), removing departmental goals from the AIP for fiscal 2020. Each of these financial metrics were weighted 40%, with the remaining 20% attributable to the achievement of what had been pre-defined personal goals for the fiscal year prior to the advent of the pandemic and the closure of all of our stores beginning on March 17, 2020. See footnote 2 to the below table for a more detailed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ind w:left="760" w:right="160"/>
        <w:spacing w:after="0" w:line="263" w:lineRule="auto"/>
        <w:rPr>
          <w:sz w:val="20"/>
          <w:szCs w:val="20"/>
          <w:color w:val="auto"/>
        </w:rPr>
      </w:pPr>
      <w:r>
        <w:rPr>
          <w:rFonts w:ascii="Arial" w:cs="Arial" w:eastAsia="Arial" w:hAnsi="Arial"/>
          <w:sz w:val="18"/>
          <w:szCs w:val="18"/>
          <w:color w:val="auto"/>
        </w:rPr>
        <w:t>discussion of these personal goals. These metrics were intended to be achievable, with an approximate 50% probability; however, given the uncertainty surrounding the COVID-19 pandemic and its impact on our financial results, there was an inherent risk that these metrics might not be attainable.</w:t>
      </w:r>
    </w:p>
    <w:p>
      <w:pPr>
        <w:spacing w:after="0" w:line="76" w:lineRule="exact"/>
        <w:rPr>
          <w:sz w:val="20"/>
          <w:szCs w:val="20"/>
          <w:color w:val="auto"/>
        </w:rPr>
      </w:pPr>
    </w:p>
    <w:p>
      <w:pPr>
        <w:ind w:left="760" w:right="120"/>
        <w:spacing w:after="0" w:line="263" w:lineRule="auto"/>
        <w:rPr>
          <w:sz w:val="20"/>
          <w:szCs w:val="20"/>
          <w:color w:val="auto"/>
        </w:rPr>
      </w:pPr>
      <w:r>
        <w:rPr>
          <w:rFonts w:ascii="Arial" w:cs="Arial" w:eastAsia="Arial" w:hAnsi="Arial"/>
          <w:sz w:val="18"/>
          <w:szCs w:val="18"/>
          <w:color w:val="auto"/>
        </w:rPr>
        <w:t>For fiscal 2020, Mr. Kanter’s target participation in the AIP was at 100% of his earned salary, Mr. Stratton participated at 55% of his earned salary, Mr. Molloy participated at 50% of his earned salary, and Mr. Gaeta participated at 40% of his earned salary. As a result of his promotion, Mr. Dhoot participated at a blended rate of 45.9% of his earned salary.</w:t>
      </w:r>
    </w:p>
    <w:p>
      <w:pPr>
        <w:spacing w:after="0" w:line="7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2020 AIP performance metrics and actual results against these metrics were as follows:</w:t>
      </w:r>
    </w:p>
    <w:p>
      <w:pPr>
        <w:spacing w:after="0" w:line="200" w:lineRule="exact"/>
        <w:rPr>
          <w:sz w:val="20"/>
          <w:szCs w:val="20"/>
          <w:color w:val="auto"/>
        </w:rPr>
      </w:pPr>
    </w:p>
    <w:p>
      <w:pPr>
        <w:spacing w:after="0" w:line="220" w:lineRule="exact"/>
        <w:rPr>
          <w:sz w:val="20"/>
          <w:szCs w:val="20"/>
          <w:color w:val="auto"/>
        </w:rPr>
      </w:pPr>
    </w:p>
    <w:tbl>
      <w:tblPr>
        <w:tblLayout w:type="fixed"/>
        <w:tblInd w:w="4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gridSpan w:val="5"/>
          </w:tcPr>
          <w:p>
            <w:pPr>
              <w:jc w:val="center"/>
              <w:spacing w:after="0"/>
              <w:rPr>
                <w:sz w:val="20"/>
                <w:szCs w:val="20"/>
                <w:color w:val="auto"/>
              </w:rPr>
            </w:pPr>
            <w:r>
              <w:rPr>
                <w:rFonts w:ascii="Arial" w:cs="Arial" w:eastAsia="Arial" w:hAnsi="Arial"/>
                <w:sz w:val="14"/>
                <w:szCs w:val="14"/>
                <w:b w:val="1"/>
                <w:bCs w:val="1"/>
                <w:color w:val="auto"/>
              </w:rPr>
              <w:t>Award %</w:t>
            </w:r>
          </w:p>
        </w:tc>
        <w:tc>
          <w:tcPr>
            <w:tcW w:w="322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rPr>
              <w:t>Minimum/Maximum</w:t>
            </w: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8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60" w:type="dxa"/>
            <w:vAlign w:val="bottom"/>
            <w:gridSpan w:val="5"/>
          </w:tcPr>
          <w:p>
            <w:pPr>
              <w:jc w:val="center"/>
              <w:spacing w:after="0" w:line="158" w:lineRule="exact"/>
              <w:rPr>
                <w:sz w:val="20"/>
                <w:szCs w:val="20"/>
                <w:color w:val="auto"/>
              </w:rPr>
            </w:pPr>
            <w:r>
              <w:rPr>
                <w:rFonts w:ascii="Arial" w:cs="Arial" w:eastAsia="Arial" w:hAnsi="Arial"/>
                <w:sz w:val="14"/>
                <w:szCs w:val="14"/>
                <w:b w:val="1"/>
                <w:bCs w:val="1"/>
                <w:color w:val="auto"/>
                <w:w w:val="96"/>
              </w:rPr>
              <w:t>Attributable to</w:t>
            </w:r>
          </w:p>
        </w:tc>
        <w:tc>
          <w:tcPr>
            <w:tcW w:w="3220" w:type="dxa"/>
            <w:vAlign w:val="bottom"/>
            <w:gridSpan w:val="3"/>
            <w:vMerge w:val="continue"/>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880" w:type="dxa"/>
            <w:vAlign w:val="bottom"/>
          </w:tcPr>
          <w:p>
            <w:pPr>
              <w:spacing w:after="0"/>
              <w:rPr>
                <w:sz w:val="11"/>
                <w:szCs w:val="11"/>
                <w:color w:val="auto"/>
              </w:rPr>
            </w:pPr>
          </w:p>
        </w:tc>
        <w:tc>
          <w:tcPr>
            <w:tcW w:w="1380" w:type="dxa"/>
            <w:vAlign w:val="bottom"/>
            <w:gridSpan w:val="3"/>
          </w:tcPr>
          <w:p>
            <w:pPr>
              <w:ind w:left="600"/>
              <w:spacing w:after="0" w:line="129" w:lineRule="exact"/>
              <w:rPr>
                <w:sz w:val="20"/>
                <w:szCs w:val="20"/>
                <w:color w:val="auto"/>
              </w:rPr>
            </w:pPr>
            <w:r>
              <w:rPr>
                <w:rFonts w:ascii="Arial" w:cs="Arial" w:eastAsia="Arial" w:hAnsi="Arial"/>
                <w:sz w:val="14"/>
                <w:szCs w:val="14"/>
                <w:b w:val="1"/>
                <w:bCs w:val="1"/>
                <w:color w:val="auto"/>
              </w:rPr>
              <w:t>Metric</w:t>
            </w:r>
          </w:p>
        </w:tc>
        <w:tc>
          <w:tcPr>
            <w:tcW w:w="820" w:type="dxa"/>
            <w:vAlign w:val="bottom"/>
            <w:gridSpan w:val="3"/>
          </w:tcPr>
          <w:p>
            <w:pPr>
              <w:jc w:val="center"/>
              <w:ind w:left="68"/>
              <w:spacing w:after="0" w:line="129" w:lineRule="exact"/>
              <w:rPr>
                <w:sz w:val="20"/>
                <w:szCs w:val="20"/>
                <w:color w:val="auto"/>
              </w:rPr>
            </w:pPr>
            <w:r>
              <w:rPr>
                <w:rFonts w:ascii="Arial" w:cs="Arial" w:eastAsia="Arial" w:hAnsi="Arial"/>
                <w:sz w:val="14"/>
                <w:szCs w:val="14"/>
                <w:b w:val="1"/>
                <w:bCs w:val="1"/>
                <w:color w:val="auto"/>
                <w:w w:val="96"/>
              </w:rPr>
              <w:t>Metric</w:t>
            </w:r>
          </w:p>
        </w:tc>
        <w:tc>
          <w:tcPr>
            <w:tcW w:w="12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0" w:type="dxa"/>
            <w:vAlign w:val="bottom"/>
            <w:gridSpan w:val="2"/>
          </w:tcPr>
          <w:p>
            <w:pPr>
              <w:jc w:val="center"/>
              <w:ind w:right="1180"/>
              <w:spacing w:after="0" w:line="129" w:lineRule="exact"/>
              <w:rPr>
                <w:sz w:val="20"/>
                <w:szCs w:val="20"/>
                <w:color w:val="auto"/>
              </w:rPr>
            </w:pPr>
            <w:r>
              <w:rPr>
                <w:rFonts w:ascii="Arial" w:cs="Arial" w:eastAsia="Arial" w:hAnsi="Arial"/>
                <w:sz w:val="14"/>
                <w:szCs w:val="14"/>
                <w:b w:val="1"/>
                <w:bCs w:val="1"/>
                <w:color w:val="auto"/>
                <w:w w:val="92"/>
              </w:rPr>
              <w:t>Potential Payout</w:t>
            </w:r>
          </w:p>
        </w:tc>
        <w:tc>
          <w:tcPr>
            <w:tcW w:w="1620" w:type="dxa"/>
            <w:vAlign w:val="bottom"/>
            <w:gridSpan w:val="3"/>
          </w:tcPr>
          <w:p>
            <w:pPr>
              <w:jc w:val="center"/>
              <w:ind w:right="340"/>
              <w:spacing w:after="0" w:line="129" w:lineRule="exact"/>
              <w:rPr>
                <w:sz w:val="20"/>
                <w:szCs w:val="20"/>
                <w:color w:val="auto"/>
              </w:rPr>
            </w:pPr>
            <w:r>
              <w:rPr>
                <w:rFonts w:ascii="Arial" w:cs="Arial" w:eastAsia="Arial" w:hAnsi="Arial"/>
                <w:sz w:val="14"/>
                <w:szCs w:val="14"/>
                <w:b w:val="1"/>
                <w:bCs w:val="1"/>
                <w:color w:val="auto"/>
                <w:w w:val="92"/>
              </w:rPr>
              <w:t>2020 Target</w:t>
            </w:r>
          </w:p>
        </w:tc>
        <w:tc>
          <w:tcPr>
            <w:tcW w:w="1080" w:type="dxa"/>
            <w:vAlign w:val="bottom"/>
            <w:gridSpan w:val="2"/>
          </w:tcPr>
          <w:p>
            <w:pPr>
              <w:jc w:val="center"/>
              <w:ind w:right="140"/>
              <w:spacing w:after="0" w:line="129" w:lineRule="exact"/>
              <w:rPr>
                <w:sz w:val="20"/>
                <w:szCs w:val="20"/>
                <w:color w:val="auto"/>
              </w:rPr>
            </w:pPr>
            <w:r>
              <w:rPr>
                <w:rFonts w:ascii="Arial" w:cs="Arial" w:eastAsia="Arial" w:hAnsi="Arial"/>
                <w:sz w:val="14"/>
                <w:szCs w:val="14"/>
                <w:b w:val="1"/>
                <w:bCs w:val="1"/>
                <w:color w:val="auto"/>
                <w:w w:val="95"/>
              </w:rPr>
              <w:t>2020 Actual (1)</w:t>
            </w:r>
          </w:p>
        </w:tc>
        <w:tc>
          <w:tcPr>
            <w:tcW w:w="1280" w:type="dxa"/>
            <w:vAlign w:val="bottom"/>
            <w:gridSpan w:val="3"/>
          </w:tcPr>
          <w:p>
            <w:pPr>
              <w:jc w:val="center"/>
              <w:spacing w:after="0" w:line="129" w:lineRule="exact"/>
              <w:rPr>
                <w:sz w:val="20"/>
                <w:szCs w:val="20"/>
                <w:color w:val="auto"/>
              </w:rPr>
            </w:pPr>
            <w:r>
              <w:rPr>
                <w:rFonts w:ascii="Arial" w:cs="Arial" w:eastAsia="Arial" w:hAnsi="Arial"/>
                <w:sz w:val="14"/>
                <w:szCs w:val="14"/>
                <w:b w:val="1"/>
                <w:bCs w:val="1"/>
                <w:color w:val="auto"/>
                <w:w w:val="93"/>
              </w:rPr>
              <w:t>Payout % earned</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880" w:type="dxa"/>
            <w:vAlign w:val="bottom"/>
            <w:shd w:val="clear" w:color="auto" w:fill="CFF0FC"/>
          </w:tcPr>
          <w:p>
            <w:pPr>
              <w:spacing w:after="0" w:line="119" w:lineRule="exact"/>
              <w:rPr>
                <w:sz w:val="20"/>
                <w:szCs w:val="20"/>
                <w:color w:val="auto"/>
              </w:rPr>
            </w:pPr>
            <w:r>
              <w:rPr>
                <w:rFonts w:ascii="Arial" w:cs="Arial" w:eastAsia="Arial" w:hAnsi="Arial"/>
                <w:sz w:val="13"/>
                <w:szCs w:val="13"/>
                <w:b w:val="1"/>
                <w:bCs w:val="1"/>
                <w:color w:val="auto"/>
              </w:rPr>
              <w:t>Corporate</w:t>
            </w:r>
          </w:p>
        </w:tc>
        <w:tc>
          <w:tcPr>
            <w:tcW w:w="600" w:type="dxa"/>
            <w:vAlign w:val="bottom"/>
            <w:shd w:val="clear" w:color="auto" w:fill="CFF0FC"/>
          </w:tcPr>
          <w:p>
            <w:pPr>
              <w:ind w:left="260"/>
              <w:spacing w:after="0" w:line="119" w:lineRule="exact"/>
              <w:rPr>
                <w:sz w:val="20"/>
                <w:szCs w:val="20"/>
                <w:color w:val="auto"/>
              </w:rPr>
            </w:pPr>
            <w:r>
              <w:rPr>
                <w:rFonts w:ascii="Arial" w:cs="Arial" w:eastAsia="Arial" w:hAnsi="Arial"/>
                <w:sz w:val="13"/>
                <w:szCs w:val="13"/>
                <w:color w:val="auto"/>
                <w:w w:val="98"/>
              </w:rPr>
              <w:t>Sales</w:t>
            </w:r>
          </w:p>
        </w:tc>
        <w:tc>
          <w:tcPr>
            <w:tcW w:w="42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400" w:type="dxa"/>
            <w:vAlign w:val="bottom"/>
            <w:shd w:val="clear" w:color="auto" w:fill="CFF0FC"/>
          </w:tcPr>
          <w:p>
            <w:pPr>
              <w:jc w:val="center"/>
              <w:spacing w:after="0" w:line="119" w:lineRule="exact"/>
              <w:rPr>
                <w:sz w:val="20"/>
                <w:szCs w:val="20"/>
                <w:color w:val="auto"/>
              </w:rPr>
            </w:pPr>
            <w:r>
              <w:rPr>
                <w:rFonts w:ascii="Arial" w:cs="Arial" w:eastAsia="Arial" w:hAnsi="Arial"/>
                <w:sz w:val="13"/>
                <w:szCs w:val="13"/>
                <w:color w:val="auto"/>
                <w:w w:val="97"/>
              </w:rPr>
              <w:t>40.0%</w:t>
            </w:r>
          </w:p>
        </w:tc>
        <w:tc>
          <w:tcPr>
            <w:tcW w:w="1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3220" w:type="dxa"/>
            <w:vAlign w:val="bottom"/>
            <w:gridSpan w:val="3"/>
            <w:shd w:val="clear" w:color="auto" w:fill="CFF0FC"/>
          </w:tcPr>
          <w:p>
            <w:pPr>
              <w:ind w:left="20"/>
              <w:spacing w:after="0" w:line="119" w:lineRule="exact"/>
              <w:rPr>
                <w:sz w:val="20"/>
                <w:szCs w:val="20"/>
                <w:color w:val="auto"/>
              </w:rPr>
            </w:pPr>
            <w:r>
              <w:rPr>
                <w:rFonts w:ascii="Arial" w:cs="Arial" w:eastAsia="Arial" w:hAnsi="Arial"/>
                <w:sz w:val="13"/>
                <w:szCs w:val="13"/>
                <w:color w:val="auto"/>
              </w:rPr>
              <w:t>100% payout at target, with 50% payout at 94.1%</w:t>
            </w:r>
          </w:p>
        </w:tc>
        <w:tc>
          <w:tcPr>
            <w:tcW w:w="1620" w:type="dxa"/>
            <w:vAlign w:val="bottom"/>
            <w:gridSpan w:val="3"/>
            <w:shd w:val="clear" w:color="auto" w:fill="CFF0FC"/>
          </w:tcPr>
          <w:p>
            <w:pPr>
              <w:jc w:val="center"/>
              <w:ind w:right="340"/>
              <w:spacing w:after="0" w:line="119" w:lineRule="exact"/>
              <w:rPr>
                <w:sz w:val="20"/>
                <w:szCs w:val="20"/>
                <w:color w:val="auto"/>
              </w:rPr>
            </w:pPr>
            <w:r>
              <w:rPr>
                <w:rFonts w:ascii="Arial" w:cs="Arial" w:eastAsia="Arial" w:hAnsi="Arial"/>
                <w:sz w:val="13"/>
                <w:szCs w:val="13"/>
                <w:color w:val="auto"/>
              </w:rPr>
              <w:t>$341.5 million</w:t>
            </w:r>
          </w:p>
        </w:tc>
        <w:tc>
          <w:tcPr>
            <w:tcW w:w="1080" w:type="dxa"/>
            <w:vAlign w:val="bottom"/>
            <w:gridSpan w:val="2"/>
            <w:shd w:val="clear" w:color="auto" w:fill="CFF0FC"/>
          </w:tcPr>
          <w:p>
            <w:pPr>
              <w:jc w:val="center"/>
              <w:ind w:right="140"/>
              <w:spacing w:after="0" w:line="119" w:lineRule="exact"/>
              <w:rPr>
                <w:sz w:val="20"/>
                <w:szCs w:val="20"/>
                <w:color w:val="auto"/>
              </w:rPr>
            </w:pPr>
            <w:r>
              <w:rPr>
                <w:rFonts w:ascii="Arial" w:cs="Arial" w:eastAsia="Arial" w:hAnsi="Arial"/>
                <w:sz w:val="13"/>
                <w:szCs w:val="13"/>
                <w:color w:val="auto"/>
              </w:rPr>
              <w:t>$318.9 million</w:t>
            </w:r>
          </w:p>
        </w:tc>
        <w:tc>
          <w:tcPr>
            <w:tcW w:w="780" w:type="dxa"/>
            <w:vAlign w:val="bottom"/>
            <w:shd w:val="clear" w:color="auto" w:fill="CFF0FC"/>
          </w:tcPr>
          <w:p>
            <w:pPr>
              <w:jc w:val="center"/>
              <w:ind w:left="489"/>
              <w:spacing w:after="0" w:line="119" w:lineRule="exact"/>
              <w:rPr>
                <w:sz w:val="20"/>
                <w:szCs w:val="20"/>
                <w:color w:val="auto"/>
              </w:rPr>
            </w:pPr>
            <w:r>
              <w:rPr>
                <w:rFonts w:ascii="Arial" w:cs="Arial" w:eastAsia="Arial" w:hAnsi="Arial"/>
                <w:sz w:val="13"/>
                <w:szCs w:val="13"/>
                <w:color w:val="auto"/>
              </w:rPr>
              <w:t>-</w:t>
            </w:r>
          </w:p>
        </w:tc>
        <w:tc>
          <w:tcPr>
            <w:tcW w:w="4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880" w:type="dxa"/>
            <w:vAlign w:val="bottom"/>
            <w:shd w:val="clear" w:color="auto" w:fill="CFF0FC"/>
          </w:tcPr>
          <w:p>
            <w:pPr>
              <w:spacing w:after="0" w:line="153" w:lineRule="exact"/>
              <w:rPr>
                <w:sz w:val="20"/>
                <w:szCs w:val="20"/>
                <w:color w:val="auto"/>
              </w:rPr>
            </w:pPr>
            <w:r>
              <w:rPr>
                <w:rFonts w:ascii="Arial" w:cs="Arial" w:eastAsia="Arial" w:hAnsi="Arial"/>
                <w:sz w:val="14"/>
                <w:szCs w:val="14"/>
                <w:b w:val="1"/>
                <w:bCs w:val="1"/>
                <w:color w:val="auto"/>
              </w:rPr>
              <w:t>Target 1</w:t>
            </w:r>
          </w:p>
        </w:tc>
        <w:tc>
          <w:tcPr>
            <w:tcW w:w="60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3220" w:type="dxa"/>
            <w:vAlign w:val="bottom"/>
            <w:gridSpan w:val="3"/>
            <w:shd w:val="clear" w:color="auto" w:fill="CFF0FC"/>
          </w:tcPr>
          <w:p>
            <w:pPr>
              <w:ind w:left="20"/>
              <w:spacing w:after="0" w:line="153" w:lineRule="exact"/>
              <w:rPr>
                <w:sz w:val="20"/>
                <w:szCs w:val="20"/>
                <w:color w:val="auto"/>
              </w:rPr>
            </w:pPr>
            <w:r>
              <w:rPr>
                <w:rFonts w:ascii="Arial" w:cs="Arial" w:eastAsia="Arial" w:hAnsi="Arial"/>
                <w:sz w:val="14"/>
                <w:szCs w:val="14"/>
                <w:color w:val="auto"/>
              </w:rPr>
              <w:t>of target and 150% payout at 105.9% of target,</w:t>
            </w:r>
          </w:p>
        </w:tc>
        <w:tc>
          <w:tcPr>
            <w:tcW w:w="28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8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3220" w:type="dxa"/>
            <w:vAlign w:val="bottom"/>
            <w:gridSpan w:val="3"/>
            <w:shd w:val="clear" w:color="auto" w:fill="CFF0FC"/>
          </w:tcPr>
          <w:p>
            <w:pPr>
              <w:ind w:left="20"/>
              <w:spacing w:after="0" w:line="149" w:lineRule="exact"/>
              <w:rPr>
                <w:sz w:val="20"/>
                <w:szCs w:val="20"/>
                <w:color w:val="auto"/>
              </w:rPr>
            </w:pPr>
            <w:r>
              <w:rPr>
                <w:rFonts w:ascii="Arial" w:cs="Arial" w:eastAsia="Arial" w:hAnsi="Arial"/>
                <w:sz w:val="14"/>
                <w:szCs w:val="14"/>
                <w:color w:val="auto"/>
              </w:rPr>
              <w:t>with the exception of Mr. Kanter who was eligible</w:t>
            </w:r>
          </w:p>
        </w:tc>
        <w:tc>
          <w:tcPr>
            <w:tcW w:w="2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88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3220" w:type="dxa"/>
            <w:vAlign w:val="bottom"/>
            <w:gridSpan w:val="3"/>
            <w:shd w:val="clear" w:color="auto" w:fill="CFF0FC"/>
          </w:tcPr>
          <w:p>
            <w:pPr>
              <w:ind w:left="20"/>
              <w:spacing w:after="0"/>
              <w:rPr>
                <w:sz w:val="20"/>
                <w:szCs w:val="20"/>
                <w:color w:val="auto"/>
              </w:rPr>
            </w:pPr>
            <w:r>
              <w:rPr>
                <w:rFonts w:ascii="Arial" w:cs="Arial" w:eastAsia="Arial" w:hAnsi="Arial"/>
                <w:sz w:val="14"/>
                <w:szCs w:val="14"/>
                <w:color w:val="auto"/>
              </w:rPr>
              <w:t>for maximum payout of 200% at 105.9% of target.</w:t>
            </w:r>
          </w:p>
        </w:tc>
        <w:tc>
          <w:tcPr>
            <w:tcW w:w="28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88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880" w:type="dxa"/>
            <w:vAlign w:val="bottom"/>
          </w:tcPr>
          <w:p>
            <w:pPr>
              <w:spacing w:after="0" w:line="126" w:lineRule="exact"/>
              <w:rPr>
                <w:sz w:val="20"/>
                <w:szCs w:val="20"/>
                <w:color w:val="auto"/>
              </w:rPr>
            </w:pPr>
            <w:r>
              <w:rPr>
                <w:rFonts w:ascii="Arial" w:cs="Arial" w:eastAsia="Arial" w:hAnsi="Arial"/>
                <w:sz w:val="14"/>
                <w:szCs w:val="14"/>
                <w:b w:val="1"/>
                <w:bCs w:val="1"/>
                <w:color w:val="auto"/>
              </w:rPr>
              <w:t>Corporate</w:t>
            </w:r>
          </w:p>
        </w:tc>
        <w:tc>
          <w:tcPr>
            <w:tcW w:w="1380" w:type="dxa"/>
            <w:vAlign w:val="bottom"/>
            <w:gridSpan w:val="3"/>
          </w:tcPr>
          <w:p>
            <w:pPr>
              <w:ind w:left="260"/>
              <w:spacing w:after="0" w:line="126" w:lineRule="exact"/>
              <w:rPr>
                <w:sz w:val="20"/>
                <w:szCs w:val="20"/>
                <w:color w:val="auto"/>
              </w:rPr>
            </w:pPr>
            <w:r>
              <w:rPr>
                <w:rFonts w:ascii="Arial" w:cs="Arial" w:eastAsia="Arial" w:hAnsi="Arial"/>
                <w:sz w:val="14"/>
                <w:szCs w:val="14"/>
                <w:color w:val="auto"/>
              </w:rPr>
              <w:t>Adjusted EBITDA</w:t>
            </w:r>
          </w:p>
        </w:tc>
        <w:tc>
          <w:tcPr>
            <w:tcW w:w="680" w:type="dxa"/>
            <w:vAlign w:val="bottom"/>
            <w:gridSpan w:val="2"/>
          </w:tcPr>
          <w:p>
            <w:pPr>
              <w:jc w:val="center"/>
              <w:ind w:left="208"/>
              <w:spacing w:after="0" w:line="126" w:lineRule="exact"/>
              <w:rPr>
                <w:sz w:val="20"/>
                <w:szCs w:val="20"/>
                <w:color w:val="auto"/>
              </w:rPr>
            </w:pPr>
            <w:r>
              <w:rPr>
                <w:rFonts w:ascii="Arial" w:cs="Arial" w:eastAsia="Arial" w:hAnsi="Arial"/>
                <w:sz w:val="14"/>
                <w:szCs w:val="14"/>
                <w:color w:val="auto"/>
                <w:w w:val="90"/>
              </w:rPr>
              <w:t>40.0%</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20" w:type="dxa"/>
            <w:vAlign w:val="bottom"/>
            <w:gridSpan w:val="3"/>
          </w:tcPr>
          <w:p>
            <w:pPr>
              <w:ind w:left="20"/>
              <w:spacing w:after="0" w:line="126" w:lineRule="exact"/>
              <w:rPr>
                <w:sz w:val="20"/>
                <w:szCs w:val="20"/>
                <w:color w:val="auto"/>
              </w:rPr>
            </w:pPr>
            <w:r>
              <w:rPr>
                <w:rFonts w:ascii="Arial" w:cs="Arial" w:eastAsia="Arial" w:hAnsi="Arial"/>
                <w:sz w:val="14"/>
                <w:szCs w:val="14"/>
                <w:color w:val="auto"/>
              </w:rPr>
              <w:t>100% payout at target, with 50% payout at 89.1%</w:t>
            </w:r>
          </w:p>
        </w:tc>
        <w:tc>
          <w:tcPr>
            <w:tcW w:w="1620" w:type="dxa"/>
            <w:vAlign w:val="bottom"/>
            <w:gridSpan w:val="3"/>
          </w:tcPr>
          <w:p>
            <w:pPr>
              <w:jc w:val="center"/>
              <w:ind w:right="340"/>
              <w:spacing w:after="0" w:line="126" w:lineRule="exact"/>
              <w:rPr>
                <w:sz w:val="20"/>
                <w:szCs w:val="20"/>
                <w:color w:val="auto"/>
              </w:rPr>
            </w:pPr>
            <w:r>
              <w:rPr>
                <w:rFonts w:ascii="Arial" w:cs="Arial" w:eastAsia="Arial" w:hAnsi="Arial"/>
                <w:sz w:val="14"/>
                <w:szCs w:val="14"/>
                <w:color w:val="auto"/>
              </w:rPr>
              <w:t>$(36.7) million</w:t>
            </w:r>
          </w:p>
        </w:tc>
        <w:tc>
          <w:tcPr>
            <w:tcW w:w="1080" w:type="dxa"/>
            <w:vAlign w:val="bottom"/>
            <w:gridSpan w:val="2"/>
          </w:tcPr>
          <w:p>
            <w:pPr>
              <w:jc w:val="center"/>
              <w:ind w:right="140"/>
              <w:spacing w:after="0" w:line="126" w:lineRule="exact"/>
              <w:rPr>
                <w:sz w:val="20"/>
                <w:szCs w:val="20"/>
                <w:color w:val="auto"/>
              </w:rPr>
            </w:pPr>
            <w:r>
              <w:rPr>
                <w:rFonts w:ascii="Arial" w:cs="Arial" w:eastAsia="Arial" w:hAnsi="Arial"/>
                <w:sz w:val="14"/>
                <w:szCs w:val="14"/>
                <w:color w:val="auto"/>
                <w:w w:val="97"/>
              </w:rPr>
              <w:t>$(24.2) million</w:t>
            </w:r>
          </w:p>
        </w:tc>
        <w:tc>
          <w:tcPr>
            <w:tcW w:w="1200" w:type="dxa"/>
            <w:vAlign w:val="bottom"/>
            <w:gridSpan w:val="2"/>
          </w:tcPr>
          <w:p>
            <w:pPr>
              <w:jc w:val="center"/>
              <w:ind w:left="49"/>
              <w:spacing w:after="0" w:line="126" w:lineRule="exact"/>
              <w:rPr>
                <w:sz w:val="20"/>
                <w:szCs w:val="20"/>
                <w:color w:val="auto"/>
              </w:rPr>
            </w:pPr>
            <w:r>
              <w:rPr>
                <w:rFonts w:ascii="Arial" w:cs="Arial" w:eastAsia="Arial" w:hAnsi="Arial"/>
                <w:sz w:val="14"/>
                <w:szCs w:val="14"/>
                <w:color w:val="auto"/>
                <w:w w:val="92"/>
              </w:rPr>
              <w:t>150.0%</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880" w:type="dxa"/>
            <w:vAlign w:val="bottom"/>
          </w:tcPr>
          <w:p>
            <w:pPr>
              <w:spacing w:after="0" w:line="153" w:lineRule="exact"/>
              <w:rPr>
                <w:sz w:val="20"/>
                <w:szCs w:val="20"/>
                <w:color w:val="auto"/>
              </w:rPr>
            </w:pPr>
            <w:r>
              <w:rPr>
                <w:rFonts w:ascii="Arial" w:cs="Arial" w:eastAsia="Arial" w:hAnsi="Arial"/>
                <w:sz w:val="14"/>
                <w:szCs w:val="14"/>
                <w:b w:val="1"/>
                <w:bCs w:val="1"/>
                <w:color w:val="auto"/>
              </w:rPr>
              <w:t>Target 2</w:t>
            </w:r>
          </w:p>
        </w:tc>
        <w:tc>
          <w:tcPr>
            <w:tcW w:w="6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20" w:type="dxa"/>
            <w:vAlign w:val="bottom"/>
            <w:gridSpan w:val="3"/>
          </w:tcPr>
          <w:p>
            <w:pPr>
              <w:ind w:left="20"/>
              <w:spacing w:after="0" w:line="153" w:lineRule="exact"/>
              <w:rPr>
                <w:sz w:val="20"/>
                <w:szCs w:val="20"/>
                <w:color w:val="auto"/>
              </w:rPr>
            </w:pPr>
            <w:r>
              <w:rPr>
                <w:rFonts w:ascii="Arial" w:cs="Arial" w:eastAsia="Arial" w:hAnsi="Arial"/>
                <w:sz w:val="14"/>
                <w:szCs w:val="14"/>
                <w:color w:val="auto"/>
                <w:w w:val="99"/>
              </w:rPr>
              <w:t>of target and 150% payout at 110.9% of target, with</w:t>
            </w: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3"/>
          </w:tcPr>
          <w:p>
            <w:pPr>
              <w:jc w:val="center"/>
              <w:spacing w:after="0" w:line="153" w:lineRule="exact"/>
              <w:rPr>
                <w:sz w:val="20"/>
                <w:szCs w:val="20"/>
                <w:color w:val="auto"/>
              </w:rPr>
            </w:pPr>
            <w:r>
              <w:rPr>
                <w:rFonts w:ascii="Arial" w:cs="Arial" w:eastAsia="Arial" w:hAnsi="Arial"/>
                <w:sz w:val="14"/>
                <w:szCs w:val="14"/>
                <w:color w:val="auto"/>
                <w:w w:val="96"/>
              </w:rPr>
              <w:t>(200% for Mr.</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2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the exception of Mr. Kanter who was eligible for a</w:t>
            </w: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95"/>
              </w:rPr>
              <w:t>Kanter)</w:t>
            </w:r>
          </w:p>
        </w:tc>
        <w:tc>
          <w:tcPr>
            <w:tcW w:w="0" w:type="dxa"/>
            <w:vAlign w:val="bottom"/>
          </w:tcPr>
          <w:p>
            <w:pPr>
              <w:spacing w:after="0"/>
              <w:rPr>
                <w:sz w:val="1"/>
                <w:szCs w:val="1"/>
                <w:color w:val="auto"/>
              </w:rPr>
            </w:pPr>
          </w:p>
        </w:tc>
      </w:tr>
      <w:tr>
        <w:trPr>
          <w:trHeight w:val="182"/>
        </w:trPr>
        <w:tc>
          <w:tcPr>
            <w:tcW w:w="8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maximum payout of 200% at 110.9% of target.</w:t>
            </w: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2260" w:type="dxa"/>
            <w:vAlign w:val="bottom"/>
            <w:gridSpan w:val="4"/>
          </w:tcPr>
          <w:p>
            <w:pPr>
              <w:spacing w:after="0"/>
              <w:rPr>
                <w:sz w:val="20"/>
                <w:szCs w:val="20"/>
                <w:color w:val="auto"/>
              </w:rPr>
            </w:pPr>
            <w:r>
              <w:rPr>
                <w:rFonts w:ascii="Arial" w:cs="Arial" w:eastAsia="Arial" w:hAnsi="Arial"/>
                <w:sz w:val="14"/>
                <w:szCs w:val="14"/>
                <w:b w:val="1"/>
                <w:bCs w:val="1"/>
                <w:color w:val="auto"/>
              </w:rPr>
              <w:t xml:space="preserve">Personal Target 3 </w:t>
            </w:r>
            <w:r>
              <w:rPr>
                <w:rFonts w:ascii="Arial" w:cs="Arial" w:eastAsia="Arial" w:hAnsi="Arial"/>
                <w:sz w:val="14"/>
                <w:szCs w:val="14"/>
                <w:color w:val="auto"/>
              </w:rPr>
              <w:t>Discretionary –</w:t>
            </w:r>
          </w:p>
        </w:tc>
        <w:tc>
          <w:tcPr>
            <w:tcW w:w="680" w:type="dxa"/>
            <w:vAlign w:val="bottom"/>
            <w:gridSpan w:val="2"/>
          </w:tcPr>
          <w:p>
            <w:pPr>
              <w:jc w:val="center"/>
              <w:ind w:left="208"/>
              <w:spacing w:after="0"/>
              <w:rPr>
                <w:sz w:val="20"/>
                <w:szCs w:val="20"/>
                <w:color w:val="auto"/>
              </w:rPr>
            </w:pPr>
            <w:r>
              <w:rPr>
                <w:rFonts w:ascii="Arial" w:cs="Arial" w:eastAsia="Arial" w:hAnsi="Arial"/>
                <w:sz w:val="14"/>
                <w:szCs w:val="14"/>
                <w:color w:val="auto"/>
                <w:w w:val="90"/>
              </w:rPr>
              <w:t>20.0%</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Discretionary, at target, based upon individual</w:t>
            </w:r>
          </w:p>
        </w:tc>
        <w:tc>
          <w:tcPr>
            <w:tcW w:w="1620" w:type="dxa"/>
            <w:vAlign w:val="bottom"/>
            <w:gridSpan w:val="3"/>
          </w:tcPr>
          <w:p>
            <w:pPr>
              <w:jc w:val="center"/>
              <w:ind w:right="340"/>
              <w:spacing w:after="0"/>
              <w:rPr>
                <w:sz w:val="20"/>
                <w:szCs w:val="20"/>
                <w:color w:val="auto"/>
              </w:rPr>
            </w:pPr>
            <w:r>
              <w:rPr>
                <w:rFonts w:ascii="Arial" w:cs="Arial" w:eastAsia="Arial" w:hAnsi="Arial"/>
                <w:sz w:val="14"/>
                <w:szCs w:val="14"/>
                <w:color w:val="auto"/>
                <w:w w:val="94"/>
              </w:rPr>
              <w:t>Varies by NEO</w:t>
            </w:r>
          </w:p>
        </w:tc>
        <w:tc>
          <w:tcPr>
            <w:tcW w:w="1080" w:type="dxa"/>
            <w:vAlign w:val="bottom"/>
            <w:gridSpan w:val="2"/>
          </w:tcPr>
          <w:p>
            <w:pPr>
              <w:jc w:val="center"/>
              <w:ind w:right="140"/>
              <w:spacing w:after="0"/>
              <w:rPr>
                <w:sz w:val="20"/>
                <w:szCs w:val="20"/>
                <w:color w:val="auto"/>
              </w:rPr>
            </w:pPr>
            <w:r>
              <w:rPr>
                <w:rFonts w:ascii="Arial" w:cs="Arial" w:eastAsia="Arial" w:hAnsi="Arial"/>
                <w:sz w:val="14"/>
                <w:szCs w:val="14"/>
                <w:color w:val="auto"/>
                <w:w w:val="92"/>
              </w:rPr>
              <w:t>Varies by NEO</w:t>
            </w:r>
          </w:p>
        </w:tc>
        <w:tc>
          <w:tcPr>
            <w:tcW w:w="1200" w:type="dxa"/>
            <w:vAlign w:val="bottom"/>
            <w:gridSpan w:val="2"/>
          </w:tcPr>
          <w:p>
            <w:pPr>
              <w:jc w:val="center"/>
              <w:ind w:left="69"/>
              <w:spacing w:after="0"/>
              <w:rPr>
                <w:sz w:val="20"/>
                <w:szCs w:val="20"/>
                <w:color w:val="auto"/>
              </w:rPr>
            </w:pPr>
            <w:r>
              <w:rPr>
                <w:rFonts w:ascii="Arial" w:cs="Arial" w:eastAsia="Arial" w:hAnsi="Arial"/>
                <w:sz w:val="14"/>
                <w:szCs w:val="14"/>
                <w:color w:val="auto"/>
                <w:w w:val="92"/>
              </w:rPr>
              <w:t>20.0%-30.0%</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1380" w:type="dxa"/>
            <w:vAlign w:val="bottom"/>
            <w:gridSpan w:val="3"/>
          </w:tcPr>
          <w:p>
            <w:pPr>
              <w:ind w:left="260"/>
              <w:spacing w:after="0" w:line="149" w:lineRule="exact"/>
              <w:rPr>
                <w:sz w:val="20"/>
                <w:szCs w:val="20"/>
                <w:color w:val="auto"/>
              </w:rPr>
            </w:pPr>
            <w:r>
              <w:rPr>
                <w:rFonts w:ascii="Arial" w:cs="Arial" w:eastAsia="Arial" w:hAnsi="Arial"/>
                <w:sz w:val="14"/>
                <w:szCs w:val="14"/>
                <w:color w:val="auto"/>
              </w:rPr>
              <w:t>Personal Goals</w:t>
            </w: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20" w:type="dxa"/>
            <w:vAlign w:val="bottom"/>
            <w:gridSpan w:val="3"/>
          </w:tcPr>
          <w:p>
            <w:pPr>
              <w:ind w:left="20"/>
              <w:spacing w:after="0" w:line="149" w:lineRule="exact"/>
              <w:rPr>
                <w:sz w:val="20"/>
                <w:szCs w:val="20"/>
                <w:color w:val="auto"/>
              </w:rPr>
            </w:pPr>
            <w:r>
              <w:rPr>
                <w:rFonts w:ascii="Arial" w:cs="Arial" w:eastAsia="Arial" w:hAnsi="Arial"/>
                <w:sz w:val="14"/>
                <w:szCs w:val="14"/>
                <w:color w:val="auto"/>
                <w:w w:val="99"/>
              </w:rPr>
              <w:t>performance, as evaluated by the CEO (except with</w:t>
            </w: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96"/>
              </w:rPr>
              <w:t>(40.0% for Mr.</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2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respect to the CEO whose individual performance</w:t>
            </w: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95"/>
              </w:rPr>
              <w:t>Kanter)</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2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was evaluated by the Compensation</w:t>
            </w: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8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Committee). Participants were eligible to receive a</w:t>
            </w: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-466725</wp:posOffset>
            </wp:positionV>
            <wp:extent cx="6617970" cy="7543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617970" cy="754380"/>
                    </a:xfrm>
                    <a:prstGeom prst="rect">
                      <a:avLst/>
                    </a:prstGeom>
                    <a:noFill/>
                  </pic:spPr>
                </pic:pic>
              </a:graphicData>
            </a:graphic>
          </wp:anchor>
        </w:drawing>
      </w:r>
    </w:p>
    <w:p>
      <w:pPr>
        <w:ind w:left="3660"/>
        <w:spacing w:after="0" w:line="221" w:lineRule="auto"/>
        <w:rPr>
          <w:sz w:val="20"/>
          <w:szCs w:val="20"/>
          <w:color w:val="auto"/>
        </w:rPr>
      </w:pPr>
      <w:r>
        <w:rPr>
          <w:rFonts w:ascii="Arial" w:cs="Arial" w:eastAsia="Arial" w:hAnsi="Arial"/>
          <w:sz w:val="14"/>
          <w:szCs w:val="14"/>
          <w:color w:val="auto"/>
        </w:rPr>
        <w:t>discretionary award up to 30%, with the exception</w:t>
      </w:r>
    </w:p>
    <w:p>
      <w:pPr>
        <w:ind w:left="3660"/>
        <w:spacing w:after="0" w:line="221" w:lineRule="auto"/>
        <w:rPr>
          <w:sz w:val="20"/>
          <w:szCs w:val="20"/>
          <w:color w:val="auto"/>
        </w:rPr>
      </w:pPr>
      <w:r>
        <w:rPr>
          <w:rFonts w:ascii="Arial" w:cs="Arial" w:eastAsia="Arial" w:hAnsi="Arial"/>
          <w:sz w:val="14"/>
          <w:szCs w:val="14"/>
          <w:color w:val="auto"/>
        </w:rPr>
        <w:t>of Mr. Kanter who was eligible to receive a</w:t>
      </w:r>
    </w:p>
    <w:p>
      <w:pPr>
        <w:spacing w:after="0" w:line="1" w:lineRule="exact"/>
        <w:rPr>
          <w:sz w:val="20"/>
          <w:szCs w:val="20"/>
          <w:color w:val="auto"/>
        </w:rPr>
      </w:pPr>
    </w:p>
    <w:p>
      <w:pPr>
        <w:ind w:left="3660"/>
        <w:spacing w:after="0"/>
        <w:rPr>
          <w:sz w:val="20"/>
          <w:szCs w:val="20"/>
          <w:color w:val="auto"/>
        </w:rPr>
      </w:pPr>
      <w:r>
        <w:rPr>
          <w:rFonts w:ascii="Arial" w:cs="Arial" w:eastAsia="Arial" w:hAnsi="Arial"/>
          <w:sz w:val="14"/>
          <w:szCs w:val="14"/>
          <w:color w:val="auto"/>
        </w:rPr>
        <w:t>discretionary award up to 40%. (2)</w:t>
      </w:r>
    </w:p>
    <w:p>
      <w:pPr>
        <w:spacing w:after="0" w:line="192" w:lineRule="exact"/>
        <w:rPr>
          <w:sz w:val="20"/>
          <w:szCs w:val="20"/>
          <w:color w:val="auto"/>
        </w:rPr>
      </w:pPr>
    </w:p>
    <w:p>
      <w:pPr>
        <w:ind w:left="1780" w:right="80" w:hanging="368"/>
        <w:spacing w:after="0" w:line="238" w:lineRule="auto"/>
        <w:tabs>
          <w:tab w:leader="none" w:pos="1780" w:val="left"/>
        </w:tabs>
        <w:numPr>
          <w:ilvl w:val="0"/>
          <w:numId w:val="9"/>
        </w:numPr>
        <w:rPr>
          <w:rFonts w:ascii="Arial" w:cs="Arial" w:eastAsia="Arial" w:hAnsi="Arial"/>
          <w:sz w:val="14"/>
          <w:szCs w:val="14"/>
          <w:color w:val="auto"/>
        </w:rPr>
      </w:pPr>
      <w:r>
        <w:rPr>
          <w:rFonts w:ascii="Arial" w:cs="Arial" w:eastAsia="Arial" w:hAnsi="Arial"/>
          <w:sz w:val="14"/>
          <w:szCs w:val="14"/>
          <w:color w:val="auto"/>
        </w:rPr>
        <w:t>As permitted under the AIP and approved by the Compensation Committee, fiscal 2020 actual results were adjusted to exclude the impairment of assets. The sales and adjusted EBITDA targets for fiscal 2020 were based on the Company’s May 2020 forecast, which reflected management’s best estimate at the time for the potential impact of the COVID-19 pandemic on its results.</w:t>
      </w:r>
    </w:p>
    <w:p>
      <w:pPr>
        <w:spacing w:after="0" w:line="182" w:lineRule="exact"/>
        <w:rPr>
          <w:rFonts w:ascii="Arial" w:cs="Arial" w:eastAsia="Arial" w:hAnsi="Arial"/>
          <w:sz w:val="14"/>
          <w:szCs w:val="14"/>
          <w:color w:val="auto"/>
        </w:rPr>
      </w:pPr>
    </w:p>
    <w:p>
      <w:pPr>
        <w:ind w:left="1780" w:right="40" w:hanging="368"/>
        <w:spacing w:after="0" w:line="242" w:lineRule="auto"/>
        <w:tabs>
          <w:tab w:leader="none" w:pos="1780" w:val="left"/>
        </w:tabs>
        <w:numPr>
          <w:ilvl w:val="0"/>
          <w:numId w:val="9"/>
        </w:numPr>
        <w:rPr>
          <w:rFonts w:ascii="Arial" w:cs="Arial" w:eastAsia="Arial" w:hAnsi="Arial"/>
          <w:sz w:val="13"/>
          <w:szCs w:val="13"/>
          <w:color w:val="auto"/>
        </w:rPr>
      </w:pPr>
      <w:r>
        <w:rPr>
          <w:rFonts w:ascii="Arial" w:cs="Arial" w:eastAsia="Arial" w:hAnsi="Arial"/>
          <w:sz w:val="13"/>
          <w:szCs w:val="13"/>
          <w:color w:val="auto"/>
        </w:rPr>
        <w:t>Personal goals are part of the Company’s annual performance review. At the start of the fiscal year, each associate, including each of our Named Executive Officers, develops his/her “SMART” goals, each containing a quantifiable measure, which are approved by the CEO. As a result of the pandemic, which forced the closure of all of our stores and threatened the Company’s viability, the overarching objectives of our senior leadership team pivoted substantially. All participants were measured against their ability to react proactively, adapt and identify new and alternative approaches to help drive sales, reduce costs, preserve cash, keep our furloughed/laid-off associates engaged and informed, and establish effective COVID-19 protections and protocols for our remaining staff and our customers. The personal goals for Messrs. Dhoot, Molloy and Gaeta consisted of a combination of quantifiable goals specific to their respective corporate function, such as acceleration of all aspects of the digital platform, ensuring daily compliance with COVID-19 restrictions in each state/county and city, converting some of our stores to mini-warehouses when they were closed to the public to help with the increase in online ordering and then, once re-opened, transitioning our stores to enable our customers to buy online and pick-up at curbside/in-store and to shop socially-distanced amidst other safety protocols. The personal goals for our CFO were quantifiable and were primarily tied to preserving liquidity, managing and reducing expenses (including store rent deferments and abatements) in light of the expected substantial decrease in store revenues. Our CEO’s personal goals were primarily tied to managing the financial performance and liquidity of the Company, and in leading the Company’s operational organization tactically through the pandemic while also leading all of the business units to keep looking ahead strategically to what may be needed in the next 3, 6 or 12 months, or longer term.</w:t>
      </w:r>
    </w:p>
    <w:p>
      <w:pPr>
        <w:spacing w:after="0" w:line="191" w:lineRule="exact"/>
        <w:rPr>
          <w:sz w:val="20"/>
          <w:szCs w:val="20"/>
          <w:color w:val="auto"/>
        </w:rPr>
      </w:pPr>
    </w:p>
    <w:p>
      <w:pPr>
        <w:ind w:left="780" w:right="320"/>
        <w:spacing w:after="0" w:line="308" w:lineRule="auto"/>
        <w:rPr>
          <w:sz w:val="20"/>
          <w:szCs w:val="20"/>
          <w:color w:val="auto"/>
        </w:rPr>
      </w:pPr>
      <w:r>
        <w:rPr>
          <w:rFonts w:ascii="Arial" w:cs="Arial" w:eastAsia="Arial" w:hAnsi="Arial"/>
          <w:sz w:val="17"/>
          <w:szCs w:val="17"/>
          <w:color w:val="auto"/>
        </w:rPr>
        <w:t>As a result of achieving certain performance targets for fiscal 2020, as shown above, in March 2021 the Compensation Committee approved, subject to the completion of the audited financial statements, cash bonus payouts to our NEOs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0" w:type="dxa"/>
            <w:vAlign w:val="bottom"/>
            <w:gridSpan w:val="2"/>
            <w:vMerge w:val="restart"/>
          </w:tcPr>
          <w:p>
            <w:pPr>
              <w:ind w:left="840"/>
              <w:spacing w:after="0"/>
              <w:rPr>
                <w:sz w:val="20"/>
                <w:szCs w:val="20"/>
                <w:color w:val="auto"/>
              </w:rPr>
            </w:pPr>
            <w:r>
              <w:rPr>
                <w:rFonts w:ascii="Arial" w:cs="Arial" w:eastAsia="Arial" w:hAnsi="Arial"/>
                <w:sz w:val="18"/>
                <w:szCs w:val="18"/>
                <w:b w:val="1"/>
                <w:bCs w:val="1"/>
                <w:color w:val="auto"/>
              </w:rPr>
              <w:t>Named Executive Officer</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40" w:type="dxa"/>
            <w:vAlign w:val="bottom"/>
            <w:gridSpan w:val="2"/>
          </w:tcPr>
          <w:p>
            <w:pPr>
              <w:jc w:val="right"/>
              <w:ind w:right="1020"/>
              <w:spacing w:after="0"/>
              <w:rPr>
                <w:sz w:val="20"/>
                <w:szCs w:val="20"/>
                <w:color w:val="auto"/>
              </w:rPr>
            </w:pPr>
            <w:r>
              <w:rPr>
                <w:rFonts w:ascii="Arial" w:cs="Arial" w:eastAsia="Arial" w:hAnsi="Arial"/>
                <w:sz w:val="18"/>
                <w:szCs w:val="18"/>
                <w:b w:val="1"/>
                <w:bCs w:val="1"/>
                <w:color w:val="auto"/>
              </w:rPr>
              <w:t>Payout at</w:t>
            </w:r>
          </w:p>
        </w:tc>
        <w:tc>
          <w:tcPr>
            <w:tcW w:w="23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Total</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340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700" w:type="dxa"/>
            <w:vAlign w:val="bottom"/>
            <w:vMerge w:val="restart"/>
          </w:tcPr>
          <w:p>
            <w:pPr>
              <w:jc w:val="right"/>
              <w:ind w:right="570"/>
              <w:spacing w:after="0"/>
              <w:rPr>
                <w:sz w:val="20"/>
                <w:szCs w:val="20"/>
                <w:color w:val="auto"/>
              </w:rPr>
            </w:pPr>
            <w:r>
              <w:rPr>
                <w:rFonts w:ascii="Arial" w:cs="Arial" w:eastAsia="Arial" w:hAnsi="Arial"/>
                <w:sz w:val="18"/>
                <w:szCs w:val="18"/>
                <w:b w:val="1"/>
                <w:bCs w:val="1"/>
                <w:color w:val="auto"/>
              </w:rPr>
              <w:t>Target (1)</w:t>
            </w:r>
          </w:p>
        </w:tc>
        <w:tc>
          <w:tcPr>
            <w:tcW w:w="340" w:type="dxa"/>
            <w:vAlign w:val="bottom"/>
            <w:vMerge w:val="restart"/>
          </w:tcPr>
          <w:p>
            <w:pPr>
              <w:spacing w:after="0"/>
              <w:rPr>
                <w:sz w:val="10"/>
                <w:szCs w:val="10"/>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3"/>
              </w:rPr>
              <w:t>Payout %</w:t>
            </w:r>
          </w:p>
        </w:tc>
        <w:tc>
          <w:tcPr>
            <w:tcW w:w="24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540" w:type="dxa"/>
            <w:vAlign w:val="bottom"/>
            <w:vMerge w:val="restart"/>
          </w:tcPr>
          <w:p>
            <w:pPr>
              <w:jc w:val="right"/>
              <w:ind w:right="530"/>
              <w:spacing w:after="0"/>
              <w:rPr>
                <w:sz w:val="20"/>
                <w:szCs w:val="20"/>
                <w:color w:val="auto"/>
              </w:rPr>
            </w:pPr>
            <w:r>
              <w:rPr>
                <w:rFonts w:ascii="Arial" w:cs="Arial" w:eastAsia="Arial" w:hAnsi="Arial"/>
                <w:sz w:val="18"/>
                <w:szCs w:val="18"/>
                <w:b w:val="1"/>
                <w:bCs w:val="1"/>
                <w:color w:val="auto"/>
              </w:rPr>
              <w:t>Payout $</w:t>
            </w:r>
          </w:p>
        </w:tc>
        <w:tc>
          <w:tcPr>
            <w:tcW w:w="100" w:type="dxa"/>
            <w:vAlign w:val="bottom"/>
            <w:vMerge w:val="restart"/>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840" w:type="dxa"/>
            <w:vAlign w:val="bottom"/>
          </w:tcPr>
          <w:p>
            <w:pPr>
              <w:spacing w:after="0"/>
              <w:rPr>
                <w:sz w:val="9"/>
                <w:szCs w:val="9"/>
                <w:color w:val="auto"/>
              </w:rPr>
            </w:pPr>
          </w:p>
        </w:tc>
        <w:tc>
          <w:tcPr>
            <w:tcW w:w="2560" w:type="dxa"/>
            <w:vAlign w:val="bottom"/>
            <w:tcBorders>
              <w:bottom w:val="single" w:sz="8" w:color="auto"/>
            </w:tcBorders>
          </w:tcPr>
          <w:p>
            <w:pPr>
              <w:spacing w:after="0"/>
              <w:rPr>
                <w:sz w:val="9"/>
                <w:szCs w:val="9"/>
                <w:color w:val="auto"/>
              </w:rPr>
            </w:pPr>
          </w:p>
        </w:tc>
        <w:tc>
          <w:tcPr>
            <w:tcW w:w="220" w:type="dxa"/>
            <w:vAlign w:val="bottom"/>
            <w:tcBorders>
              <w:bottom w:val="single" w:sz="8" w:color="CFF0FC"/>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700" w:type="dxa"/>
            <w:vAlign w:val="bottom"/>
            <w:tcBorders>
              <w:bottom w:val="single" w:sz="8" w:color="auto"/>
            </w:tcBorders>
            <w:vMerge w:val="continue"/>
          </w:tcPr>
          <w:p>
            <w:pPr>
              <w:spacing w:after="0"/>
              <w:rPr>
                <w:sz w:val="9"/>
                <w:szCs w:val="9"/>
                <w:color w:val="auto"/>
              </w:rPr>
            </w:pPr>
          </w:p>
        </w:tc>
        <w:tc>
          <w:tcPr>
            <w:tcW w:w="340" w:type="dxa"/>
            <w:vAlign w:val="bottom"/>
            <w:tcBorders>
              <w:bottom w:val="single" w:sz="8" w:color="CFF0FC"/>
            </w:tcBorders>
            <w:vMerge w:val="continue"/>
          </w:tcPr>
          <w:p>
            <w:pPr>
              <w:spacing w:after="0"/>
              <w:rPr>
                <w:sz w:val="9"/>
                <w:szCs w:val="9"/>
                <w:color w:val="auto"/>
              </w:rPr>
            </w:pPr>
          </w:p>
        </w:tc>
        <w:tc>
          <w:tcPr>
            <w:tcW w:w="2060" w:type="dxa"/>
            <w:vAlign w:val="bottom"/>
            <w:tcBorders>
              <w:bottom w:val="single" w:sz="8" w:color="auto"/>
            </w:tcBorders>
            <w:vMerge w:val="continue"/>
          </w:tcPr>
          <w:p>
            <w:pPr>
              <w:spacing w:after="0"/>
              <w:rPr>
                <w:sz w:val="9"/>
                <w:szCs w:val="9"/>
                <w:color w:val="auto"/>
              </w:rPr>
            </w:pPr>
          </w:p>
        </w:tc>
        <w:tc>
          <w:tcPr>
            <w:tcW w:w="240" w:type="dxa"/>
            <w:vAlign w:val="bottom"/>
            <w:tcBorders>
              <w:bottom w:val="single" w:sz="8" w:color="CFF0FC"/>
            </w:tcBorders>
            <w:vMerge w:val="continue"/>
          </w:tcPr>
          <w:p>
            <w:pPr>
              <w:spacing w:after="0"/>
              <w:rPr>
                <w:sz w:val="9"/>
                <w:szCs w:val="9"/>
                <w:color w:val="auto"/>
              </w:rPr>
            </w:pPr>
          </w:p>
        </w:tc>
        <w:tc>
          <w:tcPr>
            <w:tcW w:w="100" w:type="dxa"/>
            <w:vAlign w:val="bottom"/>
            <w:tcBorders>
              <w:bottom w:val="single" w:sz="8" w:color="CFF0FC"/>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540" w:type="dxa"/>
            <w:vAlign w:val="bottom"/>
            <w:tcBorders>
              <w:bottom w:val="single" w:sz="8" w:color="auto"/>
            </w:tcBorders>
            <w:vMerge w:val="continue"/>
          </w:tcPr>
          <w:p>
            <w:pPr>
              <w:spacing w:after="0"/>
              <w:rPr>
                <w:sz w:val="9"/>
                <w:szCs w:val="9"/>
                <w:color w:val="auto"/>
              </w:rPr>
            </w:pPr>
          </w:p>
        </w:tc>
        <w:tc>
          <w:tcPr>
            <w:tcW w:w="100" w:type="dxa"/>
            <w:vAlign w:val="bottom"/>
            <w:tcBorders>
              <w:bottom w:val="single" w:sz="8" w:color="CFF0FC"/>
            </w:tcBorders>
            <w:vMerge w:val="continue"/>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840" w:type="dxa"/>
            <w:vAlign w:val="bottom"/>
          </w:tcPr>
          <w:p>
            <w:pPr>
              <w:spacing w:after="0"/>
              <w:rPr>
                <w:sz w:val="19"/>
                <w:szCs w:val="19"/>
                <w:color w:val="auto"/>
              </w:rPr>
            </w:pPr>
          </w:p>
        </w:tc>
        <w:tc>
          <w:tcPr>
            <w:tcW w:w="2560" w:type="dxa"/>
            <w:vAlign w:val="bottom"/>
            <w:shd w:val="clear" w:color="auto" w:fill="CFF0FC"/>
          </w:tcPr>
          <w:p>
            <w:pPr>
              <w:spacing w:after="0"/>
              <w:rPr>
                <w:sz w:val="20"/>
                <w:szCs w:val="20"/>
                <w:color w:val="auto"/>
              </w:rPr>
            </w:pPr>
            <w:r>
              <w:rPr>
                <w:rFonts w:ascii="Arial" w:cs="Arial" w:eastAsia="Arial" w:hAnsi="Arial"/>
                <w:sz w:val="18"/>
                <w:szCs w:val="18"/>
                <w:color w:val="auto"/>
              </w:rPr>
              <w:t>Harvey S. Kanter</w:t>
            </w:r>
          </w:p>
        </w:tc>
        <w:tc>
          <w:tcPr>
            <w:tcW w:w="22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686,942</w:t>
            </w:r>
          </w:p>
        </w:tc>
        <w:tc>
          <w:tcPr>
            <w:tcW w:w="340" w:type="dxa"/>
            <w:vAlign w:val="bottom"/>
            <w:shd w:val="clear" w:color="auto" w:fill="CFF0FC"/>
          </w:tcPr>
          <w:p>
            <w:pPr>
              <w:spacing w:after="0"/>
              <w:rPr>
                <w:sz w:val="19"/>
                <w:szCs w:val="19"/>
                <w:color w:val="auto"/>
              </w:rPr>
            </w:pPr>
          </w:p>
        </w:tc>
        <w:tc>
          <w:tcPr>
            <w:tcW w:w="23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824,331</w:t>
            </w:r>
          </w:p>
        </w:tc>
        <w:tc>
          <w:tcPr>
            <w:tcW w:w="100" w:type="dxa"/>
            <w:vAlign w:val="bottom"/>
            <w:shd w:val="clear" w:color="auto" w:fill="CFF0FC"/>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2560" w:type="dxa"/>
            <w:vAlign w:val="bottom"/>
          </w:tcPr>
          <w:p>
            <w:pPr>
              <w:spacing w:after="0"/>
              <w:rPr>
                <w:sz w:val="20"/>
                <w:szCs w:val="20"/>
                <w:color w:val="auto"/>
              </w:rPr>
            </w:pPr>
            <w:r>
              <w:rPr>
                <w:rFonts w:ascii="Arial" w:cs="Arial" w:eastAsia="Arial" w:hAnsi="Arial"/>
                <w:sz w:val="18"/>
                <w:szCs w:val="18"/>
                <w:color w:val="auto"/>
              </w:rPr>
              <w:t>Peter H. Stratton, Jr.</w:t>
            </w:r>
          </w:p>
        </w:tc>
        <w:tc>
          <w:tcPr>
            <w:tcW w:w="600" w:type="dxa"/>
            <w:vAlign w:val="bottom"/>
            <w:gridSpan w:val="2"/>
          </w:tcPr>
          <w:p>
            <w:pPr>
              <w:jc w:val="right"/>
              <w:ind w:right="227"/>
              <w:spacing w:after="0"/>
              <w:rPr>
                <w:sz w:val="20"/>
                <w:szCs w:val="20"/>
                <w:color w:val="auto"/>
              </w:rPr>
            </w:pPr>
            <w:r>
              <w:rPr>
                <w:rFonts w:ascii="Arial" w:cs="Arial" w:eastAsia="Arial" w:hAnsi="Arial"/>
                <w:sz w:val="18"/>
                <w:szCs w:val="18"/>
                <w:color w:val="auto"/>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203,045</w:t>
            </w:r>
          </w:p>
        </w:tc>
        <w:tc>
          <w:tcPr>
            <w:tcW w:w="340" w:type="dxa"/>
            <w:vAlign w:val="bottom"/>
          </w:tcPr>
          <w:p>
            <w:pPr>
              <w:spacing w:after="0"/>
              <w:rPr>
                <w:sz w:val="19"/>
                <w:szCs w:val="19"/>
                <w:color w:val="auto"/>
              </w:rPr>
            </w:pPr>
          </w:p>
        </w:tc>
        <w:tc>
          <w:tcPr>
            <w:tcW w:w="2300" w:type="dxa"/>
            <w:vAlign w:val="bottom"/>
            <w:gridSpan w:val="2"/>
          </w:tcPr>
          <w:p>
            <w:pPr>
              <w:jc w:val="right"/>
              <w:ind w:right="80"/>
              <w:spacing w:after="0"/>
              <w:rPr>
                <w:sz w:val="20"/>
                <w:szCs w:val="20"/>
                <w:color w:val="auto"/>
              </w:rPr>
            </w:pPr>
            <w:r>
              <w:rPr>
                <w:rFonts w:ascii="Arial" w:cs="Arial" w:eastAsia="Arial" w:hAnsi="Arial"/>
                <w:sz w:val="18"/>
                <w:szCs w:val="18"/>
                <w:color w:val="auto"/>
              </w:rPr>
              <w:t>90%</w:t>
            </w:r>
          </w:p>
        </w:tc>
        <w:tc>
          <w:tcPr>
            <w:tcW w:w="440" w:type="dxa"/>
            <w:vAlign w:val="bottom"/>
            <w:gridSpan w:val="2"/>
          </w:tcPr>
          <w:p>
            <w:pPr>
              <w:jc w:val="right"/>
              <w:ind w:right="187"/>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182,741</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0" w:type="dxa"/>
            <w:vAlign w:val="bottom"/>
          </w:tcPr>
          <w:p>
            <w:pPr>
              <w:spacing w:after="0"/>
              <w:rPr>
                <w:sz w:val="19"/>
                <w:szCs w:val="19"/>
                <w:color w:val="auto"/>
              </w:rPr>
            </w:pPr>
          </w:p>
        </w:tc>
        <w:tc>
          <w:tcPr>
            <w:tcW w:w="2560" w:type="dxa"/>
            <w:vAlign w:val="bottom"/>
            <w:shd w:val="clear" w:color="auto" w:fill="CFF0FC"/>
          </w:tcPr>
          <w:p>
            <w:pPr>
              <w:spacing w:after="0"/>
              <w:rPr>
                <w:sz w:val="20"/>
                <w:szCs w:val="20"/>
                <w:color w:val="auto"/>
              </w:rPr>
            </w:pPr>
            <w:r>
              <w:rPr>
                <w:rFonts w:ascii="Arial" w:cs="Arial" w:eastAsia="Arial" w:hAnsi="Arial"/>
                <w:sz w:val="18"/>
                <w:szCs w:val="18"/>
                <w:color w:val="auto"/>
              </w:rPr>
              <w:t>Ujjwal Dhoot</w:t>
            </w:r>
          </w:p>
        </w:tc>
        <w:tc>
          <w:tcPr>
            <w:tcW w:w="600" w:type="dxa"/>
            <w:vAlign w:val="bottom"/>
            <w:gridSpan w:val="2"/>
            <w:shd w:val="clear" w:color="auto" w:fill="CFF0FC"/>
          </w:tcPr>
          <w:p>
            <w:pPr>
              <w:jc w:val="right"/>
              <w:ind w:right="227"/>
              <w:spacing w:after="0"/>
              <w:rPr>
                <w:sz w:val="20"/>
                <w:szCs w:val="20"/>
                <w:color w:val="auto"/>
              </w:rPr>
            </w:pPr>
            <w:r>
              <w:rPr>
                <w:rFonts w:ascii="Arial" w:cs="Arial" w:eastAsia="Arial" w:hAnsi="Arial"/>
                <w:sz w:val="18"/>
                <w:szCs w:val="18"/>
                <w:color w:val="auto"/>
              </w:rPr>
              <w:t>$</w:t>
            </w: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148,264</w:t>
            </w:r>
          </w:p>
        </w:tc>
        <w:tc>
          <w:tcPr>
            <w:tcW w:w="340" w:type="dxa"/>
            <w:vAlign w:val="bottom"/>
            <w:shd w:val="clear" w:color="auto" w:fill="CFF0FC"/>
          </w:tcPr>
          <w:p>
            <w:pPr>
              <w:spacing w:after="0"/>
              <w:rPr>
                <w:sz w:val="19"/>
                <w:szCs w:val="19"/>
                <w:color w:val="auto"/>
              </w:rPr>
            </w:pPr>
          </w:p>
        </w:tc>
        <w:tc>
          <w:tcPr>
            <w:tcW w:w="23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85%</w:t>
            </w:r>
          </w:p>
        </w:tc>
        <w:tc>
          <w:tcPr>
            <w:tcW w:w="440" w:type="dxa"/>
            <w:vAlign w:val="bottom"/>
            <w:gridSpan w:val="2"/>
            <w:shd w:val="clear" w:color="auto" w:fill="CFF0FC"/>
          </w:tcPr>
          <w:p>
            <w:pPr>
              <w:jc w:val="right"/>
              <w:ind w:right="187"/>
              <w:spacing w:after="0"/>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126,025</w:t>
            </w:r>
          </w:p>
        </w:tc>
        <w:tc>
          <w:tcPr>
            <w:tcW w:w="100" w:type="dxa"/>
            <w:vAlign w:val="bottom"/>
            <w:shd w:val="clear" w:color="auto" w:fill="CFF0FC"/>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2560" w:type="dxa"/>
            <w:vAlign w:val="bottom"/>
          </w:tcPr>
          <w:p>
            <w:pPr>
              <w:spacing w:after="0"/>
              <w:rPr>
                <w:sz w:val="20"/>
                <w:szCs w:val="20"/>
                <w:color w:val="auto"/>
              </w:rPr>
            </w:pPr>
            <w:r>
              <w:rPr>
                <w:rFonts w:ascii="Arial" w:cs="Arial" w:eastAsia="Arial" w:hAnsi="Arial"/>
                <w:sz w:val="18"/>
                <w:szCs w:val="18"/>
                <w:color w:val="auto"/>
              </w:rPr>
              <w:t>Robert S. Molloy</w:t>
            </w:r>
          </w:p>
        </w:tc>
        <w:tc>
          <w:tcPr>
            <w:tcW w:w="600" w:type="dxa"/>
            <w:vAlign w:val="bottom"/>
            <w:gridSpan w:val="2"/>
          </w:tcPr>
          <w:p>
            <w:pPr>
              <w:jc w:val="right"/>
              <w:ind w:right="227"/>
              <w:spacing w:after="0"/>
              <w:rPr>
                <w:sz w:val="20"/>
                <w:szCs w:val="20"/>
                <w:color w:val="auto"/>
              </w:rPr>
            </w:pPr>
            <w:r>
              <w:rPr>
                <w:rFonts w:ascii="Arial" w:cs="Arial" w:eastAsia="Arial" w:hAnsi="Arial"/>
                <w:sz w:val="18"/>
                <w:szCs w:val="18"/>
                <w:color w:val="auto"/>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175,240</w:t>
            </w:r>
          </w:p>
        </w:tc>
        <w:tc>
          <w:tcPr>
            <w:tcW w:w="340" w:type="dxa"/>
            <w:vAlign w:val="bottom"/>
          </w:tcPr>
          <w:p>
            <w:pPr>
              <w:spacing w:after="0"/>
              <w:rPr>
                <w:sz w:val="19"/>
                <w:szCs w:val="19"/>
                <w:color w:val="auto"/>
              </w:rPr>
            </w:pPr>
          </w:p>
        </w:tc>
        <w:tc>
          <w:tcPr>
            <w:tcW w:w="2300" w:type="dxa"/>
            <w:vAlign w:val="bottom"/>
            <w:gridSpan w:val="2"/>
          </w:tcPr>
          <w:p>
            <w:pPr>
              <w:jc w:val="right"/>
              <w:ind w:right="80"/>
              <w:spacing w:after="0"/>
              <w:rPr>
                <w:sz w:val="20"/>
                <w:szCs w:val="20"/>
                <w:color w:val="auto"/>
              </w:rPr>
            </w:pPr>
            <w:r>
              <w:rPr>
                <w:rFonts w:ascii="Arial" w:cs="Arial" w:eastAsia="Arial" w:hAnsi="Arial"/>
                <w:sz w:val="18"/>
                <w:szCs w:val="18"/>
                <w:color w:val="auto"/>
              </w:rPr>
              <w:t>80%</w:t>
            </w:r>
          </w:p>
        </w:tc>
        <w:tc>
          <w:tcPr>
            <w:tcW w:w="440" w:type="dxa"/>
            <w:vAlign w:val="bottom"/>
            <w:gridSpan w:val="2"/>
          </w:tcPr>
          <w:p>
            <w:pPr>
              <w:jc w:val="right"/>
              <w:ind w:right="187"/>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140,192</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2560" w:type="dxa"/>
            <w:vAlign w:val="bottom"/>
            <w:shd w:val="clear" w:color="auto" w:fill="CFF0FC"/>
          </w:tcPr>
          <w:p>
            <w:pPr>
              <w:spacing w:after="0"/>
              <w:rPr>
                <w:sz w:val="20"/>
                <w:szCs w:val="20"/>
                <w:color w:val="auto"/>
              </w:rPr>
            </w:pPr>
            <w:r>
              <w:rPr>
                <w:rFonts w:ascii="Arial" w:cs="Arial" w:eastAsia="Arial" w:hAnsi="Arial"/>
                <w:sz w:val="18"/>
                <w:szCs w:val="18"/>
                <w:color w:val="auto"/>
              </w:rPr>
              <w:t>Anthony J. Gaeta</w:t>
            </w:r>
          </w:p>
        </w:tc>
        <w:tc>
          <w:tcPr>
            <w:tcW w:w="600" w:type="dxa"/>
            <w:vAlign w:val="bottom"/>
            <w:gridSpan w:val="2"/>
            <w:shd w:val="clear" w:color="auto" w:fill="CFF0FC"/>
          </w:tcPr>
          <w:p>
            <w:pPr>
              <w:jc w:val="right"/>
              <w:ind w:right="227"/>
              <w:spacing w:after="0"/>
              <w:rPr>
                <w:sz w:val="20"/>
                <w:szCs w:val="20"/>
                <w:color w:val="auto"/>
              </w:rPr>
            </w:pPr>
            <w:r>
              <w:rPr>
                <w:rFonts w:ascii="Arial" w:cs="Arial" w:eastAsia="Arial" w:hAnsi="Arial"/>
                <w:sz w:val="18"/>
                <w:szCs w:val="18"/>
                <w:color w:val="auto"/>
              </w:rPr>
              <w:t>$</w:t>
            </w: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110,285</w:t>
            </w:r>
          </w:p>
        </w:tc>
        <w:tc>
          <w:tcPr>
            <w:tcW w:w="340" w:type="dxa"/>
            <w:vAlign w:val="bottom"/>
            <w:shd w:val="clear" w:color="auto" w:fill="CFF0FC"/>
          </w:tcPr>
          <w:p>
            <w:pPr>
              <w:spacing w:after="0"/>
              <w:rPr>
                <w:sz w:val="19"/>
                <w:szCs w:val="19"/>
                <w:color w:val="auto"/>
              </w:rPr>
            </w:pPr>
          </w:p>
        </w:tc>
        <w:tc>
          <w:tcPr>
            <w:tcW w:w="23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90%</w:t>
            </w:r>
          </w:p>
        </w:tc>
        <w:tc>
          <w:tcPr>
            <w:tcW w:w="440" w:type="dxa"/>
            <w:vAlign w:val="bottom"/>
            <w:gridSpan w:val="2"/>
            <w:shd w:val="clear" w:color="auto" w:fill="CFF0FC"/>
          </w:tcPr>
          <w:p>
            <w:pPr>
              <w:jc w:val="right"/>
              <w:ind w:right="187"/>
              <w:spacing w:after="0"/>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99,256</w:t>
            </w:r>
          </w:p>
        </w:tc>
        <w:tc>
          <w:tcPr>
            <w:tcW w:w="100" w:type="dxa"/>
            <w:vAlign w:val="bottom"/>
            <w:shd w:val="clear" w:color="auto" w:fill="CFF0FC"/>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8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40" w:type="dxa"/>
            <w:vAlign w:val="bottom"/>
            <w:gridSpan w:val="2"/>
          </w:tcPr>
          <w:p>
            <w:pPr>
              <w:jc w:val="right"/>
              <w:ind w:right="320"/>
              <w:spacing w:after="0"/>
              <w:rPr>
                <w:sz w:val="20"/>
                <w:szCs w:val="20"/>
                <w:color w:val="auto"/>
              </w:rPr>
            </w:pPr>
            <w:r>
              <w:rPr>
                <w:rFonts w:ascii="Arial" w:cs="Arial" w:eastAsia="Arial" w:hAnsi="Arial"/>
                <w:sz w:val="18"/>
                <w:szCs w:val="18"/>
                <w:color w:val="auto"/>
              </w:rPr>
              <w:t>11</w:t>
            </w:r>
          </w:p>
        </w:tc>
        <w:tc>
          <w:tcPr>
            <w:tcW w:w="2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840" w:type="dxa"/>
            <w:vAlign w:val="bottom"/>
            <w:tcBorders>
              <w:bottom w:val="single" w:sz="8" w:color="9A9A9A"/>
            </w:tcBorders>
          </w:tcPr>
          <w:p>
            <w:pPr>
              <w:spacing w:after="0"/>
              <w:rPr>
                <w:sz w:val="24"/>
                <w:szCs w:val="24"/>
                <w:color w:val="auto"/>
              </w:rPr>
            </w:pPr>
          </w:p>
        </w:tc>
        <w:tc>
          <w:tcPr>
            <w:tcW w:w="25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2" w:name="page13"/>
    <w:bookmarkEnd w:id="12"/>
    <w:p>
      <w:pPr>
        <w:ind w:left="1280" w:hanging="368"/>
        <w:spacing w:after="0"/>
        <w:tabs>
          <w:tab w:leader="none" w:pos="12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potential payout at target for each Named Executive Officer was lower in fiscal 2020 due to the temporary reduction in pay discussed above.</w:t>
      </w:r>
    </w:p>
    <w:p>
      <w:pPr>
        <w:spacing w:after="0" w:line="275"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2021 AIP</w:t>
      </w:r>
    </w:p>
    <w:p>
      <w:pPr>
        <w:spacing w:after="0" w:line="225" w:lineRule="exact"/>
        <w:rPr>
          <w:sz w:val="20"/>
          <w:szCs w:val="20"/>
          <w:color w:val="auto"/>
        </w:rPr>
      </w:pPr>
    </w:p>
    <w:p>
      <w:pPr>
        <w:ind w:left="20" w:right="200"/>
        <w:spacing w:after="0" w:line="263" w:lineRule="auto"/>
        <w:rPr>
          <w:sz w:val="20"/>
          <w:szCs w:val="20"/>
          <w:color w:val="auto"/>
        </w:rPr>
      </w:pPr>
      <w:r>
        <w:rPr>
          <w:rFonts w:ascii="Arial" w:cs="Arial" w:eastAsia="Arial" w:hAnsi="Arial"/>
          <w:sz w:val="18"/>
          <w:szCs w:val="18"/>
          <w:color w:val="auto"/>
        </w:rPr>
        <w:t>On April 1, 2021, the Compensation Committee established the financial and operating metrics for the 2021 AIP. The 2021 AIP metrics were expanded from the 2020 AIP to include functional departmental targets for Store Operations, Marketing &amp; Digital, and Merchandise/Planning and Allocation.</w:t>
      </w:r>
    </w:p>
    <w:p>
      <w:pPr>
        <w:spacing w:after="0" w:line="76" w:lineRule="exact"/>
        <w:rPr>
          <w:sz w:val="20"/>
          <w:szCs w:val="20"/>
          <w:color w:val="auto"/>
        </w:rPr>
      </w:pPr>
    </w:p>
    <w:p>
      <w:pPr>
        <w:ind w:left="20" w:right="40"/>
        <w:spacing w:after="0" w:line="293" w:lineRule="auto"/>
        <w:rPr>
          <w:sz w:val="20"/>
          <w:szCs w:val="20"/>
          <w:color w:val="auto"/>
        </w:rPr>
      </w:pPr>
      <w:r>
        <w:rPr>
          <w:rFonts w:ascii="Arial" w:cs="Arial" w:eastAsia="Arial" w:hAnsi="Arial"/>
          <w:sz w:val="16"/>
          <w:szCs w:val="16"/>
          <w:color w:val="auto"/>
        </w:rPr>
        <w:t>The Company’s financial performance metrics for the 2021 AIP include Sales and Adjusted EBITDA and represent 80% of the AIP for Messrs. Kanter, Stratton and Molloy and 40% for Messrs. Dhoot and Gaeta. Messrs. Dhoot and Gaeta’s performance metrics include specific marketing and store operation targets, respectively, and represent 40% of their respective AIP. Discretionary personal goals represent the remaining 20%. The performance targets for fiscal 2020 were set after the start of the pandemic and as a result were based on the expectation that Adjusted EBITDA would be negative. For the 2021 AIP, the performance targets assume that Adjusted EBITDA will be positive for fiscal 2021, although still below historical levels, which, given initial fiscal 2021 performance, still implied meaningful volatility and uncertainty with respect to the pandemic.</w:t>
      </w:r>
    </w:p>
    <w:p>
      <w:pPr>
        <w:spacing w:after="0" w:line="164"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2021 AIP performance metrics approved by the Compensation Committee are as follows:</w:t>
      </w:r>
    </w:p>
    <w:p>
      <w:pPr>
        <w:spacing w:after="0" w:line="204" w:lineRule="exact"/>
        <w:rPr>
          <w:sz w:val="20"/>
          <w:szCs w:val="20"/>
          <w:color w:val="auto"/>
        </w:rPr>
      </w:pPr>
    </w:p>
    <w:tbl>
      <w:tblPr>
        <w:tblLayout w:type="fixed"/>
        <w:tblInd w:w="2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rPr>
              <w:t>Award %</w:t>
            </w: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gridSpan w:val="5"/>
          </w:tcPr>
          <w:p>
            <w:pPr>
              <w:jc w:val="center"/>
              <w:ind w:right="20"/>
              <w:spacing w:after="0" w:line="149" w:lineRule="exact"/>
              <w:rPr>
                <w:sz w:val="20"/>
                <w:szCs w:val="20"/>
                <w:color w:val="auto"/>
              </w:rPr>
            </w:pPr>
            <w:r>
              <w:rPr>
                <w:rFonts w:ascii="Arial" w:cs="Arial" w:eastAsia="Arial" w:hAnsi="Arial"/>
                <w:sz w:val="14"/>
                <w:szCs w:val="14"/>
                <w:b w:val="1"/>
                <w:bCs w:val="1"/>
                <w:color w:val="auto"/>
                <w:w w:val="96"/>
              </w:rPr>
              <w:t>Attributable to</w:t>
            </w:r>
          </w:p>
        </w:tc>
        <w:tc>
          <w:tcPr>
            <w:tcW w:w="1020" w:type="dxa"/>
            <w:vAlign w:val="bottom"/>
            <w:gridSpan w:val="5"/>
            <w:vMerge w:val="restart"/>
          </w:tcPr>
          <w:p>
            <w:pPr>
              <w:jc w:val="center"/>
              <w:spacing w:after="0"/>
              <w:rPr>
                <w:sz w:val="20"/>
                <w:szCs w:val="20"/>
                <w:color w:val="auto"/>
              </w:rPr>
            </w:pPr>
            <w:r>
              <w:rPr>
                <w:rFonts w:ascii="Arial" w:cs="Arial" w:eastAsia="Arial" w:hAnsi="Arial"/>
                <w:sz w:val="14"/>
                <w:szCs w:val="14"/>
                <w:b w:val="1"/>
                <w:bCs w:val="1"/>
                <w:color w:val="auto"/>
              </w:rPr>
              <w:t>Award %</w:t>
            </w:r>
          </w:p>
        </w:tc>
        <w:tc>
          <w:tcPr>
            <w:tcW w:w="980" w:type="dxa"/>
            <w:vAlign w:val="bottom"/>
            <w:gridSpan w:val="5"/>
            <w:vMerge w:val="restart"/>
          </w:tcPr>
          <w:p>
            <w:pPr>
              <w:jc w:val="center"/>
              <w:spacing w:after="0"/>
              <w:rPr>
                <w:sz w:val="20"/>
                <w:szCs w:val="20"/>
                <w:color w:val="auto"/>
              </w:rPr>
            </w:pPr>
            <w:r>
              <w:rPr>
                <w:rFonts w:ascii="Arial" w:cs="Arial" w:eastAsia="Arial" w:hAnsi="Arial"/>
                <w:sz w:val="14"/>
                <w:szCs w:val="14"/>
                <w:b w:val="1"/>
                <w:bCs w:val="1"/>
                <w:color w:val="auto"/>
              </w:rPr>
              <w:t>Award %</w:t>
            </w:r>
          </w:p>
        </w:tc>
        <w:tc>
          <w:tcPr>
            <w:tcW w:w="9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97"/>
              </w:rPr>
              <w:t>Metric, other</w:t>
            </w:r>
          </w:p>
        </w:tc>
        <w:tc>
          <w:tcPr>
            <w:tcW w:w="1020" w:type="dxa"/>
            <w:vAlign w:val="bottom"/>
            <w:gridSpan w:val="5"/>
            <w:vMerge w:val="continue"/>
          </w:tcPr>
          <w:p>
            <w:pPr>
              <w:spacing w:after="0"/>
              <w:rPr>
                <w:sz w:val="12"/>
                <w:szCs w:val="12"/>
                <w:color w:val="auto"/>
              </w:rPr>
            </w:pPr>
          </w:p>
        </w:tc>
        <w:tc>
          <w:tcPr>
            <w:tcW w:w="980" w:type="dxa"/>
            <w:vAlign w:val="bottom"/>
            <w:gridSpan w:val="5"/>
            <w:vMerge w:val="continue"/>
          </w:tcPr>
          <w:p>
            <w:pPr>
              <w:spacing w:after="0"/>
              <w:rPr>
                <w:sz w:val="12"/>
                <w:szCs w:val="12"/>
                <w:color w:val="auto"/>
              </w:rPr>
            </w:pPr>
          </w:p>
        </w:tc>
        <w:tc>
          <w:tcPr>
            <w:tcW w:w="9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91"/>
              </w:rPr>
              <w:t>than Messrs.</w:t>
            </w:r>
          </w:p>
        </w:tc>
        <w:tc>
          <w:tcPr>
            <w:tcW w:w="102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96"/>
              </w:rPr>
              <w:t>Attributable to</w:t>
            </w:r>
          </w:p>
        </w:tc>
        <w:tc>
          <w:tcPr>
            <w:tcW w:w="98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96"/>
              </w:rPr>
              <w:t>Attributable to</w:t>
            </w:r>
          </w:p>
        </w:tc>
        <w:tc>
          <w:tcPr>
            <w:tcW w:w="2920" w:type="dxa"/>
            <w:vAlign w:val="bottom"/>
            <w:gridSpan w:val="3"/>
            <w:vMerge w:val="restart"/>
          </w:tcPr>
          <w:p>
            <w:pPr>
              <w:jc w:val="center"/>
              <w:ind w:right="20"/>
              <w:spacing w:after="0"/>
              <w:rPr>
                <w:sz w:val="20"/>
                <w:szCs w:val="20"/>
                <w:color w:val="auto"/>
              </w:rPr>
            </w:pPr>
            <w:r>
              <w:rPr>
                <w:rFonts w:ascii="Arial" w:cs="Arial" w:eastAsia="Arial" w:hAnsi="Arial"/>
                <w:sz w:val="14"/>
                <w:szCs w:val="14"/>
                <w:b w:val="1"/>
                <w:bCs w:val="1"/>
                <w:color w:val="auto"/>
              </w:rPr>
              <w:t>Minimum/Maximum</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gridSpan w:val="5"/>
          </w:tcPr>
          <w:p>
            <w:pPr>
              <w:jc w:val="center"/>
              <w:ind w:right="20"/>
              <w:spacing w:after="0" w:line="158" w:lineRule="exact"/>
              <w:rPr>
                <w:sz w:val="20"/>
                <w:szCs w:val="20"/>
                <w:color w:val="auto"/>
              </w:rPr>
            </w:pPr>
            <w:r>
              <w:rPr>
                <w:rFonts w:ascii="Arial" w:cs="Arial" w:eastAsia="Arial" w:hAnsi="Arial"/>
                <w:sz w:val="14"/>
                <w:szCs w:val="14"/>
                <w:b w:val="1"/>
                <w:bCs w:val="1"/>
                <w:color w:val="auto"/>
                <w:w w:val="92"/>
              </w:rPr>
              <w:t>Dhoot and</w:t>
            </w:r>
          </w:p>
        </w:tc>
        <w:tc>
          <w:tcPr>
            <w:tcW w:w="1020" w:type="dxa"/>
            <w:vAlign w:val="bottom"/>
            <w:gridSpan w:val="5"/>
          </w:tcPr>
          <w:p>
            <w:pPr>
              <w:jc w:val="center"/>
              <w:spacing w:after="0" w:line="158" w:lineRule="exact"/>
              <w:rPr>
                <w:sz w:val="20"/>
                <w:szCs w:val="20"/>
                <w:color w:val="auto"/>
              </w:rPr>
            </w:pPr>
            <w:r>
              <w:rPr>
                <w:rFonts w:ascii="Arial" w:cs="Arial" w:eastAsia="Arial" w:hAnsi="Arial"/>
                <w:sz w:val="14"/>
                <w:szCs w:val="14"/>
                <w:b w:val="1"/>
                <w:bCs w:val="1"/>
                <w:color w:val="auto"/>
                <w:w w:val="99"/>
              </w:rPr>
              <w:t>Metric for Mr.</w:t>
            </w:r>
          </w:p>
        </w:tc>
        <w:tc>
          <w:tcPr>
            <w:tcW w:w="980" w:type="dxa"/>
            <w:vAlign w:val="bottom"/>
            <w:gridSpan w:val="5"/>
          </w:tcPr>
          <w:p>
            <w:pPr>
              <w:jc w:val="center"/>
              <w:spacing w:after="0" w:line="158" w:lineRule="exact"/>
              <w:rPr>
                <w:sz w:val="20"/>
                <w:szCs w:val="20"/>
                <w:color w:val="auto"/>
              </w:rPr>
            </w:pPr>
            <w:r>
              <w:rPr>
                <w:rFonts w:ascii="Arial" w:cs="Arial" w:eastAsia="Arial" w:hAnsi="Arial"/>
                <w:sz w:val="14"/>
                <w:szCs w:val="14"/>
                <w:b w:val="1"/>
                <w:bCs w:val="1"/>
                <w:color w:val="auto"/>
                <w:w w:val="99"/>
              </w:rPr>
              <w:t>Metric for Mr.</w:t>
            </w:r>
          </w:p>
        </w:tc>
        <w:tc>
          <w:tcPr>
            <w:tcW w:w="29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vMerge w:val="restart"/>
          </w:tcPr>
          <w:p>
            <w:pPr>
              <w:spacing w:after="0" w:line="149" w:lineRule="exact"/>
              <w:rPr>
                <w:sz w:val="20"/>
                <w:szCs w:val="20"/>
                <w:color w:val="auto"/>
              </w:rPr>
            </w:pPr>
            <w:r>
              <w:rPr>
                <w:rFonts w:ascii="Arial" w:cs="Arial" w:eastAsia="Arial" w:hAnsi="Arial"/>
                <w:sz w:val="14"/>
                <w:szCs w:val="14"/>
                <w:b w:val="1"/>
                <w:bCs w:val="1"/>
                <w:color w:val="auto"/>
                <w:w w:val="96"/>
              </w:rPr>
              <w:t>Metric</w:t>
            </w:r>
          </w:p>
        </w:tc>
        <w:tc>
          <w:tcPr>
            <w:tcW w:w="320" w:type="dxa"/>
            <w:vAlign w:val="bottom"/>
            <w:vMerge w:val="restart"/>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980" w:type="dxa"/>
            <w:vAlign w:val="bottom"/>
            <w:gridSpan w:val="2"/>
            <w:vMerge w:val="restart"/>
          </w:tcPr>
          <w:p>
            <w:pPr>
              <w:jc w:val="center"/>
              <w:ind w:right="960"/>
              <w:spacing w:after="0" w:line="149" w:lineRule="exact"/>
              <w:rPr>
                <w:sz w:val="20"/>
                <w:szCs w:val="20"/>
                <w:color w:val="auto"/>
              </w:rPr>
            </w:pPr>
            <w:r>
              <w:rPr>
                <w:rFonts w:ascii="Arial" w:cs="Arial" w:eastAsia="Arial" w:hAnsi="Arial"/>
                <w:sz w:val="14"/>
                <w:szCs w:val="14"/>
                <w:b w:val="1"/>
                <w:bCs w:val="1"/>
                <w:color w:val="auto"/>
                <w:w w:val="92"/>
              </w:rPr>
              <w:t>Potential Payout</w:t>
            </w: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vMerge w:val="continue"/>
          </w:tcPr>
          <w:p>
            <w:pPr>
              <w:spacing w:after="0"/>
              <w:rPr>
                <w:sz w:val="11"/>
                <w:szCs w:val="11"/>
                <w:color w:val="auto"/>
              </w:rPr>
            </w:pPr>
          </w:p>
        </w:tc>
        <w:tc>
          <w:tcPr>
            <w:tcW w:w="32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gridSpan w:val="3"/>
          </w:tcPr>
          <w:p>
            <w:pPr>
              <w:jc w:val="center"/>
              <w:ind w:right="140"/>
              <w:spacing w:after="0" w:line="129" w:lineRule="exact"/>
              <w:rPr>
                <w:sz w:val="20"/>
                <w:szCs w:val="20"/>
                <w:color w:val="auto"/>
              </w:rPr>
            </w:pPr>
            <w:r>
              <w:rPr>
                <w:rFonts w:ascii="Arial" w:cs="Arial" w:eastAsia="Arial" w:hAnsi="Arial"/>
                <w:sz w:val="14"/>
                <w:szCs w:val="14"/>
                <w:b w:val="1"/>
                <w:bCs w:val="1"/>
                <w:color w:val="auto"/>
                <w:w w:val="92"/>
              </w:rPr>
              <w:t>Gaeta</w:t>
            </w: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gridSpan w:val="4"/>
          </w:tcPr>
          <w:p>
            <w:pPr>
              <w:jc w:val="center"/>
              <w:ind w:right="300"/>
              <w:spacing w:after="0" w:line="129" w:lineRule="exact"/>
              <w:rPr>
                <w:sz w:val="20"/>
                <w:szCs w:val="20"/>
                <w:color w:val="auto"/>
              </w:rPr>
            </w:pPr>
            <w:r>
              <w:rPr>
                <w:rFonts w:ascii="Arial" w:cs="Arial" w:eastAsia="Arial" w:hAnsi="Arial"/>
                <w:sz w:val="14"/>
                <w:szCs w:val="14"/>
                <w:b w:val="1"/>
                <w:bCs w:val="1"/>
                <w:color w:val="auto"/>
                <w:w w:val="93"/>
              </w:rPr>
              <w:t>Dhoot</w:t>
            </w:r>
          </w:p>
        </w:tc>
        <w:tc>
          <w:tcPr>
            <w:tcW w:w="320" w:type="dxa"/>
            <w:vAlign w:val="bottom"/>
          </w:tcPr>
          <w:p>
            <w:pPr>
              <w:spacing w:after="0"/>
              <w:rPr>
                <w:sz w:val="11"/>
                <w:szCs w:val="11"/>
                <w:color w:val="auto"/>
              </w:rPr>
            </w:pPr>
          </w:p>
        </w:tc>
        <w:tc>
          <w:tcPr>
            <w:tcW w:w="660" w:type="dxa"/>
            <w:vAlign w:val="bottom"/>
            <w:gridSpan w:val="4"/>
          </w:tcPr>
          <w:p>
            <w:pPr>
              <w:jc w:val="center"/>
              <w:ind w:right="300"/>
              <w:spacing w:after="0" w:line="129" w:lineRule="exact"/>
              <w:rPr>
                <w:sz w:val="20"/>
                <w:szCs w:val="20"/>
                <w:color w:val="auto"/>
              </w:rPr>
            </w:pPr>
            <w:r>
              <w:rPr>
                <w:rFonts w:ascii="Arial" w:cs="Arial" w:eastAsia="Arial" w:hAnsi="Arial"/>
                <w:sz w:val="14"/>
                <w:szCs w:val="14"/>
                <w:b w:val="1"/>
                <w:bCs w:val="1"/>
                <w:color w:val="auto"/>
                <w:w w:val="92"/>
              </w:rPr>
              <w:t>Gaeta</w:t>
            </w:r>
          </w:p>
        </w:tc>
        <w:tc>
          <w:tcPr>
            <w:tcW w:w="940" w:type="dxa"/>
            <w:vAlign w:val="bottom"/>
          </w:tcPr>
          <w:p>
            <w:pPr>
              <w:spacing w:after="0"/>
              <w:rPr>
                <w:sz w:val="11"/>
                <w:szCs w:val="11"/>
                <w:color w:val="auto"/>
              </w:rPr>
            </w:pPr>
          </w:p>
        </w:tc>
        <w:tc>
          <w:tcPr>
            <w:tcW w:w="19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20" w:type="dxa"/>
            <w:vAlign w:val="bottom"/>
            <w:vMerge w:val="continue"/>
          </w:tcPr>
          <w:p>
            <w:pPr>
              <w:spacing w:after="0"/>
              <w:rPr>
                <w:sz w:val="10"/>
                <w:szCs w:val="10"/>
                <w:color w:val="auto"/>
              </w:rPr>
            </w:pPr>
          </w:p>
        </w:tc>
        <w:tc>
          <w:tcPr>
            <w:tcW w:w="2360" w:type="dxa"/>
            <w:vAlign w:val="bottom"/>
            <w:shd w:val="clear" w:color="auto" w:fill="CFF0FC"/>
          </w:tcPr>
          <w:p>
            <w:pPr>
              <w:spacing w:after="0" w:line="119" w:lineRule="exact"/>
              <w:rPr>
                <w:sz w:val="20"/>
                <w:szCs w:val="20"/>
                <w:color w:val="auto"/>
              </w:rPr>
            </w:pPr>
            <w:r>
              <w:rPr>
                <w:rFonts w:ascii="Arial" w:cs="Arial" w:eastAsia="Arial" w:hAnsi="Arial"/>
                <w:sz w:val="13"/>
                <w:szCs w:val="13"/>
                <w:b w:val="1"/>
                <w:bCs w:val="1"/>
                <w:color w:val="auto"/>
              </w:rPr>
              <w:t>Corporate</w:t>
            </w:r>
          </w:p>
        </w:tc>
        <w:tc>
          <w:tcPr>
            <w:tcW w:w="1380" w:type="dxa"/>
            <w:vAlign w:val="bottom"/>
            <w:gridSpan w:val="3"/>
            <w:shd w:val="clear" w:color="auto" w:fill="CFF0FC"/>
          </w:tcPr>
          <w:p>
            <w:pPr>
              <w:ind w:left="340"/>
              <w:spacing w:after="0" w:line="119" w:lineRule="exact"/>
              <w:rPr>
                <w:sz w:val="20"/>
                <w:szCs w:val="20"/>
                <w:color w:val="auto"/>
              </w:rPr>
            </w:pPr>
            <w:r>
              <w:rPr>
                <w:rFonts w:ascii="Arial" w:cs="Arial" w:eastAsia="Arial" w:hAnsi="Arial"/>
                <w:sz w:val="13"/>
                <w:szCs w:val="13"/>
                <w:color w:val="auto"/>
              </w:rPr>
              <w:t>Sales</w:t>
            </w:r>
          </w:p>
        </w:tc>
        <w:tc>
          <w:tcPr>
            <w:tcW w:w="840" w:type="dxa"/>
            <w:vAlign w:val="bottom"/>
            <w:gridSpan w:val="4"/>
            <w:shd w:val="clear" w:color="auto" w:fill="CFF0FC"/>
          </w:tcPr>
          <w:p>
            <w:pPr>
              <w:jc w:val="center"/>
              <w:ind w:left="129"/>
              <w:spacing w:after="0" w:line="119" w:lineRule="exact"/>
              <w:rPr>
                <w:sz w:val="20"/>
                <w:szCs w:val="20"/>
                <w:color w:val="auto"/>
              </w:rPr>
            </w:pPr>
            <w:r>
              <w:rPr>
                <w:rFonts w:ascii="Arial" w:cs="Arial" w:eastAsia="Arial" w:hAnsi="Arial"/>
                <w:sz w:val="13"/>
                <w:szCs w:val="13"/>
                <w:color w:val="auto"/>
                <w:w w:val="97"/>
              </w:rPr>
              <w:t>40.0%</w:t>
            </w:r>
          </w:p>
        </w:tc>
        <w:tc>
          <w:tcPr>
            <w:tcW w:w="220" w:type="dxa"/>
            <w:vAlign w:val="bottom"/>
            <w:shd w:val="clear" w:color="auto" w:fill="CFF0FC"/>
          </w:tcPr>
          <w:p>
            <w:pPr>
              <w:spacing w:after="0"/>
              <w:rPr>
                <w:sz w:val="10"/>
                <w:szCs w:val="10"/>
                <w:color w:val="auto"/>
              </w:rPr>
            </w:pPr>
          </w:p>
        </w:tc>
        <w:tc>
          <w:tcPr>
            <w:tcW w:w="720" w:type="dxa"/>
            <w:vAlign w:val="bottom"/>
            <w:gridSpan w:val="2"/>
            <w:shd w:val="clear" w:color="auto" w:fill="CFF0FC"/>
          </w:tcPr>
          <w:p>
            <w:pPr>
              <w:jc w:val="center"/>
              <w:ind w:left="249"/>
              <w:spacing w:after="0" w:line="119" w:lineRule="exact"/>
              <w:rPr>
                <w:sz w:val="20"/>
                <w:szCs w:val="20"/>
                <w:color w:val="auto"/>
              </w:rPr>
            </w:pPr>
            <w:r>
              <w:rPr>
                <w:rFonts w:ascii="Arial" w:cs="Arial" w:eastAsia="Arial" w:hAnsi="Arial"/>
                <w:sz w:val="13"/>
                <w:szCs w:val="13"/>
                <w:color w:val="auto"/>
                <w:w w:val="97"/>
              </w:rPr>
              <w:t>20.0%</w:t>
            </w:r>
          </w:p>
        </w:tc>
        <w:tc>
          <w:tcPr>
            <w:tcW w:w="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80" w:type="dxa"/>
            <w:vAlign w:val="bottom"/>
            <w:gridSpan w:val="2"/>
            <w:shd w:val="clear" w:color="auto" w:fill="CFF0FC"/>
          </w:tcPr>
          <w:p>
            <w:pPr>
              <w:jc w:val="center"/>
              <w:ind w:left="249"/>
              <w:spacing w:after="0" w:line="119" w:lineRule="exact"/>
              <w:rPr>
                <w:sz w:val="20"/>
                <w:szCs w:val="20"/>
                <w:color w:val="auto"/>
              </w:rPr>
            </w:pPr>
            <w:r>
              <w:rPr>
                <w:rFonts w:ascii="Arial" w:cs="Arial" w:eastAsia="Arial" w:hAnsi="Arial"/>
                <w:sz w:val="13"/>
                <w:szCs w:val="13"/>
                <w:color w:val="auto"/>
                <w:w w:val="97"/>
              </w:rPr>
              <w:t>20.0%</w:t>
            </w:r>
          </w:p>
        </w:tc>
        <w:tc>
          <w:tcPr>
            <w:tcW w:w="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920" w:type="dxa"/>
            <w:vAlign w:val="bottom"/>
            <w:gridSpan w:val="3"/>
            <w:shd w:val="clear" w:color="auto" w:fill="CFF0FC"/>
          </w:tcPr>
          <w:p>
            <w:pPr>
              <w:ind w:left="20"/>
              <w:spacing w:after="0" w:line="119" w:lineRule="exact"/>
              <w:rPr>
                <w:sz w:val="20"/>
                <w:szCs w:val="20"/>
                <w:color w:val="auto"/>
              </w:rPr>
            </w:pPr>
            <w:r>
              <w:rPr>
                <w:rFonts w:ascii="Arial" w:cs="Arial" w:eastAsia="Arial" w:hAnsi="Arial"/>
                <w:sz w:val="13"/>
                <w:szCs w:val="13"/>
                <w:color w:val="auto"/>
              </w:rPr>
              <w:t>100% payout at target, with 50% payout at</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360" w:type="dxa"/>
            <w:vAlign w:val="bottom"/>
            <w:shd w:val="clear" w:color="auto" w:fill="CFF0FC"/>
          </w:tcPr>
          <w:p>
            <w:pPr>
              <w:spacing w:after="0" w:line="153" w:lineRule="exact"/>
              <w:rPr>
                <w:sz w:val="20"/>
                <w:szCs w:val="20"/>
                <w:color w:val="auto"/>
              </w:rPr>
            </w:pPr>
            <w:r>
              <w:rPr>
                <w:rFonts w:ascii="Arial" w:cs="Arial" w:eastAsia="Arial" w:hAnsi="Arial"/>
                <w:sz w:val="14"/>
                <w:szCs w:val="14"/>
                <w:b w:val="1"/>
                <w:bCs w:val="1"/>
                <w:color w:val="auto"/>
              </w:rPr>
              <w:t>Target 1</w:t>
            </w:r>
          </w:p>
        </w:tc>
        <w:tc>
          <w:tcPr>
            <w:tcW w:w="64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2920" w:type="dxa"/>
            <w:vAlign w:val="bottom"/>
            <w:gridSpan w:val="3"/>
            <w:shd w:val="clear" w:color="auto" w:fill="CFF0FC"/>
          </w:tcPr>
          <w:p>
            <w:pPr>
              <w:ind w:left="20"/>
              <w:spacing w:after="0" w:line="153" w:lineRule="exact"/>
              <w:rPr>
                <w:sz w:val="20"/>
                <w:szCs w:val="20"/>
                <w:color w:val="auto"/>
              </w:rPr>
            </w:pPr>
            <w:r>
              <w:rPr>
                <w:rFonts w:ascii="Arial" w:cs="Arial" w:eastAsia="Arial" w:hAnsi="Arial"/>
                <w:sz w:val="14"/>
                <w:szCs w:val="14"/>
                <w:color w:val="auto"/>
                <w:w w:val="99"/>
              </w:rPr>
              <w:t>95.7% of target and 150% payout at 104.3% of</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6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920" w:type="dxa"/>
            <w:vAlign w:val="bottom"/>
            <w:gridSpan w:val="3"/>
            <w:shd w:val="clear" w:color="auto" w:fill="CFF0FC"/>
          </w:tcPr>
          <w:p>
            <w:pPr>
              <w:ind w:left="20"/>
              <w:spacing w:after="0" w:line="149" w:lineRule="exact"/>
              <w:rPr>
                <w:sz w:val="20"/>
                <w:szCs w:val="20"/>
                <w:color w:val="auto"/>
              </w:rPr>
            </w:pPr>
            <w:r>
              <w:rPr>
                <w:rFonts w:ascii="Arial" w:cs="Arial" w:eastAsia="Arial" w:hAnsi="Arial"/>
                <w:sz w:val="14"/>
                <w:szCs w:val="14"/>
                <w:color w:val="auto"/>
              </w:rPr>
              <w:t>target, with the exception of Mr. Kanter who is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920" w:type="dxa"/>
            <w:vAlign w:val="bottom"/>
            <w:gridSpan w:val="3"/>
            <w:shd w:val="clear" w:color="auto" w:fill="CFF0FC"/>
          </w:tcPr>
          <w:p>
            <w:pPr>
              <w:ind w:left="20"/>
              <w:spacing w:after="0" w:line="149" w:lineRule="exact"/>
              <w:rPr>
                <w:sz w:val="20"/>
                <w:szCs w:val="20"/>
                <w:color w:val="auto"/>
              </w:rPr>
            </w:pPr>
            <w:r>
              <w:rPr>
                <w:rFonts w:ascii="Arial" w:cs="Arial" w:eastAsia="Arial" w:hAnsi="Arial"/>
                <w:sz w:val="14"/>
                <w:szCs w:val="14"/>
                <w:color w:val="auto"/>
              </w:rPr>
              <w:t>eligible  for  maximum  payout  of  200%  at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36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920" w:type="dxa"/>
            <w:vAlign w:val="bottom"/>
            <w:gridSpan w:val="3"/>
            <w:shd w:val="clear" w:color="auto" w:fill="CFF0FC"/>
          </w:tcPr>
          <w:p>
            <w:pPr>
              <w:ind w:left="20"/>
              <w:spacing w:after="0"/>
              <w:rPr>
                <w:sz w:val="20"/>
                <w:szCs w:val="20"/>
                <w:color w:val="auto"/>
              </w:rPr>
            </w:pPr>
            <w:r>
              <w:rPr>
                <w:rFonts w:ascii="Arial" w:cs="Arial" w:eastAsia="Arial" w:hAnsi="Arial"/>
                <w:sz w:val="14"/>
                <w:szCs w:val="14"/>
                <w:color w:val="auto"/>
              </w:rPr>
              <w:t>104.3% of target.</w:t>
            </w:r>
          </w:p>
        </w:tc>
        <w:tc>
          <w:tcPr>
            <w:tcW w:w="0" w:type="dxa"/>
            <w:vAlign w:val="bottom"/>
          </w:tcPr>
          <w:p>
            <w:pPr>
              <w:spacing w:after="0"/>
              <w:rPr>
                <w:sz w:val="1"/>
                <w:szCs w:val="1"/>
                <w:color w:val="auto"/>
              </w:rPr>
            </w:pPr>
          </w:p>
        </w:tc>
      </w:tr>
      <w:tr>
        <w:trPr>
          <w:trHeight w:val="134"/>
        </w:trPr>
        <w:tc>
          <w:tcPr>
            <w:tcW w:w="20" w:type="dxa"/>
            <w:vAlign w:val="bottom"/>
            <w:vMerge w:val="restart"/>
          </w:tcPr>
          <w:p>
            <w:pPr>
              <w:spacing w:after="0"/>
              <w:rPr>
                <w:sz w:val="11"/>
                <w:szCs w:val="11"/>
                <w:color w:val="auto"/>
              </w:rPr>
            </w:pPr>
          </w:p>
        </w:tc>
        <w:tc>
          <w:tcPr>
            <w:tcW w:w="23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360" w:type="dxa"/>
            <w:vAlign w:val="bottom"/>
          </w:tcPr>
          <w:p>
            <w:pPr>
              <w:spacing w:after="0" w:line="126" w:lineRule="exact"/>
              <w:rPr>
                <w:sz w:val="20"/>
                <w:szCs w:val="20"/>
                <w:color w:val="auto"/>
              </w:rPr>
            </w:pPr>
            <w:r>
              <w:rPr>
                <w:rFonts w:ascii="Arial" w:cs="Arial" w:eastAsia="Arial" w:hAnsi="Arial"/>
                <w:sz w:val="14"/>
                <w:szCs w:val="14"/>
                <w:b w:val="1"/>
                <w:bCs w:val="1"/>
                <w:color w:val="auto"/>
              </w:rPr>
              <w:t>Corporate</w:t>
            </w:r>
          </w:p>
        </w:tc>
        <w:tc>
          <w:tcPr>
            <w:tcW w:w="1380" w:type="dxa"/>
            <w:vAlign w:val="bottom"/>
            <w:gridSpan w:val="3"/>
          </w:tcPr>
          <w:p>
            <w:pPr>
              <w:ind w:left="340"/>
              <w:spacing w:after="0" w:line="126" w:lineRule="exact"/>
              <w:rPr>
                <w:sz w:val="20"/>
                <w:szCs w:val="20"/>
                <w:color w:val="auto"/>
              </w:rPr>
            </w:pPr>
            <w:r>
              <w:rPr>
                <w:rFonts w:ascii="Arial" w:cs="Arial" w:eastAsia="Arial" w:hAnsi="Arial"/>
                <w:sz w:val="14"/>
                <w:szCs w:val="14"/>
                <w:color w:val="auto"/>
              </w:rPr>
              <w:t>Adjusted</w:t>
            </w:r>
          </w:p>
        </w:tc>
        <w:tc>
          <w:tcPr>
            <w:tcW w:w="840" w:type="dxa"/>
            <w:vAlign w:val="bottom"/>
            <w:gridSpan w:val="4"/>
          </w:tcPr>
          <w:p>
            <w:pPr>
              <w:jc w:val="center"/>
              <w:ind w:left="129"/>
              <w:spacing w:after="0" w:line="126" w:lineRule="exact"/>
              <w:rPr>
                <w:sz w:val="20"/>
                <w:szCs w:val="20"/>
                <w:color w:val="auto"/>
              </w:rPr>
            </w:pPr>
            <w:r>
              <w:rPr>
                <w:rFonts w:ascii="Arial" w:cs="Arial" w:eastAsia="Arial" w:hAnsi="Arial"/>
                <w:sz w:val="14"/>
                <w:szCs w:val="14"/>
                <w:color w:val="auto"/>
                <w:w w:val="90"/>
              </w:rPr>
              <w:t>40.0%</w:t>
            </w:r>
          </w:p>
        </w:tc>
        <w:tc>
          <w:tcPr>
            <w:tcW w:w="220" w:type="dxa"/>
            <w:vAlign w:val="bottom"/>
          </w:tcPr>
          <w:p>
            <w:pPr>
              <w:spacing w:after="0"/>
              <w:rPr>
                <w:sz w:val="10"/>
                <w:szCs w:val="10"/>
                <w:color w:val="auto"/>
              </w:rPr>
            </w:pPr>
          </w:p>
        </w:tc>
        <w:tc>
          <w:tcPr>
            <w:tcW w:w="720" w:type="dxa"/>
            <w:vAlign w:val="bottom"/>
            <w:gridSpan w:val="2"/>
          </w:tcPr>
          <w:p>
            <w:pPr>
              <w:jc w:val="center"/>
              <w:ind w:left="249"/>
              <w:spacing w:after="0" w:line="126" w:lineRule="exact"/>
              <w:rPr>
                <w:sz w:val="20"/>
                <w:szCs w:val="20"/>
                <w:color w:val="auto"/>
              </w:rPr>
            </w:pPr>
            <w:r>
              <w:rPr>
                <w:rFonts w:ascii="Arial" w:cs="Arial" w:eastAsia="Arial" w:hAnsi="Arial"/>
                <w:sz w:val="14"/>
                <w:szCs w:val="14"/>
                <w:color w:val="auto"/>
                <w:w w:val="90"/>
              </w:rPr>
              <w:t>20.0%</w:t>
            </w: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gridSpan w:val="3"/>
          </w:tcPr>
          <w:p>
            <w:pPr>
              <w:jc w:val="center"/>
              <w:ind w:left="209"/>
              <w:spacing w:after="0" w:line="126" w:lineRule="exact"/>
              <w:rPr>
                <w:sz w:val="20"/>
                <w:szCs w:val="20"/>
                <w:color w:val="auto"/>
              </w:rPr>
            </w:pPr>
            <w:r>
              <w:rPr>
                <w:rFonts w:ascii="Arial" w:cs="Arial" w:eastAsia="Arial" w:hAnsi="Arial"/>
                <w:sz w:val="14"/>
                <w:szCs w:val="14"/>
                <w:color w:val="auto"/>
                <w:w w:val="90"/>
              </w:rPr>
              <w:t>20.0%</w:t>
            </w: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920" w:type="dxa"/>
            <w:vAlign w:val="bottom"/>
            <w:gridSpan w:val="3"/>
          </w:tcPr>
          <w:p>
            <w:pPr>
              <w:ind w:left="20"/>
              <w:spacing w:after="0" w:line="126" w:lineRule="exact"/>
              <w:rPr>
                <w:sz w:val="20"/>
                <w:szCs w:val="20"/>
                <w:color w:val="auto"/>
              </w:rPr>
            </w:pPr>
            <w:r>
              <w:rPr>
                <w:rFonts w:ascii="Arial" w:cs="Arial" w:eastAsia="Arial" w:hAnsi="Arial"/>
                <w:sz w:val="14"/>
                <w:szCs w:val="14"/>
                <w:color w:val="auto"/>
              </w:rPr>
              <w:t>100% payout at target, with 50% payout at</w:t>
            </w:r>
          </w:p>
        </w:tc>
        <w:tc>
          <w:tcPr>
            <w:tcW w:w="0" w:type="dxa"/>
            <w:vAlign w:val="bottom"/>
          </w:tcPr>
          <w:p>
            <w:pPr>
              <w:spacing w:after="0"/>
              <w:rPr>
                <w:sz w:val="1"/>
                <w:szCs w:val="1"/>
                <w:color w:val="auto"/>
              </w:rPr>
            </w:pPr>
          </w:p>
        </w:tc>
      </w:tr>
      <w:tr>
        <w:trPr>
          <w:trHeight w:val="153"/>
        </w:trPr>
        <w:tc>
          <w:tcPr>
            <w:tcW w:w="238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rPr>
              <w:t>Target 2</w:t>
            </w:r>
          </w:p>
        </w:tc>
        <w:tc>
          <w:tcPr>
            <w:tcW w:w="1380" w:type="dxa"/>
            <w:vAlign w:val="bottom"/>
            <w:gridSpan w:val="3"/>
          </w:tcPr>
          <w:p>
            <w:pPr>
              <w:ind w:left="340"/>
              <w:spacing w:after="0" w:line="153" w:lineRule="exact"/>
              <w:rPr>
                <w:sz w:val="20"/>
                <w:szCs w:val="20"/>
                <w:color w:val="auto"/>
              </w:rPr>
            </w:pPr>
            <w:r>
              <w:rPr>
                <w:rFonts w:ascii="Arial" w:cs="Arial" w:eastAsia="Arial" w:hAnsi="Arial"/>
                <w:sz w:val="14"/>
                <w:szCs w:val="14"/>
                <w:color w:val="auto"/>
              </w:rPr>
              <w:t>EBITDA</w:t>
            </w: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920" w:type="dxa"/>
            <w:vAlign w:val="bottom"/>
            <w:gridSpan w:val="3"/>
          </w:tcPr>
          <w:p>
            <w:pPr>
              <w:ind w:left="20"/>
              <w:spacing w:after="0" w:line="153" w:lineRule="exact"/>
              <w:rPr>
                <w:sz w:val="20"/>
                <w:szCs w:val="20"/>
                <w:color w:val="auto"/>
              </w:rPr>
            </w:pPr>
            <w:r>
              <w:rPr>
                <w:rFonts w:ascii="Arial" w:cs="Arial" w:eastAsia="Arial" w:hAnsi="Arial"/>
                <w:sz w:val="14"/>
                <w:szCs w:val="14"/>
                <w:color w:val="auto"/>
                <w:w w:val="99"/>
              </w:rPr>
              <w:t>64.5% of target and 150% payout at 135.5% of</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92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target, with the exception of Mr. Kanter who is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92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eligible for a maximum payout of 200% at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920" w:type="dxa"/>
            <w:vAlign w:val="bottom"/>
            <w:gridSpan w:val="3"/>
          </w:tcPr>
          <w:p>
            <w:pPr>
              <w:ind w:left="20"/>
              <w:spacing w:after="0"/>
              <w:rPr>
                <w:sz w:val="20"/>
                <w:szCs w:val="20"/>
                <w:color w:val="auto"/>
              </w:rPr>
            </w:pPr>
            <w:r>
              <w:rPr>
                <w:rFonts w:ascii="Arial" w:cs="Arial" w:eastAsia="Arial" w:hAnsi="Arial"/>
                <w:sz w:val="14"/>
                <w:szCs w:val="14"/>
                <w:color w:val="auto"/>
              </w:rPr>
              <w:t>135.5% of target.</w:t>
            </w:r>
          </w:p>
        </w:tc>
        <w:tc>
          <w:tcPr>
            <w:tcW w:w="0" w:type="dxa"/>
            <w:vAlign w:val="bottom"/>
          </w:tcPr>
          <w:p>
            <w:pPr>
              <w:spacing w:after="0"/>
              <w:rPr>
                <w:sz w:val="1"/>
                <w:szCs w:val="1"/>
                <w:color w:val="auto"/>
              </w:rPr>
            </w:pPr>
          </w:p>
        </w:tc>
      </w:tr>
      <w:tr>
        <w:trPr>
          <w:trHeight w:val="133"/>
        </w:trPr>
        <w:tc>
          <w:tcPr>
            <w:tcW w:w="20" w:type="dxa"/>
            <w:vAlign w:val="bottom"/>
            <w:vMerge w:val="restart"/>
          </w:tcPr>
          <w:p>
            <w:pPr>
              <w:spacing w:after="0"/>
              <w:rPr>
                <w:sz w:val="11"/>
                <w:szCs w:val="11"/>
                <w:color w:val="auto"/>
              </w:rPr>
            </w:pPr>
          </w:p>
        </w:tc>
        <w:tc>
          <w:tcPr>
            <w:tcW w:w="2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360" w:type="dxa"/>
            <w:vAlign w:val="bottom"/>
            <w:shd w:val="clear" w:color="auto" w:fill="CFF0FC"/>
          </w:tcPr>
          <w:p>
            <w:pPr>
              <w:spacing w:after="0" w:line="130" w:lineRule="exact"/>
              <w:rPr>
                <w:sz w:val="20"/>
                <w:szCs w:val="20"/>
                <w:color w:val="auto"/>
              </w:rPr>
            </w:pPr>
            <w:r>
              <w:rPr>
                <w:rFonts w:ascii="Arial" w:cs="Arial" w:eastAsia="Arial" w:hAnsi="Arial"/>
                <w:sz w:val="14"/>
                <w:szCs w:val="14"/>
                <w:b w:val="1"/>
                <w:bCs w:val="1"/>
                <w:color w:val="auto"/>
              </w:rPr>
              <w:t>Personal Target 3</w:t>
            </w:r>
          </w:p>
        </w:tc>
        <w:tc>
          <w:tcPr>
            <w:tcW w:w="1380" w:type="dxa"/>
            <w:vAlign w:val="bottom"/>
            <w:gridSpan w:val="3"/>
            <w:shd w:val="clear" w:color="auto" w:fill="CFF0FC"/>
          </w:tcPr>
          <w:p>
            <w:pPr>
              <w:ind w:left="340"/>
              <w:spacing w:after="0" w:line="130" w:lineRule="exact"/>
              <w:rPr>
                <w:sz w:val="20"/>
                <w:szCs w:val="20"/>
                <w:color w:val="auto"/>
              </w:rPr>
            </w:pPr>
            <w:r>
              <w:rPr>
                <w:rFonts w:ascii="Arial" w:cs="Arial" w:eastAsia="Arial" w:hAnsi="Arial"/>
                <w:sz w:val="14"/>
                <w:szCs w:val="14"/>
                <w:color w:val="auto"/>
              </w:rPr>
              <w:t>Discretionary-</w:t>
            </w:r>
          </w:p>
        </w:tc>
        <w:tc>
          <w:tcPr>
            <w:tcW w:w="840" w:type="dxa"/>
            <w:vAlign w:val="bottom"/>
            <w:gridSpan w:val="4"/>
            <w:shd w:val="clear" w:color="auto" w:fill="CFF0FC"/>
          </w:tcPr>
          <w:p>
            <w:pPr>
              <w:jc w:val="center"/>
              <w:ind w:left="129"/>
              <w:spacing w:after="0" w:line="130" w:lineRule="exact"/>
              <w:rPr>
                <w:sz w:val="20"/>
                <w:szCs w:val="20"/>
                <w:color w:val="auto"/>
              </w:rPr>
            </w:pPr>
            <w:r>
              <w:rPr>
                <w:rFonts w:ascii="Arial" w:cs="Arial" w:eastAsia="Arial" w:hAnsi="Arial"/>
                <w:sz w:val="14"/>
                <w:szCs w:val="14"/>
                <w:color w:val="auto"/>
                <w:w w:val="90"/>
              </w:rPr>
              <w:t>20.0%</w:t>
            </w:r>
          </w:p>
        </w:tc>
        <w:tc>
          <w:tcPr>
            <w:tcW w:w="22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center"/>
              <w:ind w:left="249"/>
              <w:spacing w:after="0" w:line="130" w:lineRule="exact"/>
              <w:rPr>
                <w:sz w:val="20"/>
                <w:szCs w:val="20"/>
                <w:color w:val="auto"/>
              </w:rPr>
            </w:pPr>
            <w:r>
              <w:rPr>
                <w:rFonts w:ascii="Arial" w:cs="Arial" w:eastAsia="Arial" w:hAnsi="Arial"/>
                <w:sz w:val="14"/>
                <w:szCs w:val="14"/>
                <w:color w:val="auto"/>
                <w:w w:val="90"/>
              </w:rPr>
              <w:t>20.0%</w:t>
            </w:r>
          </w:p>
        </w:tc>
        <w:tc>
          <w:tcPr>
            <w:tcW w:w="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20" w:type="dxa"/>
            <w:vAlign w:val="bottom"/>
            <w:gridSpan w:val="3"/>
            <w:shd w:val="clear" w:color="auto" w:fill="CFF0FC"/>
          </w:tcPr>
          <w:p>
            <w:pPr>
              <w:jc w:val="center"/>
              <w:ind w:left="209"/>
              <w:spacing w:after="0" w:line="130" w:lineRule="exact"/>
              <w:rPr>
                <w:sz w:val="20"/>
                <w:szCs w:val="20"/>
                <w:color w:val="auto"/>
              </w:rPr>
            </w:pPr>
            <w:r>
              <w:rPr>
                <w:rFonts w:ascii="Arial" w:cs="Arial" w:eastAsia="Arial" w:hAnsi="Arial"/>
                <w:sz w:val="14"/>
                <w:szCs w:val="14"/>
                <w:color w:val="auto"/>
                <w:w w:val="90"/>
              </w:rPr>
              <w:t>20.0%</w:t>
            </w:r>
          </w:p>
        </w:tc>
        <w:tc>
          <w:tcPr>
            <w:tcW w:w="2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920" w:type="dxa"/>
            <w:vAlign w:val="bottom"/>
            <w:gridSpan w:val="3"/>
            <w:shd w:val="clear" w:color="auto" w:fill="CFF0FC"/>
          </w:tcPr>
          <w:p>
            <w:pPr>
              <w:ind w:left="20"/>
              <w:spacing w:after="0" w:line="130" w:lineRule="exact"/>
              <w:rPr>
                <w:sz w:val="20"/>
                <w:szCs w:val="20"/>
                <w:color w:val="auto"/>
              </w:rPr>
            </w:pPr>
            <w:r>
              <w:rPr>
                <w:rFonts w:ascii="Arial" w:cs="Arial" w:eastAsia="Arial" w:hAnsi="Arial"/>
                <w:sz w:val="14"/>
                <w:szCs w:val="14"/>
                <w:color w:val="auto"/>
              </w:rPr>
              <w:t>Discretionary, at target, based upon individual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shd w:val="clear" w:color="auto" w:fill="CFF0FC"/>
          </w:tcPr>
          <w:p>
            <w:pPr>
              <w:spacing w:after="0"/>
              <w:rPr>
                <w:sz w:val="12"/>
                <w:szCs w:val="12"/>
                <w:color w:val="auto"/>
              </w:rPr>
            </w:pPr>
          </w:p>
        </w:tc>
        <w:tc>
          <w:tcPr>
            <w:tcW w:w="1380" w:type="dxa"/>
            <w:vAlign w:val="bottom"/>
            <w:gridSpan w:val="3"/>
            <w:shd w:val="clear" w:color="auto" w:fill="CFF0FC"/>
          </w:tcPr>
          <w:p>
            <w:pPr>
              <w:ind w:left="340"/>
              <w:spacing w:after="0" w:line="149" w:lineRule="exact"/>
              <w:rPr>
                <w:sz w:val="20"/>
                <w:szCs w:val="20"/>
                <w:color w:val="auto"/>
              </w:rPr>
            </w:pPr>
            <w:r>
              <w:rPr>
                <w:rFonts w:ascii="Arial" w:cs="Arial" w:eastAsia="Arial" w:hAnsi="Arial"/>
                <w:sz w:val="14"/>
                <w:szCs w:val="14"/>
                <w:color w:val="auto"/>
              </w:rPr>
              <w:t>Personal Goals</w:t>
            </w:r>
          </w:p>
        </w:tc>
        <w:tc>
          <w:tcPr>
            <w:tcW w:w="3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920" w:type="dxa"/>
            <w:vAlign w:val="bottom"/>
            <w:gridSpan w:val="3"/>
            <w:shd w:val="clear" w:color="auto" w:fill="CFF0FC"/>
          </w:tcPr>
          <w:p>
            <w:pPr>
              <w:ind w:left="20"/>
              <w:spacing w:after="0" w:line="149" w:lineRule="exact"/>
              <w:rPr>
                <w:sz w:val="20"/>
                <w:szCs w:val="20"/>
                <w:color w:val="auto"/>
              </w:rPr>
            </w:pPr>
            <w:r>
              <w:rPr>
                <w:rFonts w:ascii="Arial" w:cs="Arial" w:eastAsia="Arial" w:hAnsi="Arial"/>
                <w:sz w:val="14"/>
                <w:szCs w:val="14"/>
                <w:color w:val="auto"/>
                <w:w w:val="98"/>
              </w:rPr>
              <w:t>performance, as evaluated by the CEO (except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6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920" w:type="dxa"/>
            <w:vAlign w:val="bottom"/>
            <w:gridSpan w:val="3"/>
            <w:shd w:val="clear" w:color="auto" w:fill="CFF0FC"/>
          </w:tcPr>
          <w:p>
            <w:pPr>
              <w:ind w:left="20"/>
              <w:spacing w:after="0" w:line="149" w:lineRule="exact"/>
              <w:rPr>
                <w:sz w:val="20"/>
                <w:szCs w:val="20"/>
                <w:color w:val="auto"/>
              </w:rPr>
            </w:pPr>
            <w:r>
              <w:rPr>
                <w:rFonts w:ascii="Arial" w:cs="Arial" w:eastAsia="Arial" w:hAnsi="Arial"/>
                <w:sz w:val="14"/>
                <w:szCs w:val="14"/>
                <w:color w:val="auto"/>
              </w:rPr>
              <w:t>with respect to the CEO whose individual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920" w:type="dxa"/>
            <w:vAlign w:val="bottom"/>
            <w:gridSpan w:val="3"/>
            <w:shd w:val="clear" w:color="auto" w:fill="CFF0FC"/>
          </w:tcPr>
          <w:p>
            <w:pPr>
              <w:ind w:left="20"/>
              <w:spacing w:after="0" w:line="149" w:lineRule="exact"/>
              <w:rPr>
                <w:sz w:val="20"/>
                <w:szCs w:val="20"/>
                <w:color w:val="auto"/>
              </w:rPr>
            </w:pPr>
            <w:r>
              <w:rPr>
                <w:rFonts w:ascii="Arial" w:cs="Arial" w:eastAsia="Arial" w:hAnsi="Arial"/>
                <w:sz w:val="14"/>
                <w:szCs w:val="14"/>
                <w:color w:val="auto"/>
              </w:rPr>
              <w:t>performance will be evaluated by the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6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920" w:type="dxa"/>
            <w:vAlign w:val="bottom"/>
            <w:gridSpan w:val="3"/>
            <w:shd w:val="clear" w:color="auto" w:fill="CFF0FC"/>
          </w:tcPr>
          <w:p>
            <w:pPr>
              <w:ind w:left="20"/>
              <w:spacing w:after="0" w:line="149" w:lineRule="exact"/>
              <w:rPr>
                <w:sz w:val="20"/>
                <w:szCs w:val="20"/>
                <w:color w:val="auto"/>
              </w:rPr>
            </w:pPr>
            <w:r>
              <w:rPr>
                <w:rFonts w:ascii="Arial" w:cs="Arial" w:eastAsia="Arial" w:hAnsi="Arial"/>
                <w:sz w:val="14"/>
                <w:szCs w:val="14"/>
                <w:color w:val="auto"/>
              </w:rPr>
              <w:t>Compensation Committee). Participants are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6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920" w:type="dxa"/>
            <w:vAlign w:val="bottom"/>
            <w:gridSpan w:val="3"/>
            <w:shd w:val="clear" w:color="auto" w:fill="CFF0FC"/>
          </w:tcPr>
          <w:p>
            <w:pPr>
              <w:ind w:left="20"/>
              <w:spacing w:after="0" w:line="149" w:lineRule="exact"/>
              <w:rPr>
                <w:sz w:val="20"/>
                <w:szCs w:val="20"/>
                <w:color w:val="auto"/>
              </w:rPr>
            </w:pPr>
            <w:r>
              <w:rPr>
                <w:rFonts w:ascii="Arial" w:cs="Arial" w:eastAsia="Arial" w:hAnsi="Arial"/>
                <w:sz w:val="14"/>
                <w:szCs w:val="14"/>
                <w:color w:val="auto"/>
              </w:rPr>
              <w:t>eligible to receive a discretionary award up to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920" w:type="dxa"/>
            <w:vAlign w:val="bottom"/>
            <w:gridSpan w:val="3"/>
            <w:shd w:val="clear" w:color="auto" w:fill="CFF0FC"/>
          </w:tcPr>
          <w:p>
            <w:pPr>
              <w:ind w:left="20"/>
              <w:spacing w:after="0" w:line="149" w:lineRule="exact"/>
              <w:rPr>
                <w:sz w:val="20"/>
                <w:szCs w:val="20"/>
                <w:color w:val="auto"/>
              </w:rPr>
            </w:pPr>
            <w:r>
              <w:rPr>
                <w:rFonts w:ascii="Arial" w:cs="Arial" w:eastAsia="Arial" w:hAnsi="Arial"/>
                <w:sz w:val="14"/>
                <w:szCs w:val="14"/>
                <w:color w:val="auto"/>
              </w:rPr>
              <w:t>30%, with the exception of Mr. Kanter who is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6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920" w:type="dxa"/>
            <w:vAlign w:val="bottom"/>
            <w:gridSpan w:val="3"/>
            <w:shd w:val="clear" w:color="auto" w:fill="CFF0FC"/>
          </w:tcPr>
          <w:p>
            <w:pPr>
              <w:ind w:left="20"/>
              <w:spacing w:after="0" w:line="149" w:lineRule="exact"/>
              <w:rPr>
                <w:sz w:val="20"/>
                <w:szCs w:val="20"/>
                <w:color w:val="auto"/>
              </w:rPr>
            </w:pPr>
            <w:r>
              <w:rPr>
                <w:rFonts w:ascii="Arial" w:cs="Arial" w:eastAsia="Arial" w:hAnsi="Arial"/>
                <w:sz w:val="14"/>
                <w:szCs w:val="14"/>
                <w:color w:val="auto"/>
              </w:rPr>
              <w:t>eligible to receive a discretionary award up to</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6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940" w:type="dxa"/>
            <w:vAlign w:val="bottom"/>
            <w:shd w:val="clear" w:color="auto" w:fill="CFF0FC"/>
          </w:tcPr>
          <w:p>
            <w:pPr>
              <w:ind w:left="20"/>
              <w:spacing w:after="0"/>
              <w:rPr>
                <w:sz w:val="20"/>
                <w:szCs w:val="20"/>
                <w:color w:val="auto"/>
              </w:rPr>
            </w:pPr>
            <w:r>
              <w:rPr>
                <w:rFonts w:ascii="Arial" w:cs="Arial" w:eastAsia="Arial" w:hAnsi="Arial"/>
                <w:sz w:val="14"/>
                <w:szCs w:val="14"/>
                <w:color w:val="auto"/>
              </w:rPr>
              <w:t>40%.</w:t>
            </w:r>
          </w:p>
        </w:tc>
        <w:tc>
          <w:tcPr>
            <w:tcW w:w="102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360" w:type="dxa"/>
            <w:vAlign w:val="bottom"/>
          </w:tcPr>
          <w:p>
            <w:pPr>
              <w:spacing w:after="0" w:line="130" w:lineRule="exact"/>
              <w:rPr>
                <w:sz w:val="20"/>
                <w:szCs w:val="20"/>
                <w:color w:val="auto"/>
              </w:rPr>
            </w:pPr>
            <w:r>
              <w:rPr>
                <w:rFonts w:ascii="Arial" w:cs="Arial" w:eastAsia="Arial" w:hAnsi="Arial"/>
                <w:sz w:val="14"/>
                <w:szCs w:val="14"/>
                <w:b w:val="1"/>
                <w:bCs w:val="1"/>
                <w:color w:val="auto"/>
              </w:rPr>
              <w:t>Departmental Goals, if applicable</w:t>
            </w:r>
          </w:p>
        </w:tc>
        <w:tc>
          <w:tcPr>
            <w:tcW w:w="1380" w:type="dxa"/>
            <w:vAlign w:val="bottom"/>
            <w:gridSpan w:val="3"/>
          </w:tcPr>
          <w:p>
            <w:pPr>
              <w:ind w:left="340"/>
              <w:spacing w:after="0" w:line="130" w:lineRule="exact"/>
              <w:rPr>
                <w:sz w:val="20"/>
                <w:szCs w:val="20"/>
                <w:color w:val="auto"/>
              </w:rPr>
            </w:pPr>
            <w:r>
              <w:rPr>
                <w:rFonts w:ascii="Arial" w:cs="Arial" w:eastAsia="Arial" w:hAnsi="Arial"/>
                <w:sz w:val="14"/>
                <w:szCs w:val="14"/>
                <w:color w:val="auto"/>
              </w:rPr>
              <w:t>Marketing &amp;</w:t>
            </w:r>
          </w:p>
        </w:tc>
        <w:tc>
          <w:tcPr>
            <w:tcW w:w="580" w:type="dxa"/>
            <w:vAlign w:val="bottom"/>
            <w:gridSpan w:val="2"/>
          </w:tcPr>
          <w:p>
            <w:pPr>
              <w:jc w:val="center"/>
              <w:ind w:left="389"/>
              <w:spacing w:after="0" w:line="130" w:lineRule="exact"/>
              <w:rPr>
                <w:sz w:val="20"/>
                <w:szCs w:val="20"/>
                <w:color w:val="auto"/>
              </w:rPr>
            </w:pPr>
            <w:r>
              <w:rPr>
                <w:rFonts w:ascii="Arial" w:cs="Arial" w:eastAsia="Arial" w:hAnsi="Arial"/>
                <w:sz w:val="14"/>
                <w:szCs w:val="14"/>
                <w:color w:val="auto"/>
                <w:w w:val="84"/>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gridSpan w:val="2"/>
          </w:tcPr>
          <w:p>
            <w:pPr>
              <w:jc w:val="center"/>
              <w:ind w:left="249"/>
              <w:spacing w:after="0" w:line="130" w:lineRule="exact"/>
              <w:rPr>
                <w:sz w:val="20"/>
                <w:szCs w:val="20"/>
                <w:color w:val="auto"/>
              </w:rPr>
            </w:pPr>
            <w:r>
              <w:rPr>
                <w:rFonts w:ascii="Arial" w:cs="Arial" w:eastAsia="Arial" w:hAnsi="Arial"/>
                <w:sz w:val="14"/>
                <w:szCs w:val="14"/>
                <w:color w:val="auto"/>
                <w:w w:val="90"/>
              </w:rPr>
              <w:t>40.0%</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center"/>
              <w:ind w:left="249"/>
              <w:spacing w:after="0" w:line="130" w:lineRule="exact"/>
              <w:rPr>
                <w:sz w:val="20"/>
                <w:szCs w:val="20"/>
                <w:color w:val="auto"/>
              </w:rPr>
            </w:pPr>
            <w:r>
              <w:rPr>
                <w:rFonts w:ascii="Arial" w:cs="Arial" w:eastAsia="Arial" w:hAnsi="Arial"/>
                <w:sz w:val="14"/>
                <w:szCs w:val="14"/>
                <w:color w:val="auto"/>
                <w:w w:val="84"/>
              </w:rPr>
              <w:t>-</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920" w:type="dxa"/>
            <w:vAlign w:val="bottom"/>
            <w:gridSpan w:val="3"/>
          </w:tcPr>
          <w:p>
            <w:pPr>
              <w:ind w:left="20"/>
              <w:spacing w:after="0" w:line="130" w:lineRule="exact"/>
              <w:rPr>
                <w:sz w:val="20"/>
                <w:szCs w:val="20"/>
                <w:color w:val="auto"/>
              </w:rPr>
            </w:pPr>
            <w:r>
              <w:rPr>
                <w:rFonts w:ascii="Arial" w:cs="Arial" w:eastAsia="Arial" w:hAnsi="Arial"/>
                <w:sz w:val="14"/>
                <w:szCs w:val="14"/>
                <w:color w:val="auto"/>
              </w:rPr>
              <w:t>Includes DXL.com sales target, promotional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380" w:type="dxa"/>
            <w:vAlign w:val="bottom"/>
            <w:gridSpan w:val="3"/>
          </w:tcPr>
          <w:p>
            <w:pPr>
              <w:ind w:left="340"/>
              <w:spacing w:after="0" w:line="149" w:lineRule="exact"/>
              <w:rPr>
                <w:sz w:val="20"/>
                <w:szCs w:val="20"/>
                <w:color w:val="auto"/>
              </w:rPr>
            </w:pPr>
            <w:r>
              <w:rPr>
                <w:rFonts w:ascii="Arial" w:cs="Arial" w:eastAsia="Arial" w:hAnsi="Arial"/>
                <w:sz w:val="14"/>
                <w:szCs w:val="14"/>
                <w:color w:val="auto"/>
              </w:rPr>
              <w:t>Digital</w:t>
            </w: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920" w:type="dxa"/>
            <w:vAlign w:val="bottom"/>
            <w:gridSpan w:val="3"/>
          </w:tcPr>
          <w:p>
            <w:pPr>
              <w:ind w:left="20"/>
              <w:spacing w:after="0" w:line="149" w:lineRule="exact"/>
              <w:rPr>
                <w:sz w:val="20"/>
                <w:szCs w:val="20"/>
                <w:color w:val="auto"/>
              </w:rPr>
            </w:pPr>
            <w:r>
              <w:rPr>
                <w:rFonts w:ascii="Arial" w:cs="Arial" w:eastAsia="Arial" w:hAnsi="Arial"/>
                <w:sz w:val="14"/>
                <w:szCs w:val="14"/>
                <w:color w:val="auto"/>
                <w:w w:val="96"/>
              </w:rPr>
              <w:t>markdown rate target and advertising sales ratio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92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 target.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380" w:type="dxa"/>
            <w:vAlign w:val="bottom"/>
            <w:gridSpan w:val="3"/>
          </w:tcPr>
          <w:p>
            <w:pPr>
              <w:ind w:left="340"/>
              <w:spacing w:after="0" w:line="149" w:lineRule="exact"/>
              <w:rPr>
                <w:sz w:val="20"/>
                <w:szCs w:val="20"/>
                <w:color w:val="auto"/>
              </w:rPr>
            </w:pPr>
            <w:r>
              <w:rPr>
                <w:rFonts w:ascii="Arial" w:cs="Arial" w:eastAsia="Arial" w:hAnsi="Arial"/>
                <w:sz w:val="14"/>
                <w:szCs w:val="14"/>
                <w:color w:val="auto"/>
                <w:w w:val="96"/>
              </w:rPr>
              <w:t>Store Operations</w:t>
            </w:r>
          </w:p>
        </w:tc>
        <w:tc>
          <w:tcPr>
            <w:tcW w:w="580" w:type="dxa"/>
            <w:vAlign w:val="bottom"/>
            <w:gridSpan w:val="2"/>
          </w:tcPr>
          <w:p>
            <w:pPr>
              <w:jc w:val="center"/>
              <w:ind w:left="389"/>
              <w:spacing w:after="0" w:line="149" w:lineRule="exact"/>
              <w:rPr>
                <w:sz w:val="20"/>
                <w:szCs w:val="20"/>
                <w:color w:val="auto"/>
              </w:rPr>
            </w:pPr>
            <w:r>
              <w:rPr>
                <w:rFonts w:ascii="Arial" w:cs="Arial" w:eastAsia="Arial" w:hAnsi="Arial"/>
                <w:sz w:val="14"/>
                <w:szCs w:val="14"/>
                <w:color w:val="auto"/>
                <w:w w:val="84"/>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gridSpan w:val="2"/>
          </w:tcPr>
          <w:p>
            <w:pPr>
              <w:jc w:val="center"/>
              <w:ind w:left="249"/>
              <w:spacing w:after="0" w:line="149" w:lineRule="exact"/>
              <w:rPr>
                <w:sz w:val="20"/>
                <w:szCs w:val="20"/>
                <w:color w:val="auto"/>
              </w:rPr>
            </w:pPr>
            <w:r>
              <w:rPr>
                <w:rFonts w:ascii="Arial" w:cs="Arial" w:eastAsia="Arial" w:hAnsi="Arial"/>
                <w:sz w:val="14"/>
                <w:szCs w:val="14"/>
                <w:color w:val="auto"/>
                <w:w w:val="84"/>
              </w:rPr>
              <w:t>-</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3"/>
          </w:tcPr>
          <w:p>
            <w:pPr>
              <w:jc w:val="center"/>
              <w:ind w:left="209"/>
              <w:spacing w:after="0" w:line="149" w:lineRule="exact"/>
              <w:rPr>
                <w:sz w:val="20"/>
                <w:szCs w:val="20"/>
                <w:color w:val="auto"/>
              </w:rPr>
            </w:pPr>
            <w:r>
              <w:rPr>
                <w:rFonts w:ascii="Arial" w:cs="Arial" w:eastAsia="Arial" w:hAnsi="Arial"/>
                <w:sz w:val="14"/>
                <w:szCs w:val="14"/>
                <w:color w:val="auto"/>
                <w:w w:val="90"/>
              </w:rPr>
              <w:t>40.0%</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920" w:type="dxa"/>
            <w:vAlign w:val="bottom"/>
            <w:gridSpan w:val="3"/>
          </w:tcPr>
          <w:p>
            <w:pPr>
              <w:ind w:left="20"/>
              <w:spacing w:after="0" w:line="149" w:lineRule="exact"/>
              <w:rPr>
                <w:sz w:val="20"/>
                <w:szCs w:val="20"/>
                <w:color w:val="auto"/>
              </w:rPr>
            </w:pPr>
            <w:r>
              <w:rPr>
                <w:rFonts w:ascii="Arial" w:cs="Arial" w:eastAsia="Arial" w:hAnsi="Arial"/>
                <w:sz w:val="14"/>
                <w:szCs w:val="14"/>
                <w:color w:val="auto"/>
                <w:w w:val="96"/>
              </w:rPr>
              <w:t>Includes payroll as a percentage of sales target,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920" w:type="dxa"/>
            <w:vAlign w:val="bottom"/>
            <w:gridSpan w:val="3"/>
          </w:tcPr>
          <w:p>
            <w:pPr>
              <w:ind w:left="20"/>
              <w:spacing w:after="0" w:line="149" w:lineRule="exact"/>
              <w:rPr>
                <w:sz w:val="20"/>
                <w:szCs w:val="20"/>
                <w:color w:val="auto"/>
              </w:rPr>
            </w:pPr>
            <w:r>
              <w:rPr>
                <w:rFonts w:ascii="Arial" w:cs="Arial" w:eastAsia="Arial" w:hAnsi="Arial"/>
                <w:sz w:val="14"/>
                <w:szCs w:val="14"/>
                <w:color w:val="auto"/>
                <w:w w:val="98"/>
              </w:rPr>
              <w:t>net promoter score percentage target and store</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920" w:type="dxa"/>
            <w:vAlign w:val="bottom"/>
            <w:gridSpan w:val="3"/>
          </w:tcPr>
          <w:p>
            <w:pPr>
              <w:ind w:left="20"/>
              <w:spacing w:after="0"/>
              <w:rPr>
                <w:sz w:val="20"/>
                <w:szCs w:val="20"/>
                <w:color w:val="auto"/>
              </w:rPr>
            </w:pPr>
            <w:r>
              <w:rPr>
                <w:rFonts w:ascii="Arial" w:cs="Arial" w:eastAsia="Arial" w:hAnsi="Arial"/>
                <w:sz w:val="14"/>
                <w:szCs w:val="14"/>
                <w:color w:val="auto"/>
              </w:rPr>
              <w:t>conversion target.</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20" w:right="120"/>
        <w:spacing w:after="0" w:line="286" w:lineRule="auto"/>
        <w:rPr>
          <w:sz w:val="20"/>
          <w:szCs w:val="20"/>
          <w:color w:val="auto"/>
        </w:rPr>
      </w:pPr>
      <w:r>
        <w:rPr>
          <w:rFonts w:ascii="Arial" w:cs="Arial" w:eastAsia="Arial" w:hAnsi="Arial"/>
          <w:sz w:val="17"/>
          <w:szCs w:val="17"/>
          <w:color w:val="auto"/>
        </w:rPr>
        <w:t>The above targets for each metric are derived from the Company’s annual operating plan and budget for the 2021 fiscal year, and are intended to be achievable, with an approximate 50% probability. The likelihood of achieving the 2021 targets reflects the challenges inherent in achieving the goals and objectives of an ambitious operating plan and budget, given the continued uncertainty of the COVID-19 pandemic.</w:t>
      </w:r>
    </w:p>
    <w:p>
      <w:pPr>
        <w:spacing w:after="0" w:line="165" w:lineRule="exact"/>
        <w:rPr>
          <w:sz w:val="20"/>
          <w:szCs w:val="20"/>
          <w:color w:val="auto"/>
        </w:rPr>
      </w:pPr>
    </w:p>
    <w:p>
      <w:pPr>
        <w:ind w:left="20" w:right="180"/>
        <w:spacing w:after="0" w:line="277" w:lineRule="auto"/>
        <w:rPr>
          <w:sz w:val="20"/>
          <w:szCs w:val="20"/>
          <w:color w:val="auto"/>
        </w:rPr>
      </w:pPr>
      <w:r>
        <w:rPr>
          <w:rFonts w:ascii="Arial" w:cs="Arial" w:eastAsia="Arial" w:hAnsi="Arial"/>
          <w:sz w:val="18"/>
          <w:szCs w:val="18"/>
          <w:color w:val="auto"/>
        </w:rPr>
        <w:t>For fiscal 2021, Mr. Kanter will participate at 100% of his salary, Mr. Stratton will participate at 55% of his salary, Messrs. Dhoot and Molloy will participate at 50% of their respective salaries and Mr. Gaeta will participate at 40% of his salary.</w:t>
      </w:r>
    </w:p>
    <w:p>
      <w:pPr>
        <w:spacing w:after="0" w:line="170" w:lineRule="exact"/>
        <w:rPr>
          <w:sz w:val="20"/>
          <w:szCs w:val="20"/>
          <w:color w:val="auto"/>
        </w:rPr>
      </w:pPr>
    </w:p>
    <w:p>
      <w:pPr>
        <w:ind w:left="260" w:hanging="253"/>
        <w:spacing w:after="0"/>
        <w:tabs>
          <w:tab w:leader="none" w:pos="26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Long-term incentive plans</w:t>
      </w:r>
    </w:p>
    <w:p>
      <w:pPr>
        <w:spacing w:after="0" w:line="225" w:lineRule="exact"/>
        <w:rPr>
          <w:rFonts w:ascii="Arial" w:cs="Arial" w:eastAsia="Arial" w:hAnsi="Arial"/>
          <w:sz w:val="18"/>
          <w:szCs w:val="18"/>
          <w:color w:val="auto"/>
        </w:rPr>
      </w:pPr>
    </w:p>
    <w:p>
      <w:pPr>
        <w:ind w:left="260"/>
        <w:spacing w:after="0" w:line="277" w:lineRule="auto"/>
        <w:rPr>
          <w:rFonts w:ascii="Arial" w:cs="Arial" w:eastAsia="Arial" w:hAnsi="Arial"/>
          <w:sz w:val="18"/>
          <w:szCs w:val="18"/>
          <w:color w:val="auto"/>
        </w:rPr>
      </w:pPr>
      <w:r>
        <w:rPr>
          <w:rFonts w:ascii="Arial" w:cs="Arial" w:eastAsia="Arial" w:hAnsi="Arial"/>
          <w:sz w:val="18"/>
          <w:szCs w:val="18"/>
          <w:color w:val="auto"/>
        </w:rPr>
        <w:t>The Company’s long-term incentive plans are designed to ensure that the interests of our executives are aligned with those of our stockholders to create sustainable shareholder value and to promote executive retention.</w:t>
      </w:r>
    </w:p>
    <w:p>
      <w:pPr>
        <w:spacing w:after="0" w:line="386"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207645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0"/>
          </w:cols>
          <w:pgMar w:left="820" w:top="661" w:right="339" w:bottom="1440" w:gutter="0" w:footer="0" w:header="0"/>
        </w:sectPr>
      </w:pPr>
    </w:p>
    <w:bookmarkStart w:id="13" w:name="page14"/>
    <w:bookmarkEnd w:id="13"/>
    <w:p>
      <w:pPr>
        <w:ind w:left="760"/>
        <w:spacing w:after="0"/>
        <w:rPr>
          <w:sz w:val="20"/>
          <w:szCs w:val="20"/>
          <w:color w:val="auto"/>
        </w:rPr>
      </w:pPr>
      <w:r>
        <w:rPr>
          <w:rFonts w:ascii="Arial" w:cs="Arial" w:eastAsia="Arial" w:hAnsi="Arial"/>
          <w:sz w:val="16"/>
          <w:szCs w:val="16"/>
          <w:color w:val="auto"/>
        </w:rPr>
        <w:t>The performance period for the Company’s 2018-2020 LTIP ended on January 30, 2021. The performance targets, which were established by the</w:t>
      </w:r>
    </w:p>
    <w:p>
      <w:pPr>
        <w:spacing w:after="0" w:line="4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Compensation Committee on October 24, 2018, and the actual performance achieved were as follows:</w:t>
      </w:r>
    </w:p>
    <w:p>
      <w:pPr>
        <w:spacing w:after="0" w:line="103" w:lineRule="exact"/>
        <w:rPr>
          <w:sz w:val="20"/>
          <w:szCs w:val="20"/>
          <w:color w:val="auto"/>
        </w:rPr>
      </w:pPr>
    </w:p>
    <w:p>
      <w:pPr>
        <w:ind w:left="4660"/>
        <w:spacing w:after="0"/>
        <w:rPr>
          <w:sz w:val="20"/>
          <w:szCs w:val="20"/>
          <w:color w:val="auto"/>
        </w:rPr>
      </w:pPr>
      <w:r>
        <w:rPr>
          <w:rFonts w:ascii="Arial" w:cs="Arial" w:eastAsia="Arial" w:hAnsi="Arial"/>
          <w:sz w:val="18"/>
          <w:szCs w:val="18"/>
          <w:u w:val="single" w:color="auto"/>
          <w:color w:val="auto"/>
        </w:rPr>
        <w:t>2018-2020 LTIP Performance Period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6"/>
                <w:szCs w:val="16"/>
                <w:color w:val="auto"/>
                <w:w w:val="94"/>
              </w:rPr>
              <w:t>Weight of</w:t>
            </w:r>
          </w:p>
        </w:tc>
        <w:tc>
          <w:tcPr>
            <w:tcW w:w="3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gridSpan w:val="2"/>
          </w:tcPr>
          <w:p>
            <w:pPr>
              <w:jc w:val="center"/>
              <w:ind w:right="60"/>
              <w:spacing w:after="0"/>
              <w:rPr>
                <w:sz w:val="20"/>
                <w:szCs w:val="20"/>
                <w:color w:val="auto"/>
              </w:rPr>
            </w:pPr>
            <w:r>
              <w:rPr>
                <w:rFonts w:ascii="Arial" w:cs="Arial" w:eastAsia="Arial" w:hAnsi="Arial"/>
                <w:sz w:val="16"/>
                <w:szCs w:val="16"/>
                <w:color w:val="auto"/>
                <w:w w:val="88"/>
              </w:rPr>
              <w:t>Payout</w:t>
            </w:r>
          </w:p>
        </w:tc>
      </w:tr>
      <w:tr>
        <w:trPr>
          <w:trHeight w:val="209"/>
        </w:trPr>
        <w:tc>
          <w:tcPr>
            <w:tcW w:w="3280" w:type="dxa"/>
            <w:vAlign w:val="bottom"/>
            <w:tcBorders>
              <w:bottom w:val="single" w:sz="8" w:color="auto"/>
            </w:tcBorders>
          </w:tcPr>
          <w:p>
            <w:pPr>
              <w:ind w:left="1420"/>
              <w:spacing w:after="0"/>
              <w:rPr>
                <w:sz w:val="20"/>
                <w:szCs w:val="20"/>
                <w:color w:val="auto"/>
              </w:rPr>
            </w:pPr>
            <w:r>
              <w:rPr>
                <w:rFonts w:ascii="Arial" w:cs="Arial" w:eastAsia="Arial" w:hAnsi="Arial"/>
                <w:sz w:val="16"/>
                <w:szCs w:val="16"/>
                <w:color w:val="auto"/>
              </w:rPr>
              <w:t>Metric</w:t>
            </w:r>
          </w:p>
        </w:tc>
        <w:tc>
          <w:tcPr>
            <w:tcW w:w="120" w:type="dxa"/>
            <w:vAlign w:val="bottom"/>
            <w:tcBorders>
              <w:bottom w:val="single" w:sz="8" w:color="CFF0FC"/>
            </w:tcBorders>
          </w:tcPr>
          <w:p>
            <w:pPr>
              <w:spacing w:after="0"/>
              <w:rPr>
                <w:sz w:val="18"/>
                <w:szCs w:val="18"/>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7"/>
              </w:rPr>
              <w:t>each target</w:t>
            </w:r>
          </w:p>
        </w:tc>
        <w:tc>
          <w:tcPr>
            <w:tcW w:w="120" w:type="dxa"/>
            <w:vAlign w:val="bottom"/>
            <w:tcBorders>
              <w:bottom w:val="single" w:sz="8" w:color="CFF0FC"/>
            </w:tcBorders>
          </w:tcPr>
          <w:p>
            <w:pPr>
              <w:spacing w:after="0"/>
              <w:rPr>
                <w:sz w:val="18"/>
                <w:szCs w:val="18"/>
                <w:color w:val="auto"/>
              </w:rPr>
            </w:pPr>
          </w:p>
        </w:tc>
        <w:tc>
          <w:tcPr>
            <w:tcW w:w="3920" w:type="dxa"/>
            <w:vAlign w:val="bottom"/>
            <w:tcBorders>
              <w:bottom w:val="single" w:sz="8" w:color="auto"/>
            </w:tcBorders>
          </w:tcPr>
          <w:p>
            <w:pPr>
              <w:ind w:left="1420"/>
              <w:spacing w:after="0"/>
              <w:rPr>
                <w:sz w:val="20"/>
                <w:szCs w:val="20"/>
                <w:color w:val="auto"/>
              </w:rPr>
            </w:pPr>
            <w:r>
              <w:rPr>
                <w:rFonts w:ascii="Arial" w:cs="Arial" w:eastAsia="Arial" w:hAnsi="Arial"/>
                <w:sz w:val="16"/>
                <w:szCs w:val="16"/>
                <w:color w:val="auto"/>
              </w:rPr>
              <w:t>Potential Payout</w:t>
            </w:r>
          </w:p>
        </w:tc>
        <w:tc>
          <w:tcPr>
            <w:tcW w:w="120" w:type="dxa"/>
            <w:vAlign w:val="bottom"/>
            <w:tcBorders>
              <w:bottom w:val="single" w:sz="8" w:color="CFF0FC"/>
            </w:tcBorders>
          </w:tcPr>
          <w:p>
            <w:pPr>
              <w:spacing w:after="0"/>
              <w:rPr>
                <w:sz w:val="18"/>
                <w:szCs w:val="18"/>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6"/>
              </w:rPr>
              <w:t>Target</w:t>
            </w:r>
          </w:p>
        </w:tc>
        <w:tc>
          <w:tcPr>
            <w:tcW w:w="220" w:type="dxa"/>
            <w:vAlign w:val="bottom"/>
            <w:tcBorders>
              <w:bottom w:val="single" w:sz="8" w:color="CFF0FC"/>
            </w:tcBorders>
          </w:tcPr>
          <w:p>
            <w:pPr>
              <w:spacing w:after="0"/>
              <w:rPr>
                <w:sz w:val="18"/>
                <w:szCs w:val="18"/>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4"/>
              </w:rPr>
              <w:t>Actual</w:t>
            </w:r>
          </w:p>
        </w:tc>
        <w:tc>
          <w:tcPr>
            <w:tcW w:w="260" w:type="dxa"/>
            <w:vAlign w:val="bottom"/>
            <w:tcBorders>
              <w:bottom w:val="single" w:sz="8" w:color="CFF0FC"/>
            </w:tcBorders>
          </w:tcPr>
          <w:p>
            <w:pPr>
              <w:spacing w:after="0"/>
              <w:rPr>
                <w:sz w:val="18"/>
                <w:szCs w:val="18"/>
                <w:color w:val="auto"/>
              </w:rPr>
            </w:pPr>
          </w:p>
        </w:tc>
        <w:tc>
          <w:tcPr>
            <w:tcW w:w="6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FF0FC"/>
            </w:tcBorders>
          </w:tcPr>
          <w:p>
            <w:pPr>
              <w:spacing w:after="0"/>
              <w:rPr>
                <w:sz w:val="18"/>
                <w:szCs w:val="18"/>
                <w:color w:val="auto"/>
              </w:rPr>
            </w:pPr>
          </w:p>
        </w:tc>
      </w:tr>
      <w:tr>
        <w:trPr>
          <w:trHeight w:val="203"/>
        </w:trPr>
        <w:tc>
          <w:tcPr>
            <w:tcW w:w="34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Three-year Adjusted EBITDA margin</w:t>
            </w:r>
          </w:p>
        </w:tc>
        <w:tc>
          <w:tcPr>
            <w:tcW w:w="92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2"/>
              </w:rPr>
              <w:t>75.0%</w:t>
            </w:r>
          </w:p>
        </w:tc>
        <w:tc>
          <w:tcPr>
            <w:tcW w:w="120" w:type="dxa"/>
            <w:vAlign w:val="bottom"/>
            <w:shd w:val="clear" w:color="auto" w:fill="CFF0FC"/>
          </w:tcPr>
          <w:p>
            <w:pPr>
              <w:spacing w:after="0"/>
              <w:rPr>
                <w:sz w:val="17"/>
                <w:szCs w:val="17"/>
                <w:color w:val="auto"/>
              </w:rPr>
            </w:pPr>
          </w:p>
        </w:tc>
        <w:tc>
          <w:tcPr>
            <w:tcW w:w="4040" w:type="dxa"/>
            <w:vAlign w:val="bottom"/>
            <w:gridSpan w:val="2"/>
            <w:shd w:val="clear" w:color="auto" w:fill="CFF0FC"/>
          </w:tcPr>
          <w:p>
            <w:pPr>
              <w:spacing w:after="0"/>
              <w:rPr>
                <w:sz w:val="20"/>
                <w:szCs w:val="20"/>
                <w:color w:val="auto"/>
              </w:rPr>
            </w:pPr>
            <w:r>
              <w:rPr>
                <w:rFonts w:ascii="Arial" w:cs="Arial" w:eastAsia="Arial" w:hAnsi="Arial"/>
                <w:sz w:val="16"/>
                <w:szCs w:val="16"/>
                <w:color w:val="auto"/>
                <w:w w:val="97"/>
              </w:rPr>
              <w:t>100% payout at target, with 50% payout at 85.7% of target</w:t>
            </w: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12"/>
        </w:trPr>
        <w:tc>
          <w:tcPr>
            <w:tcW w:w="3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and 150% payout at 114.3% of target.</w:t>
            </w:r>
          </w:p>
        </w:tc>
        <w:tc>
          <w:tcPr>
            <w:tcW w:w="82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7.0%</w:t>
            </w:r>
          </w:p>
        </w:tc>
        <w:tc>
          <w:tcPr>
            <w:tcW w:w="2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1.1%</w:t>
            </w:r>
          </w:p>
        </w:tc>
        <w:tc>
          <w:tcPr>
            <w:tcW w:w="660" w:type="dxa"/>
            <w:vAlign w:val="bottom"/>
            <w:gridSpan w:val="2"/>
            <w:shd w:val="clear" w:color="auto" w:fill="CFF0FC"/>
          </w:tcPr>
          <w:p>
            <w:pPr>
              <w:ind w:left="440"/>
              <w:spacing w:after="0"/>
              <w:rPr>
                <w:sz w:val="20"/>
                <w:szCs w:val="20"/>
                <w:color w:val="auto"/>
              </w:rPr>
            </w:pPr>
            <w:r>
              <w:rPr>
                <w:rFonts w:ascii="Arial" w:cs="Arial" w:eastAsia="Arial" w:hAnsi="Arial"/>
                <w:sz w:val="16"/>
                <w:szCs w:val="16"/>
                <w:color w:val="auto"/>
              </w:rPr>
              <w:t>—</w:t>
            </w:r>
          </w:p>
        </w:tc>
      </w:tr>
      <w:tr>
        <w:trPr>
          <w:trHeight w:val="206"/>
        </w:trPr>
        <w:tc>
          <w:tcPr>
            <w:tcW w:w="3400" w:type="dxa"/>
            <w:vAlign w:val="bottom"/>
            <w:gridSpan w:val="2"/>
          </w:tcPr>
          <w:p>
            <w:pPr>
              <w:spacing w:after="0"/>
              <w:rPr>
                <w:sz w:val="20"/>
                <w:szCs w:val="20"/>
                <w:color w:val="auto"/>
              </w:rPr>
            </w:pPr>
            <w:r>
              <w:rPr>
                <w:rFonts w:ascii="Arial" w:cs="Arial" w:eastAsia="Arial" w:hAnsi="Arial"/>
                <w:sz w:val="16"/>
                <w:szCs w:val="16"/>
                <w:color w:val="auto"/>
              </w:rPr>
              <w:t>Three-year relative total shareholder return as</w:t>
            </w:r>
          </w:p>
        </w:tc>
        <w:tc>
          <w:tcPr>
            <w:tcW w:w="920" w:type="dxa"/>
            <w:vAlign w:val="bottom"/>
          </w:tcPr>
          <w:p>
            <w:pPr>
              <w:jc w:val="center"/>
              <w:spacing w:after="0"/>
              <w:rPr>
                <w:sz w:val="20"/>
                <w:szCs w:val="20"/>
                <w:color w:val="auto"/>
              </w:rPr>
            </w:pPr>
            <w:r>
              <w:rPr>
                <w:rFonts w:ascii="Arial" w:cs="Arial" w:eastAsia="Arial" w:hAnsi="Arial"/>
                <w:sz w:val="16"/>
                <w:szCs w:val="16"/>
                <w:color w:val="auto"/>
                <w:w w:val="92"/>
              </w:rPr>
              <w:t>25.0%</w:t>
            </w:r>
          </w:p>
        </w:tc>
        <w:tc>
          <w:tcPr>
            <w:tcW w:w="120" w:type="dxa"/>
            <w:vAlign w:val="bottom"/>
          </w:tcPr>
          <w:p>
            <w:pPr>
              <w:spacing w:after="0"/>
              <w:rPr>
                <w:sz w:val="17"/>
                <w:szCs w:val="17"/>
                <w:color w:val="auto"/>
              </w:rPr>
            </w:pPr>
          </w:p>
        </w:tc>
        <w:tc>
          <w:tcPr>
            <w:tcW w:w="4040" w:type="dxa"/>
            <w:vAlign w:val="bottom"/>
            <w:gridSpan w:val="2"/>
          </w:tcPr>
          <w:p>
            <w:pPr>
              <w:spacing w:after="0"/>
              <w:rPr>
                <w:sz w:val="20"/>
                <w:szCs w:val="20"/>
                <w:color w:val="auto"/>
              </w:rPr>
            </w:pPr>
            <w:r>
              <w:rPr>
                <w:rFonts w:ascii="Arial" w:cs="Arial" w:eastAsia="Arial" w:hAnsi="Arial"/>
                <w:sz w:val="16"/>
                <w:szCs w:val="16"/>
                <w:color w:val="auto"/>
                <w:w w:val="98"/>
              </w:rPr>
              <w:t>100% payout at target (2nd quartile, with 50% payout (3rd</w:t>
            </w: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9"/>
        </w:trPr>
        <w:tc>
          <w:tcPr>
            <w:tcW w:w="3400" w:type="dxa"/>
            <w:vAlign w:val="bottom"/>
            <w:gridSpan w:val="2"/>
          </w:tcPr>
          <w:p>
            <w:pPr>
              <w:spacing w:after="0"/>
              <w:rPr>
                <w:sz w:val="20"/>
                <w:szCs w:val="20"/>
                <w:color w:val="auto"/>
              </w:rPr>
            </w:pPr>
            <w:r>
              <w:rPr>
                <w:rFonts w:ascii="Arial" w:cs="Arial" w:eastAsia="Arial" w:hAnsi="Arial"/>
                <w:sz w:val="16"/>
                <w:szCs w:val="16"/>
                <w:color w:val="auto"/>
                <w:w w:val="95"/>
              </w:rPr>
              <w:t>compared to the Company's 2018 proxy disclosed</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40" w:type="dxa"/>
            <w:vAlign w:val="bottom"/>
            <w:gridSpan w:val="2"/>
          </w:tcPr>
          <w:p>
            <w:pPr>
              <w:spacing w:after="0"/>
              <w:rPr>
                <w:sz w:val="20"/>
                <w:szCs w:val="20"/>
                <w:color w:val="auto"/>
              </w:rPr>
            </w:pPr>
            <w:r>
              <w:rPr>
                <w:rFonts w:ascii="Arial" w:cs="Arial" w:eastAsia="Arial" w:hAnsi="Arial"/>
                <w:sz w:val="16"/>
                <w:szCs w:val="16"/>
                <w:color w:val="auto"/>
                <w:w w:val="97"/>
              </w:rPr>
              <w:t>quartile) and 150% payout (1st quartile). No payout if TSR</w:t>
            </w: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color w:val="auto"/>
                <w:w w:val="89"/>
              </w:rPr>
              <w:t>2nd</w:t>
            </w:r>
          </w:p>
        </w:tc>
        <w:tc>
          <w:tcPr>
            <w:tcW w:w="1060" w:type="dxa"/>
            <w:vAlign w:val="bottom"/>
            <w:gridSpan w:val="2"/>
          </w:tcPr>
          <w:p>
            <w:pPr>
              <w:jc w:val="center"/>
              <w:ind w:right="280"/>
              <w:spacing w:after="0"/>
              <w:rPr>
                <w:sz w:val="20"/>
                <w:szCs w:val="20"/>
                <w:color w:val="auto"/>
              </w:rPr>
            </w:pPr>
            <w:r>
              <w:rPr>
                <w:rFonts w:ascii="Arial" w:cs="Arial" w:eastAsia="Arial" w:hAnsi="Arial"/>
                <w:sz w:val="16"/>
                <w:szCs w:val="16"/>
                <w:color w:val="auto"/>
                <w:w w:val="98"/>
              </w:rPr>
              <w:t>4th</w:t>
            </w: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359"/>
        </w:trPr>
        <w:tc>
          <w:tcPr>
            <w:tcW w:w="3400" w:type="dxa"/>
            <w:vAlign w:val="bottom"/>
            <w:gridSpan w:val="2"/>
          </w:tcPr>
          <w:p>
            <w:pPr>
              <w:spacing w:after="0"/>
              <w:rPr>
                <w:sz w:val="20"/>
                <w:szCs w:val="20"/>
                <w:color w:val="auto"/>
              </w:rPr>
            </w:pPr>
            <w:r>
              <w:rPr>
                <w:rFonts w:ascii="Arial" w:cs="Arial" w:eastAsia="Arial" w:hAnsi="Arial"/>
                <w:sz w:val="16"/>
                <w:szCs w:val="16"/>
                <w:color w:val="auto"/>
              </w:rPr>
              <w:t xml:space="preserve">peer group </w:t>
            </w:r>
            <w:r>
              <w:rPr>
                <w:rFonts w:ascii="Arial" w:cs="Arial" w:eastAsia="Arial" w:hAnsi="Arial"/>
                <w:sz w:val="27"/>
                <w:szCs w:val="27"/>
                <w:color w:val="auto"/>
                <w:vertAlign w:val="superscript"/>
              </w:rPr>
              <w:t>(1)</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40" w:type="dxa"/>
            <w:vAlign w:val="bottom"/>
            <w:gridSpan w:val="2"/>
          </w:tcPr>
          <w:p>
            <w:pPr>
              <w:spacing w:after="0"/>
              <w:rPr>
                <w:sz w:val="20"/>
                <w:szCs w:val="20"/>
                <w:color w:val="auto"/>
              </w:rPr>
            </w:pPr>
            <w:r>
              <w:rPr>
                <w:rFonts w:ascii="Arial" w:cs="Arial" w:eastAsia="Arial" w:hAnsi="Arial"/>
                <w:sz w:val="16"/>
                <w:szCs w:val="16"/>
                <w:color w:val="auto"/>
              </w:rPr>
              <w:t>falls in the fourth quartile.</w:t>
            </w: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color w:val="auto"/>
                <w:w w:val="91"/>
              </w:rPr>
              <w:t>quartile</w:t>
            </w:r>
          </w:p>
        </w:tc>
        <w:tc>
          <w:tcPr>
            <w:tcW w:w="1060" w:type="dxa"/>
            <w:vAlign w:val="bottom"/>
            <w:gridSpan w:val="2"/>
          </w:tcPr>
          <w:p>
            <w:pPr>
              <w:jc w:val="center"/>
              <w:ind w:right="280"/>
              <w:spacing w:after="0"/>
              <w:rPr>
                <w:sz w:val="20"/>
                <w:szCs w:val="20"/>
                <w:color w:val="auto"/>
              </w:rPr>
            </w:pPr>
            <w:r>
              <w:rPr>
                <w:rFonts w:ascii="Arial" w:cs="Arial" w:eastAsia="Arial" w:hAnsi="Arial"/>
                <w:sz w:val="16"/>
                <w:szCs w:val="16"/>
                <w:color w:val="auto"/>
                <w:w w:val="95"/>
              </w:rPr>
              <w:t>quartile</w:t>
            </w:r>
          </w:p>
        </w:tc>
        <w:tc>
          <w:tcPr>
            <w:tcW w:w="660" w:type="dxa"/>
            <w:vAlign w:val="bottom"/>
            <w:gridSpan w:val="2"/>
          </w:tcPr>
          <w:p>
            <w:pPr>
              <w:ind w:left="440"/>
              <w:spacing w:after="0"/>
              <w:rPr>
                <w:sz w:val="20"/>
                <w:szCs w:val="20"/>
                <w:color w:val="auto"/>
              </w:rPr>
            </w:pPr>
            <w:r>
              <w:rPr>
                <w:rFonts w:ascii="Arial" w:cs="Arial" w:eastAsia="Arial" w:hAnsi="Arial"/>
                <w:sz w:val="16"/>
                <w:szCs w:val="16"/>
                <w:color w:val="auto"/>
              </w:rPr>
              <w:t>—</w:t>
            </w:r>
          </w:p>
        </w:tc>
      </w:tr>
    </w:tbl>
    <w:p>
      <w:pPr>
        <w:spacing w:after="0" w:line="54" w:lineRule="exact"/>
        <w:rPr>
          <w:sz w:val="20"/>
          <w:szCs w:val="20"/>
          <w:color w:val="auto"/>
        </w:rPr>
      </w:pPr>
    </w:p>
    <w:p>
      <w:pPr>
        <w:ind w:left="1120" w:hanging="370"/>
        <w:spacing w:after="0" w:line="253" w:lineRule="auto"/>
        <w:tabs>
          <w:tab w:leader="none" w:pos="11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For the Company and the 2018 disclosed proxy peers, the three-year relative total shareholder return was calculated as a percentage change in the 30-day volume-weighted average closing stock price at February 2, 2018 and January 29, 2021, adjusted for any dividends paid.</w:t>
      </w:r>
    </w:p>
    <w:p>
      <w:pPr>
        <w:spacing w:after="0" w:line="286" w:lineRule="exact"/>
        <w:rPr>
          <w:sz w:val="20"/>
          <w:szCs w:val="20"/>
          <w:color w:val="auto"/>
        </w:rPr>
      </w:pPr>
    </w:p>
    <w:p>
      <w:pPr>
        <w:jc w:val="both"/>
        <w:ind w:left="760"/>
        <w:spacing w:after="0" w:line="263" w:lineRule="auto"/>
        <w:rPr>
          <w:sz w:val="20"/>
          <w:szCs w:val="20"/>
          <w:color w:val="auto"/>
        </w:rPr>
      </w:pPr>
      <w:r>
        <w:rPr>
          <w:rFonts w:ascii="Arial" w:cs="Arial" w:eastAsia="Arial" w:hAnsi="Arial"/>
          <w:sz w:val="18"/>
          <w:szCs w:val="18"/>
          <w:color w:val="auto"/>
        </w:rPr>
        <w:t>The targets under the 2018-2020 LTIP were set prior to the COVID-19 pandemic, which had a material impact on the Company’s financial results in fiscal 2020 but the targets were not modified to reflect the effects of the pandemic. The minimum thresholds for the two metrics were not achieved and, as a result, there was no performance-based payout under the 2018-2020 LTIP.</w:t>
      </w:r>
    </w:p>
    <w:p>
      <w:pPr>
        <w:spacing w:after="0" w:line="76" w:lineRule="exact"/>
        <w:rPr>
          <w:sz w:val="20"/>
          <w:szCs w:val="20"/>
          <w:color w:val="auto"/>
        </w:rPr>
      </w:pPr>
    </w:p>
    <w:p>
      <w:pPr>
        <w:jc w:val="both"/>
        <w:ind w:left="760"/>
        <w:spacing w:after="0" w:line="269" w:lineRule="auto"/>
        <w:rPr>
          <w:sz w:val="20"/>
          <w:szCs w:val="20"/>
          <w:color w:val="auto"/>
        </w:rPr>
      </w:pPr>
      <w:r>
        <w:rPr>
          <w:rFonts w:ascii="Arial" w:cs="Arial" w:eastAsia="Arial" w:hAnsi="Arial"/>
          <w:sz w:val="17"/>
          <w:szCs w:val="17"/>
          <w:color w:val="auto"/>
        </w:rPr>
        <w:t>However, given the unprecedented impact of the pandemic, on March 9, 2021, the Committee approved the discretionary grant of stock options to Mr. Kanter and all active members of management who were participants in the 2018-2020 LTIP. The Committee considered various factors in making the awards, including the need to ensure that the Company retains and motivates key employees to successfully drive its business forward beyond the pandemic to create additional long-term stockholder value. The calculation of the stock option awards was determined upon the same calculation as would have been made had the 2018-2020 LTIP achieved a 12.5% achievement of the performance-based metric. Accordingly, after the end of fiscal 2020, on March 9, 2021, the Committee approved a discretionary grant to all current participants in the LTIP of stock options to purchase up to an aggregate of 414,337 shares of common stock, at an exercise price of $0.75 per share. The total dollar value of the award was $198,258. All stock options will vest ratably over three years, with the first tranche vesting on March 9, 2022. Of the total 414,337 shares granted pursuant to the stock options, 77,516 shares are subject to shareholder approval within one-year from date of grant. If such shares are not approved by shareholders, the awards will be settled in cash.</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is a summary of the two other LTIPs in effect, but not completed, during fiscal 2020:</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13"/>
        </w:trPr>
        <w:tc>
          <w:tcPr>
            <w:tcW w:w="316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Summary of LTIPs</w:t>
            </w:r>
          </w:p>
        </w:tc>
        <w:tc>
          <w:tcPr>
            <w:tcW w:w="200" w:type="dxa"/>
            <w:vAlign w:val="bottom"/>
            <w:tcBorders>
              <w:bottom w:val="single" w:sz="8" w:color="CFF0FC"/>
            </w:tcBorders>
          </w:tcPr>
          <w:p>
            <w:pPr>
              <w:spacing w:after="0"/>
              <w:rPr>
                <w:sz w:val="18"/>
                <w:szCs w:val="18"/>
                <w:color w:val="auto"/>
              </w:rPr>
            </w:pPr>
          </w:p>
        </w:tc>
        <w:tc>
          <w:tcPr>
            <w:tcW w:w="2240" w:type="dxa"/>
            <w:vAlign w:val="bottom"/>
            <w:tcBorders>
              <w:bottom w:val="single" w:sz="8" w:color="auto"/>
            </w:tcBorders>
            <w:gridSpan w:val="7"/>
          </w:tcPr>
          <w:p>
            <w:pPr>
              <w:jc w:val="right"/>
              <w:spacing w:after="0"/>
              <w:rPr>
                <w:sz w:val="20"/>
                <w:szCs w:val="20"/>
                <w:color w:val="auto"/>
              </w:rPr>
            </w:pPr>
            <w:r>
              <w:rPr>
                <w:rFonts w:ascii="Arial" w:cs="Arial" w:eastAsia="Arial" w:hAnsi="Arial"/>
                <w:sz w:val="16"/>
                <w:szCs w:val="16"/>
                <w:b w:val="1"/>
                <w:bCs w:val="1"/>
                <w:color w:val="auto"/>
              </w:rPr>
              <w:t>2019-2021</w:t>
            </w:r>
          </w:p>
        </w:tc>
        <w:tc>
          <w:tcPr>
            <w:tcW w:w="11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60" w:type="dxa"/>
            <w:vAlign w:val="bottom"/>
            <w:tcBorders>
              <w:bottom w:val="single" w:sz="8" w:color="CFF0FC"/>
            </w:tcBorders>
          </w:tcPr>
          <w:p>
            <w:pPr>
              <w:spacing w:after="0"/>
              <w:rPr>
                <w:sz w:val="18"/>
                <w:szCs w:val="18"/>
                <w:color w:val="auto"/>
              </w:rPr>
            </w:pPr>
          </w:p>
        </w:tc>
        <w:tc>
          <w:tcPr>
            <w:tcW w:w="3440" w:type="dxa"/>
            <w:vAlign w:val="bottom"/>
            <w:tcBorders>
              <w:bottom w:val="single" w:sz="8" w:color="auto"/>
            </w:tcBorders>
            <w:gridSpan w:val="8"/>
          </w:tcPr>
          <w:p>
            <w:pPr>
              <w:jc w:val="right"/>
              <w:ind w:right="1019"/>
              <w:spacing w:after="0"/>
              <w:rPr>
                <w:sz w:val="20"/>
                <w:szCs w:val="20"/>
                <w:color w:val="auto"/>
              </w:rPr>
            </w:pPr>
            <w:r>
              <w:rPr>
                <w:rFonts w:ascii="Arial" w:cs="Arial" w:eastAsia="Arial" w:hAnsi="Arial"/>
                <w:sz w:val="16"/>
                <w:szCs w:val="16"/>
                <w:b w:val="1"/>
                <w:bCs w:val="1"/>
                <w:color w:val="auto"/>
              </w:rPr>
              <w:t>2020-2022 (1)</w:t>
            </w:r>
          </w:p>
        </w:tc>
        <w:tc>
          <w:tcPr>
            <w:tcW w:w="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36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Effective date</w:t>
            </w:r>
          </w:p>
        </w:tc>
        <w:tc>
          <w:tcPr>
            <w:tcW w:w="5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720" w:type="dxa"/>
            <w:vAlign w:val="bottom"/>
            <w:gridSpan w:val="7"/>
            <w:shd w:val="clear" w:color="auto" w:fill="CFF0FC"/>
          </w:tcPr>
          <w:p>
            <w:pPr>
              <w:jc w:val="center"/>
              <w:ind w:right="1680"/>
              <w:spacing w:after="0"/>
              <w:rPr>
                <w:sz w:val="20"/>
                <w:szCs w:val="20"/>
                <w:color w:val="auto"/>
              </w:rPr>
            </w:pPr>
            <w:r>
              <w:rPr>
                <w:rFonts w:ascii="Arial" w:cs="Arial" w:eastAsia="Arial" w:hAnsi="Arial"/>
                <w:sz w:val="16"/>
                <w:szCs w:val="16"/>
                <w:color w:val="auto"/>
                <w:w w:val="92"/>
              </w:rPr>
              <w:t>August 7, 2019</w:t>
            </w:r>
          </w:p>
        </w:tc>
        <w:tc>
          <w:tcPr>
            <w:tcW w:w="5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520" w:type="dxa"/>
            <w:vAlign w:val="bottom"/>
            <w:gridSpan w:val="7"/>
            <w:shd w:val="clear" w:color="auto" w:fill="CFF0FC"/>
          </w:tcPr>
          <w:p>
            <w:pPr>
              <w:jc w:val="center"/>
              <w:ind w:right="1460"/>
              <w:spacing w:after="0"/>
              <w:rPr>
                <w:sz w:val="20"/>
                <w:szCs w:val="20"/>
                <w:color w:val="auto"/>
              </w:rPr>
            </w:pPr>
            <w:r>
              <w:rPr>
                <w:rFonts w:ascii="Arial" w:cs="Arial" w:eastAsia="Arial" w:hAnsi="Arial"/>
                <w:sz w:val="16"/>
                <w:szCs w:val="16"/>
                <w:color w:val="auto"/>
                <w:w w:val="88"/>
              </w:rPr>
              <w:t>June 11, 2020</w:t>
            </w:r>
          </w:p>
        </w:tc>
        <w:tc>
          <w:tcPr>
            <w:tcW w:w="0" w:type="dxa"/>
            <w:vAlign w:val="bottom"/>
          </w:tcPr>
          <w:p>
            <w:pPr>
              <w:spacing w:after="0"/>
              <w:rPr>
                <w:sz w:val="1"/>
                <w:szCs w:val="1"/>
                <w:color w:val="auto"/>
              </w:rPr>
            </w:pPr>
          </w:p>
        </w:tc>
      </w:tr>
      <w:tr>
        <w:trPr>
          <w:trHeight w:val="213"/>
        </w:trPr>
        <w:tc>
          <w:tcPr>
            <w:tcW w:w="3360" w:type="dxa"/>
            <w:vAlign w:val="bottom"/>
            <w:gridSpan w:val="3"/>
          </w:tcPr>
          <w:p>
            <w:pPr>
              <w:spacing w:after="0"/>
              <w:rPr>
                <w:sz w:val="20"/>
                <w:szCs w:val="20"/>
                <w:color w:val="auto"/>
              </w:rPr>
            </w:pPr>
            <w:r>
              <w:rPr>
                <w:rFonts w:ascii="Arial" w:cs="Arial" w:eastAsia="Arial" w:hAnsi="Arial"/>
                <w:sz w:val="16"/>
                <w:szCs w:val="16"/>
                <w:color w:val="auto"/>
              </w:rPr>
              <w:t>Performance period</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80" w:type="dxa"/>
            <w:vAlign w:val="bottom"/>
            <w:gridSpan w:val="6"/>
          </w:tcPr>
          <w:p>
            <w:pPr>
              <w:jc w:val="center"/>
              <w:ind w:right="2020"/>
              <w:spacing w:after="0"/>
              <w:rPr>
                <w:sz w:val="20"/>
                <w:szCs w:val="20"/>
                <w:color w:val="auto"/>
              </w:rPr>
            </w:pPr>
            <w:r>
              <w:rPr>
                <w:rFonts w:ascii="Arial" w:cs="Arial" w:eastAsia="Arial" w:hAnsi="Arial"/>
                <w:sz w:val="16"/>
                <w:szCs w:val="16"/>
                <w:color w:val="auto"/>
                <w:w w:val="92"/>
              </w:rPr>
              <w:t>3yrs</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20" w:type="dxa"/>
            <w:vAlign w:val="bottom"/>
            <w:gridSpan w:val="7"/>
          </w:tcPr>
          <w:p>
            <w:pPr>
              <w:jc w:val="center"/>
              <w:ind w:right="1480"/>
              <w:spacing w:after="0"/>
              <w:rPr>
                <w:sz w:val="20"/>
                <w:szCs w:val="20"/>
                <w:color w:val="auto"/>
              </w:rPr>
            </w:pPr>
            <w:r>
              <w:rPr>
                <w:rFonts w:ascii="Arial" w:cs="Arial" w:eastAsia="Arial" w:hAnsi="Arial"/>
                <w:sz w:val="16"/>
                <w:szCs w:val="16"/>
                <w:color w:val="auto"/>
                <w:w w:val="92"/>
              </w:rPr>
              <w:t>3yrs</w:t>
            </w:r>
          </w:p>
        </w:tc>
        <w:tc>
          <w:tcPr>
            <w:tcW w:w="0" w:type="dxa"/>
            <w:vAlign w:val="bottom"/>
          </w:tcPr>
          <w:p>
            <w:pPr>
              <w:spacing w:after="0"/>
              <w:rPr>
                <w:sz w:val="1"/>
                <w:szCs w:val="1"/>
                <w:color w:val="auto"/>
              </w:rPr>
            </w:pPr>
          </w:p>
        </w:tc>
      </w:tr>
      <w:tr>
        <w:trPr>
          <w:trHeight w:val="219"/>
        </w:trPr>
        <w:tc>
          <w:tcPr>
            <w:tcW w:w="336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End of Performance Period</w:t>
            </w:r>
          </w:p>
        </w:tc>
        <w:tc>
          <w:tcPr>
            <w:tcW w:w="5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880" w:type="dxa"/>
            <w:vAlign w:val="bottom"/>
            <w:gridSpan w:val="8"/>
            <w:shd w:val="clear" w:color="auto" w:fill="CFF0FC"/>
          </w:tcPr>
          <w:p>
            <w:pPr>
              <w:jc w:val="center"/>
              <w:ind w:right="1520"/>
              <w:spacing w:after="0"/>
              <w:rPr>
                <w:sz w:val="20"/>
                <w:szCs w:val="20"/>
                <w:color w:val="auto"/>
              </w:rPr>
            </w:pPr>
            <w:r>
              <w:rPr>
                <w:rFonts w:ascii="Arial" w:cs="Arial" w:eastAsia="Arial" w:hAnsi="Arial"/>
                <w:sz w:val="16"/>
                <w:szCs w:val="16"/>
                <w:color w:val="auto"/>
                <w:w w:val="90"/>
              </w:rPr>
              <w:t>January 29, 2022</w:t>
            </w:r>
          </w:p>
        </w:tc>
        <w:tc>
          <w:tcPr>
            <w:tcW w:w="5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700" w:type="dxa"/>
            <w:vAlign w:val="bottom"/>
            <w:gridSpan w:val="8"/>
            <w:shd w:val="clear" w:color="auto" w:fill="CFF0FC"/>
          </w:tcPr>
          <w:p>
            <w:pPr>
              <w:jc w:val="center"/>
              <w:ind w:right="1280"/>
              <w:spacing w:after="0"/>
              <w:rPr>
                <w:sz w:val="20"/>
                <w:szCs w:val="20"/>
                <w:color w:val="auto"/>
              </w:rPr>
            </w:pPr>
            <w:r>
              <w:rPr>
                <w:rFonts w:ascii="Arial" w:cs="Arial" w:eastAsia="Arial" w:hAnsi="Arial"/>
                <w:sz w:val="16"/>
                <w:szCs w:val="16"/>
                <w:color w:val="auto"/>
                <w:w w:val="88"/>
              </w:rPr>
              <w:t>January 28, 2023</w:t>
            </w:r>
          </w:p>
        </w:tc>
        <w:tc>
          <w:tcPr>
            <w:tcW w:w="0" w:type="dxa"/>
            <w:vAlign w:val="bottom"/>
          </w:tcPr>
          <w:p>
            <w:pPr>
              <w:spacing w:after="0"/>
              <w:rPr>
                <w:sz w:val="1"/>
                <w:szCs w:val="1"/>
                <w:color w:val="auto"/>
              </w:rPr>
            </w:pPr>
          </w:p>
        </w:tc>
      </w:tr>
      <w:tr>
        <w:trPr>
          <w:trHeight w:val="210"/>
        </w:trPr>
        <w:tc>
          <w:tcPr>
            <w:tcW w:w="3360" w:type="dxa"/>
            <w:vAlign w:val="bottom"/>
            <w:gridSpan w:val="3"/>
          </w:tcPr>
          <w:p>
            <w:pPr>
              <w:spacing w:after="0"/>
              <w:rPr>
                <w:sz w:val="20"/>
                <w:szCs w:val="20"/>
                <w:color w:val="auto"/>
              </w:rPr>
            </w:pPr>
            <w:r>
              <w:rPr>
                <w:rFonts w:ascii="Arial" w:cs="Arial" w:eastAsia="Arial" w:hAnsi="Arial"/>
                <w:sz w:val="16"/>
                <w:szCs w:val="16"/>
                <w:color w:val="auto"/>
              </w:rPr>
              <w:t>Target cash value</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340" w:type="dxa"/>
            <w:vAlign w:val="bottom"/>
            <w:gridSpan w:val="9"/>
          </w:tcPr>
          <w:p>
            <w:pPr>
              <w:jc w:val="center"/>
              <w:ind w:right="1040"/>
              <w:spacing w:after="0"/>
              <w:rPr>
                <w:sz w:val="20"/>
                <w:szCs w:val="20"/>
                <w:color w:val="auto"/>
              </w:rPr>
            </w:pPr>
            <w:r>
              <w:rPr>
                <w:rFonts w:ascii="Arial" w:cs="Arial" w:eastAsia="Arial" w:hAnsi="Arial"/>
                <w:sz w:val="16"/>
                <w:szCs w:val="16"/>
                <w:color w:val="auto"/>
                <w:w w:val="93"/>
              </w:rPr>
              <w:t>Annual Salary * Participation Rate</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40" w:type="dxa"/>
            <w:vAlign w:val="bottom"/>
            <w:gridSpan w:val="9"/>
          </w:tcPr>
          <w:p>
            <w:pPr>
              <w:jc w:val="center"/>
              <w:ind w:right="840"/>
              <w:spacing w:after="0"/>
              <w:rPr>
                <w:sz w:val="20"/>
                <w:szCs w:val="20"/>
                <w:color w:val="auto"/>
              </w:rPr>
            </w:pPr>
            <w:r>
              <w:rPr>
                <w:rFonts w:ascii="Arial" w:cs="Arial" w:eastAsia="Arial" w:hAnsi="Arial"/>
                <w:sz w:val="16"/>
                <w:szCs w:val="16"/>
                <w:color w:val="auto"/>
                <w:w w:val="93"/>
              </w:rPr>
              <w:t>Annual Salary * Participation Rate</w:t>
            </w:r>
          </w:p>
        </w:tc>
        <w:tc>
          <w:tcPr>
            <w:tcW w:w="0" w:type="dxa"/>
            <w:vAlign w:val="bottom"/>
          </w:tcPr>
          <w:p>
            <w:pPr>
              <w:spacing w:after="0"/>
              <w:rPr>
                <w:sz w:val="1"/>
                <w:szCs w:val="1"/>
                <w:color w:val="auto"/>
              </w:rPr>
            </w:pPr>
          </w:p>
        </w:tc>
      </w:tr>
      <w:tr>
        <w:trPr>
          <w:trHeight w:val="398"/>
        </w:trPr>
        <w:tc>
          <w:tcPr>
            <w:tcW w:w="14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40" w:type="dxa"/>
            <w:vAlign w:val="bottom"/>
            <w:gridSpan w:val="5"/>
          </w:tcPr>
          <w:p>
            <w:pPr>
              <w:jc w:val="center"/>
              <w:ind w:left="100"/>
              <w:spacing w:after="0"/>
              <w:rPr>
                <w:sz w:val="20"/>
                <w:szCs w:val="20"/>
                <w:color w:val="auto"/>
              </w:rPr>
            </w:pPr>
            <w:r>
              <w:rPr>
                <w:rFonts w:ascii="Arial" w:cs="Arial" w:eastAsia="Arial" w:hAnsi="Arial"/>
                <w:sz w:val="16"/>
                <w:szCs w:val="16"/>
                <w:color w:val="auto"/>
                <w:w w:val="90"/>
              </w:rPr>
              <w:t>Time-Based</w:t>
            </w:r>
          </w:p>
        </w:tc>
        <w:tc>
          <w:tcPr>
            <w:tcW w:w="2380" w:type="dxa"/>
            <w:vAlign w:val="bottom"/>
            <w:gridSpan w:val="6"/>
          </w:tcPr>
          <w:p>
            <w:pPr>
              <w:jc w:val="center"/>
              <w:ind w:right="60"/>
              <w:spacing w:after="0"/>
              <w:rPr>
                <w:sz w:val="20"/>
                <w:szCs w:val="20"/>
                <w:color w:val="auto"/>
              </w:rPr>
            </w:pPr>
            <w:r>
              <w:rPr>
                <w:rFonts w:ascii="Arial" w:cs="Arial" w:eastAsia="Arial" w:hAnsi="Arial"/>
                <w:sz w:val="16"/>
                <w:szCs w:val="16"/>
                <w:color w:val="auto"/>
                <w:w w:val="89"/>
              </w:rPr>
              <w:t>Performance-Based</w:t>
            </w:r>
          </w:p>
        </w:tc>
        <w:tc>
          <w:tcPr>
            <w:tcW w:w="1900" w:type="dxa"/>
            <w:vAlign w:val="bottom"/>
            <w:gridSpan w:val="5"/>
          </w:tcPr>
          <w:p>
            <w:pPr>
              <w:jc w:val="center"/>
              <w:spacing w:after="0"/>
              <w:rPr>
                <w:sz w:val="20"/>
                <w:szCs w:val="20"/>
                <w:color w:val="auto"/>
              </w:rPr>
            </w:pPr>
            <w:r>
              <w:rPr>
                <w:rFonts w:ascii="Arial" w:cs="Arial" w:eastAsia="Arial" w:hAnsi="Arial"/>
                <w:sz w:val="16"/>
                <w:szCs w:val="16"/>
                <w:color w:val="auto"/>
                <w:w w:val="92"/>
              </w:rPr>
              <w:t>Time-Based</w:t>
            </w:r>
          </w:p>
        </w:tc>
        <w:tc>
          <w:tcPr>
            <w:tcW w:w="1960" w:type="dxa"/>
            <w:vAlign w:val="bottom"/>
            <w:gridSpan w:val="6"/>
          </w:tcPr>
          <w:p>
            <w:pPr>
              <w:jc w:val="center"/>
              <w:ind w:right="40"/>
              <w:spacing w:after="0"/>
              <w:rPr>
                <w:sz w:val="20"/>
                <w:szCs w:val="20"/>
                <w:color w:val="auto"/>
              </w:rPr>
            </w:pPr>
            <w:r>
              <w:rPr>
                <w:rFonts w:ascii="Arial" w:cs="Arial" w:eastAsia="Arial" w:hAnsi="Arial"/>
                <w:sz w:val="16"/>
                <w:szCs w:val="16"/>
                <w:color w:val="auto"/>
                <w:w w:val="89"/>
              </w:rPr>
              <w:t>Performance-Based</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1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1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36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Allocation of Target Cash Value</w:t>
            </w:r>
          </w:p>
        </w:tc>
        <w:tc>
          <w:tcPr>
            <w:tcW w:w="1140" w:type="dxa"/>
            <w:vAlign w:val="bottom"/>
            <w:gridSpan w:val="3"/>
            <w:shd w:val="clear" w:color="auto" w:fill="CFF0FC"/>
          </w:tcPr>
          <w:p>
            <w:pPr>
              <w:jc w:val="center"/>
              <w:ind w:left="600"/>
              <w:spacing w:after="0"/>
              <w:rPr>
                <w:sz w:val="20"/>
                <w:szCs w:val="20"/>
                <w:color w:val="auto"/>
              </w:rPr>
            </w:pPr>
            <w:r>
              <w:rPr>
                <w:rFonts w:ascii="Arial" w:cs="Arial" w:eastAsia="Arial" w:hAnsi="Arial"/>
                <w:sz w:val="16"/>
                <w:szCs w:val="16"/>
                <w:color w:val="auto"/>
                <w:w w:val="93"/>
              </w:rPr>
              <w:t>50%</w:t>
            </w: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740" w:type="dxa"/>
            <w:vAlign w:val="bottom"/>
            <w:gridSpan w:val="3"/>
            <w:shd w:val="clear" w:color="auto" w:fill="CFF0FC"/>
          </w:tcPr>
          <w:p>
            <w:pPr>
              <w:jc w:val="center"/>
              <w:ind w:left="519"/>
              <w:spacing w:after="0"/>
              <w:rPr>
                <w:sz w:val="20"/>
                <w:szCs w:val="20"/>
                <w:color w:val="auto"/>
              </w:rPr>
            </w:pPr>
            <w:r>
              <w:rPr>
                <w:rFonts w:ascii="Arial" w:cs="Arial" w:eastAsia="Arial" w:hAnsi="Arial"/>
                <w:sz w:val="16"/>
                <w:szCs w:val="16"/>
                <w:color w:val="auto"/>
                <w:w w:val="93"/>
              </w:rPr>
              <w:t>50%</w:t>
            </w:r>
          </w:p>
        </w:tc>
        <w:tc>
          <w:tcPr>
            <w:tcW w:w="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60" w:type="dxa"/>
            <w:vAlign w:val="bottom"/>
            <w:gridSpan w:val="3"/>
            <w:shd w:val="clear" w:color="auto" w:fill="CFF0FC"/>
          </w:tcPr>
          <w:p>
            <w:pPr>
              <w:jc w:val="center"/>
              <w:ind w:left="620"/>
              <w:spacing w:after="0"/>
              <w:rPr>
                <w:sz w:val="20"/>
                <w:szCs w:val="20"/>
                <w:color w:val="auto"/>
              </w:rPr>
            </w:pPr>
            <w:r>
              <w:rPr>
                <w:rFonts w:ascii="Arial" w:cs="Arial" w:eastAsia="Arial" w:hAnsi="Arial"/>
                <w:sz w:val="16"/>
                <w:szCs w:val="16"/>
                <w:color w:val="auto"/>
                <w:w w:val="93"/>
              </w:rPr>
              <w:t>50%</w:t>
            </w:r>
          </w:p>
        </w:tc>
        <w:tc>
          <w:tcPr>
            <w:tcW w:w="1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540" w:type="dxa"/>
            <w:vAlign w:val="bottom"/>
            <w:gridSpan w:val="3"/>
            <w:shd w:val="clear" w:color="auto" w:fill="CFF0FC"/>
          </w:tcPr>
          <w:p>
            <w:pPr>
              <w:jc w:val="center"/>
              <w:ind w:left="319"/>
              <w:spacing w:after="0"/>
              <w:rPr>
                <w:sz w:val="20"/>
                <w:szCs w:val="20"/>
                <w:color w:val="auto"/>
              </w:rPr>
            </w:pPr>
            <w:r>
              <w:rPr>
                <w:rFonts w:ascii="Arial" w:cs="Arial" w:eastAsia="Arial" w:hAnsi="Arial"/>
                <w:sz w:val="16"/>
                <w:szCs w:val="16"/>
                <w:color w:val="auto"/>
                <w:w w:val="93"/>
              </w:rPr>
              <w:t>50%</w:t>
            </w:r>
          </w:p>
        </w:tc>
        <w:tc>
          <w:tcPr>
            <w:tcW w:w="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4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gridSpan w:val="5"/>
          </w:tcPr>
          <w:p>
            <w:pPr>
              <w:jc w:val="center"/>
              <w:ind w:left="120"/>
              <w:spacing w:after="0"/>
              <w:rPr>
                <w:sz w:val="20"/>
                <w:szCs w:val="20"/>
                <w:color w:val="auto"/>
              </w:rPr>
            </w:pPr>
            <w:r>
              <w:rPr>
                <w:rFonts w:ascii="Arial" w:cs="Arial" w:eastAsia="Arial" w:hAnsi="Arial"/>
                <w:sz w:val="16"/>
                <w:szCs w:val="16"/>
                <w:color w:val="auto"/>
                <w:w w:val="91"/>
              </w:rPr>
              <w:t>at effective date:</w:t>
            </w: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80" w:type="dxa"/>
            <w:vAlign w:val="bottom"/>
            <w:gridSpan w:val="4"/>
          </w:tcPr>
          <w:p>
            <w:pPr>
              <w:jc w:val="center"/>
              <w:ind w:right="660"/>
              <w:spacing w:after="0"/>
              <w:rPr>
                <w:sz w:val="20"/>
                <w:szCs w:val="20"/>
                <w:color w:val="auto"/>
              </w:rPr>
            </w:pPr>
            <w:r>
              <w:rPr>
                <w:rFonts w:ascii="Arial" w:cs="Arial" w:eastAsia="Arial" w:hAnsi="Arial"/>
                <w:sz w:val="16"/>
                <w:szCs w:val="16"/>
                <w:color w:val="auto"/>
                <w:w w:val="89"/>
              </w:rPr>
              <w:t>RSUs, Cash or a</w:t>
            </w:r>
          </w:p>
        </w:tc>
        <w:tc>
          <w:tcPr>
            <w:tcW w:w="1900" w:type="dxa"/>
            <w:vAlign w:val="bottom"/>
            <w:gridSpan w:val="5"/>
          </w:tcPr>
          <w:p>
            <w:pPr>
              <w:jc w:val="center"/>
              <w:spacing w:after="0"/>
              <w:rPr>
                <w:sz w:val="20"/>
                <w:szCs w:val="20"/>
                <w:color w:val="auto"/>
              </w:rPr>
            </w:pPr>
            <w:r>
              <w:rPr>
                <w:rFonts w:ascii="Arial" w:cs="Arial" w:eastAsia="Arial" w:hAnsi="Arial"/>
                <w:sz w:val="16"/>
                <w:szCs w:val="16"/>
                <w:color w:val="auto"/>
                <w:w w:val="91"/>
              </w:rPr>
              <w:t>at effective date:</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60" w:type="dxa"/>
            <w:vAlign w:val="bottom"/>
            <w:gridSpan w:val="4"/>
          </w:tcPr>
          <w:p>
            <w:pPr>
              <w:jc w:val="center"/>
              <w:ind w:right="420"/>
              <w:spacing w:after="0"/>
              <w:rPr>
                <w:sz w:val="20"/>
                <w:szCs w:val="20"/>
                <w:color w:val="auto"/>
              </w:rPr>
            </w:pPr>
            <w:r>
              <w:rPr>
                <w:rFonts w:ascii="Arial" w:cs="Arial" w:eastAsia="Arial" w:hAnsi="Arial"/>
                <w:sz w:val="16"/>
                <w:szCs w:val="16"/>
                <w:color w:val="auto"/>
                <w:w w:val="88"/>
              </w:rPr>
              <w:t>RSUs, Cash or a</w:t>
            </w:r>
          </w:p>
        </w:tc>
        <w:tc>
          <w:tcPr>
            <w:tcW w:w="0" w:type="dxa"/>
            <w:vAlign w:val="bottom"/>
          </w:tcPr>
          <w:p>
            <w:pPr>
              <w:spacing w:after="0"/>
              <w:rPr>
                <w:sz w:val="1"/>
                <w:szCs w:val="1"/>
                <w:color w:val="auto"/>
              </w:rPr>
            </w:pPr>
          </w:p>
        </w:tc>
      </w:tr>
      <w:tr>
        <w:trPr>
          <w:trHeight w:val="203"/>
        </w:trPr>
        <w:tc>
          <w:tcPr>
            <w:tcW w:w="3360" w:type="dxa"/>
            <w:vAlign w:val="bottom"/>
            <w:gridSpan w:val="3"/>
          </w:tcPr>
          <w:p>
            <w:pPr>
              <w:spacing w:after="0"/>
              <w:rPr>
                <w:sz w:val="20"/>
                <w:szCs w:val="20"/>
                <w:color w:val="auto"/>
              </w:rPr>
            </w:pPr>
            <w:r>
              <w:rPr>
                <w:rFonts w:ascii="Arial" w:cs="Arial" w:eastAsia="Arial" w:hAnsi="Arial"/>
                <w:sz w:val="16"/>
                <w:szCs w:val="16"/>
                <w:color w:val="auto"/>
              </w:rPr>
              <w:t>Award type</w:t>
            </w:r>
          </w:p>
        </w:tc>
        <w:tc>
          <w:tcPr>
            <w:tcW w:w="520" w:type="dxa"/>
            <w:vAlign w:val="bottom"/>
          </w:tcPr>
          <w:p>
            <w:pPr>
              <w:spacing w:after="0"/>
              <w:rPr>
                <w:sz w:val="17"/>
                <w:szCs w:val="17"/>
                <w:color w:val="auto"/>
              </w:rPr>
            </w:pPr>
          </w:p>
        </w:tc>
        <w:tc>
          <w:tcPr>
            <w:tcW w:w="1120" w:type="dxa"/>
            <w:vAlign w:val="bottom"/>
            <w:gridSpan w:val="4"/>
          </w:tcPr>
          <w:p>
            <w:pPr>
              <w:jc w:val="center"/>
              <w:ind w:right="239"/>
              <w:spacing w:after="0"/>
              <w:rPr>
                <w:sz w:val="20"/>
                <w:szCs w:val="20"/>
                <w:color w:val="auto"/>
              </w:rPr>
            </w:pPr>
            <w:r>
              <w:rPr>
                <w:rFonts w:ascii="Arial" w:cs="Arial" w:eastAsia="Arial" w:hAnsi="Arial"/>
                <w:sz w:val="16"/>
                <w:szCs w:val="16"/>
                <w:color w:val="auto"/>
                <w:w w:val="91"/>
              </w:rPr>
              <w:t>50% RSUs</w:t>
            </w:r>
          </w:p>
        </w:tc>
        <w:tc>
          <w:tcPr>
            <w:tcW w:w="2380" w:type="dxa"/>
            <w:vAlign w:val="bottom"/>
            <w:gridSpan w:val="6"/>
          </w:tcPr>
          <w:p>
            <w:pPr>
              <w:jc w:val="center"/>
              <w:ind w:right="60"/>
              <w:spacing w:after="0"/>
              <w:rPr>
                <w:sz w:val="20"/>
                <w:szCs w:val="20"/>
                <w:color w:val="auto"/>
              </w:rPr>
            </w:pPr>
            <w:r>
              <w:rPr>
                <w:rFonts w:ascii="Arial" w:cs="Arial" w:eastAsia="Arial" w:hAnsi="Arial"/>
                <w:sz w:val="16"/>
                <w:szCs w:val="16"/>
                <w:color w:val="auto"/>
                <w:w w:val="93"/>
              </w:rPr>
              <w:t>combination thereof,</w:t>
            </w:r>
          </w:p>
        </w:tc>
        <w:tc>
          <w:tcPr>
            <w:tcW w:w="1900" w:type="dxa"/>
            <w:vAlign w:val="bottom"/>
            <w:gridSpan w:val="5"/>
          </w:tcPr>
          <w:p>
            <w:pPr>
              <w:jc w:val="center"/>
              <w:spacing w:after="0"/>
              <w:rPr>
                <w:sz w:val="20"/>
                <w:szCs w:val="20"/>
                <w:color w:val="auto"/>
              </w:rPr>
            </w:pPr>
            <w:r>
              <w:rPr>
                <w:rFonts w:ascii="Arial" w:cs="Arial" w:eastAsia="Arial" w:hAnsi="Arial"/>
                <w:sz w:val="16"/>
                <w:szCs w:val="16"/>
                <w:color w:val="auto"/>
                <w:w w:val="91"/>
              </w:rPr>
              <w:t>50% Options</w:t>
            </w:r>
          </w:p>
        </w:tc>
        <w:tc>
          <w:tcPr>
            <w:tcW w:w="1960" w:type="dxa"/>
            <w:vAlign w:val="bottom"/>
            <w:gridSpan w:val="6"/>
          </w:tcPr>
          <w:p>
            <w:pPr>
              <w:ind w:left="100"/>
              <w:spacing w:after="0"/>
              <w:rPr>
                <w:sz w:val="20"/>
                <w:szCs w:val="20"/>
                <w:color w:val="auto"/>
              </w:rPr>
            </w:pPr>
            <w:r>
              <w:rPr>
                <w:rFonts w:ascii="Arial" w:cs="Arial" w:eastAsia="Arial" w:hAnsi="Arial"/>
                <w:sz w:val="16"/>
                <w:szCs w:val="16"/>
                <w:color w:val="auto"/>
                <w:w w:val="98"/>
              </w:rPr>
              <w:t>combination thereof, when</w:t>
            </w:r>
          </w:p>
        </w:tc>
        <w:tc>
          <w:tcPr>
            <w:tcW w:w="0" w:type="dxa"/>
            <w:vAlign w:val="bottom"/>
          </w:tcPr>
          <w:p>
            <w:pPr>
              <w:spacing w:after="0"/>
              <w:rPr>
                <w:sz w:val="1"/>
                <w:szCs w:val="1"/>
                <w:color w:val="auto"/>
              </w:rPr>
            </w:pPr>
          </w:p>
        </w:tc>
      </w:tr>
      <w:tr>
        <w:trPr>
          <w:trHeight w:val="209"/>
        </w:trPr>
        <w:tc>
          <w:tcPr>
            <w:tcW w:w="14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gridSpan w:val="4"/>
          </w:tcPr>
          <w:p>
            <w:pPr>
              <w:jc w:val="center"/>
              <w:ind w:right="259"/>
              <w:spacing w:after="0"/>
              <w:rPr>
                <w:sz w:val="20"/>
                <w:szCs w:val="20"/>
                <w:color w:val="auto"/>
              </w:rPr>
            </w:pPr>
            <w:r>
              <w:rPr>
                <w:rFonts w:ascii="Arial" w:cs="Arial" w:eastAsia="Arial" w:hAnsi="Arial"/>
                <w:sz w:val="16"/>
                <w:szCs w:val="16"/>
                <w:color w:val="auto"/>
                <w:w w:val="89"/>
              </w:rPr>
              <w:t>50% Cash</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80" w:type="dxa"/>
            <w:vAlign w:val="bottom"/>
            <w:gridSpan w:val="4"/>
          </w:tcPr>
          <w:p>
            <w:pPr>
              <w:jc w:val="center"/>
              <w:ind w:right="640"/>
              <w:spacing w:after="0"/>
              <w:rPr>
                <w:sz w:val="20"/>
                <w:szCs w:val="20"/>
                <w:color w:val="auto"/>
              </w:rPr>
            </w:pPr>
            <w:r>
              <w:rPr>
                <w:rFonts w:ascii="Arial" w:cs="Arial" w:eastAsia="Arial" w:hAnsi="Arial"/>
                <w:sz w:val="16"/>
                <w:szCs w:val="16"/>
                <w:color w:val="auto"/>
                <w:w w:val="88"/>
              </w:rPr>
              <w:t>when earned</w:t>
            </w:r>
          </w:p>
        </w:tc>
        <w:tc>
          <w:tcPr>
            <w:tcW w:w="540" w:type="dxa"/>
            <w:vAlign w:val="bottom"/>
          </w:tcPr>
          <w:p>
            <w:pPr>
              <w:spacing w:after="0"/>
              <w:rPr>
                <w:sz w:val="18"/>
                <w:szCs w:val="18"/>
                <w:color w:val="auto"/>
              </w:rPr>
            </w:pPr>
          </w:p>
        </w:tc>
        <w:tc>
          <w:tcPr>
            <w:tcW w:w="1360" w:type="dxa"/>
            <w:vAlign w:val="bottom"/>
            <w:gridSpan w:val="4"/>
          </w:tcPr>
          <w:p>
            <w:pPr>
              <w:jc w:val="center"/>
              <w:ind w:right="499"/>
              <w:spacing w:after="0"/>
              <w:rPr>
                <w:sz w:val="20"/>
                <w:szCs w:val="20"/>
                <w:color w:val="auto"/>
              </w:rPr>
            </w:pPr>
            <w:r>
              <w:rPr>
                <w:rFonts w:ascii="Arial" w:cs="Arial" w:eastAsia="Arial" w:hAnsi="Arial"/>
                <w:sz w:val="16"/>
                <w:szCs w:val="16"/>
                <w:color w:val="auto"/>
                <w:w w:val="89"/>
              </w:rPr>
              <w:t>50% Cash</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gridSpan w:val="4"/>
          </w:tcPr>
          <w:p>
            <w:pPr>
              <w:jc w:val="center"/>
              <w:ind w:right="420"/>
              <w:spacing w:after="0"/>
              <w:rPr>
                <w:sz w:val="20"/>
                <w:szCs w:val="20"/>
                <w:color w:val="auto"/>
              </w:rPr>
            </w:pPr>
            <w:r>
              <w:rPr>
                <w:rFonts w:ascii="Arial" w:cs="Arial" w:eastAsia="Arial" w:hAnsi="Arial"/>
                <w:sz w:val="16"/>
                <w:szCs w:val="16"/>
                <w:color w:val="auto"/>
                <w:w w:val="84"/>
              </w:rPr>
              <w:t>earned</w:t>
            </w:r>
          </w:p>
        </w:tc>
        <w:tc>
          <w:tcPr>
            <w:tcW w:w="0" w:type="dxa"/>
            <w:vAlign w:val="bottom"/>
          </w:tcPr>
          <w:p>
            <w:pPr>
              <w:spacing w:after="0"/>
              <w:rPr>
                <w:sz w:val="1"/>
                <w:szCs w:val="1"/>
                <w:color w:val="auto"/>
              </w:rPr>
            </w:pPr>
          </w:p>
        </w:tc>
      </w:tr>
      <w:tr>
        <w:trPr>
          <w:trHeight w:val="209"/>
        </w:trPr>
        <w:tc>
          <w:tcPr>
            <w:tcW w:w="140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40" w:type="dxa"/>
            <w:vAlign w:val="bottom"/>
            <w:gridSpan w:val="5"/>
            <w:shd w:val="clear" w:color="auto" w:fill="CFF0FC"/>
          </w:tcPr>
          <w:p>
            <w:pPr>
              <w:jc w:val="center"/>
              <w:ind w:left="100"/>
              <w:spacing w:after="0"/>
              <w:rPr>
                <w:sz w:val="20"/>
                <w:szCs w:val="20"/>
                <w:color w:val="auto"/>
              </w:rPr>
            </w:pPr>
            <w:r>
              <w:rPr>
                <w:rFonts w:ascii="Arial" w:cs="Arial" w:eastAsia="Arial" w:hAnsi="Arial"/>
                <w:sz w:val="16"/>
                <w:szCs w:val="16"/>
                <w:color w:val="auto"/>
                <w:w w:val="92"/>
              </w:rPr>
              <w:t>25% August 7, 2020</w:t>
            </w:r>
          </w:p>
        </w:tc>
        <w:tc>
          <w:tcPr>
            <w:tcW w:w="5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900" w:type="dxa"/>
            <w:vAlign w:val="bottom"/>
            <w:gridSpan w:val="5"/>
            <w:shd w:val="clear" w:color="auto" w:fill="CFF0FC"/>
          </w:tcPr>
          <w:p>
            <w:pPr>
              <w:jc w:val="center"/>
              <w:spacing w:after="0"/>
              <w:rPr>
                <w:sz w:val="20"/>
                <w:szCs w:val="20"/>
                <w:color w:val="auto"/>
              </w:rPr>
            </w:pPr>
            <w:r>
              <w:rPr>
                <w:rFonts w:ascii="Arial" w:cs="Arial" w:eastAsia="Arial" w:hAnsi="Arial"/>
                <w:sz w:val="16"/>
                <w:szCs w:val="16"/>
                <w:color w:val="auto"/>
                <w:w w:val="89"/>
              </w:rPr>
              <w:t>25% June 11, 2021</w:t>
            </w:r>
          </w:p>
        </w:tc>
        <w:tc>
          <w:tcPr>
            <w:tcW w:w="3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360" w:type="dxa"/>
            <w:vAlign w:val="bottom"/>
            <w:gridSpan w:val="3"/>
            <w:vMerge w:val="restart"/>
            <w:shd w:val="clear" w:color="auto" w:fill="CFF0FC"/>
          </w:tcPr>
          <w:p>
            <w:pPr>
              <w:spacing w:after="0"/>
              <w:rPr>
                <w:sz w:val="20"/>
                <w:szCs w:val="20"/>
                <w:color w:val="auto"/>
              </w:rPr>
            </w:pPr>
            <w:r>
              <w:rPr>
                <w:rFonts w:ascii="Arial" w:cs="Arial" w:eastAsia="Arial" w:hAnsi="Arial"/>
                <w:sz w:val="16"/>
                <w:szCs w:val="16"/>
                <w:color w:val="auto"/>
              </w:rPr>
              <w:t>Vesting period</w:t>
            </w:r>
          </w:p>
        </w:tc>
        <w:tc>
          <w:tcPr>
            <w:tcW w:w="1640" w:type="dxa"/>
            <w:vAlign w:val="bottom"/>
            <w:gridSpan w:val="5"/>
            <w:shd w:val="clear" w:color="auto" w:fill="CFF0FC"/>
          </w:tcPr>
          <w:p>
            <w:pPr>
              <w:jc w:val="center"/>
              <w:ind w:left="120"/>
              <w:spacing w:after="0"/>
              <w:rPr>
                <w:sz w:val="20"/>
                <w:szCs w:val="20"/>
                <w:color w:val="auto"/>
              </w:rPr>
            </w:pPr>
            <w:r>
              <w:rPr>
                <w:rFonts w:ascii="Arial" w:cs="Arial" w:eastAsia="Arial" w:hAnsi="Arial"/>
                <w:sz w:val="16"/>
                <w:szCs w:val="16"/>
                <w:color w:val="auto"/>
                <w:w w:val="94"/>
              </w:rPr>
              <w:t>25% April 1, 2021</w:t>
            </w:r>
          </w:p>
        </w:tc>
        <w:tc>
          <w:tcPr>
            <w:tcW w:w="2380" w:type="dxa"/>
            <w:vAlign w:val="bottom"/>
            <w:gridSpan w:val="6"/>
            <w:shd w:val="clear" w:color="auto" w:fill="CFF0FC"/>
          </w:tcPr>
          <w:p>
            <w:pPr>
              <w:ind w:left="320"/>
              <w:spacing w:after="0"/>
              <w:rPr>
                <w:sz w:val="20"/>
                <w:szCs w:val="20"/>
                <w:color w:val="auto"/>
              </w:rPr>
            </w:pPr>
            <w:r>
              <w:rPr>
                <w:rFonts w:ascii="Arial" w:cs="Arial" w:eastAsia="Arial" w:hAnsi="Arial"/>
                <w:sz w:val="16"/>
                <w:szCs w:val="16"/>
                <w:color w:val="auto"/>
              </w:rPr>
              <w:t>any award earned subject</w:t>
            </w:r>
          </w:p>
        </w:tc>
        <w:tc>
          <w:tcPr>
            <w:tcW w:w="1900" w:type="dxa"/>
            <w:vAlign w:val="bottom"/>
            <w:gridSpan w:val="5"/>
            <w:shd w:val="clear" w:color="auto" w:fill="CFF0FC"/>
          </w:tcPr>
          <w:p>
            <w:pPr>
              <w:jc w:val="center"/>
              <w:spacing w:after="0"/>
              <w:rPr>
                <w:sz w:val="20"/>
                <w:szCs w:val="20"/>
                <w:color w:val="auto"/>
              </w:rPr>
            </w:pPr>
            <w:r>
              <w:rPr>
                <w:rFonts w:ascii="Arial" w:cs="Arial" w:eastAsia="Arial" w:hAnsi="Arial"/>
                <w:sz w:val="16"/>
                <w:szCs w:val="16"/>
                <w:color w:val="auto"/>
                <w:w w:val="94"/>
              </w:rPr>
              <w:t>25% April 1, 2022</w:t>
            </w:r>
          </w:p>
        </w:tc>
        <w:tc>
          <w:tcPr>
            <w:tcW w:w="1960" w:type="dxa"/>
            <w:vAlign w:val="bottom"/>
            <w:gridSpan w:val="6"/>
            <w:shd w:val="clear" w:color="auto" w:fill="CFF0FC"/>
          </w:tcPr>
          <w:p>
            <w:pPr>
              <w:ind w:left="100"/>
              <w:spacing w:after="0"/>
              <w:rPr>
                <w:sz w:val="20"/>
                <w:szCs w:val="20"/>
                <w:color w:val="auto"/>
              </w:rPr>
            </w:pPr>
            <w:r>
              <w:rPr>
                <w:rFonts w:ascii="Arial" w:cs="Arial" w:eastAsia="Arial" w:hAnsi="Arial"/>
                <w:sz w:val="16"/>
                <w:szCs w:val="16"/>
                <w:color w:val="auto"/>
              </w:rPr>
              <w:t>any award earned subject</w:t>
            </w:r>
          </w:p>
        </w:tc>
        <w:tc>
          <w:tcPr>
            <w:tcW w:w="0" w:type="dxa"/>
            <w:vAlign w:val="bottom"/>
          </w:tcPr>
          <w:p>
            <w:pPr>
              <w:spacing w:after="0"/>
              <w:rPr>
                <w:sz w:val="1"/>
                <w:szCs w:val="1"/>
                <w:color w:val="auto"/>
              </w:rPr>
            </w:pPr>
          </w:p>
        </w:tc>
      </w:tr>
      <w:tr>
        <w:trPr>
          <w:trHeight w:val="98"/>
        </w:trPr>
        <w:tc>
          <w:tcPr>
            <w:tcW w:w="3360" w:type="dxa"/>
            <w:vAlign w:val="bottom"/>
            <w:gridSpan w:val="3"/>
            <w:vMerge w:val="continue"/>
            <w:shd w:val="clear" w:color="auto" w:fill="CFF0FC"/>
          </w:tcPr>
          <w:p>
            <w:pPr>
              <w:spacing w:after="0"/>
              <w:rPr>
                <w:sz w:val="8"/>
                <w:szCs w:val="8"/>
                <w:color w:val="auto"/>
              </w:rPr>
            </w:pPr>
          </w:p>
        </w:tc>
        <w:tc>
          <w:tcPr>
            <w:tcW w:w="1640" w:type="dxa"/>
            <w:vAlign w:val="bottom"/>
            <w:gridSpan w:val="5"/>
            <w:vMerge w:val="restart"/>
            <w:shd w:val="clear" w:color="auto" w:fill="CFF0FC"/>
          </w:tcPr>
          <w:p>
            <w:pPr>
              <w:jc w:val="center"/>
              <w:ind w:left="120"/>
              <w:spacing w:after="0"/>
              <w:rPr>
                <w:sz w:val="20"/>
                <w:szCs w:val="20"/>
                <w:color w:val="auto"/>
              </w:rPr>
            </w:pPr>
            <w:r>
              <w:rPr>
                <w:rFonts w:ascii="Arial" w:cs="Arial" w:eastAsia="Arial" w:hAnsi="Arial"/>
                <w:sz w:val="16"/>
                <w:szCs w:val="16"/>
                <w:color w:val="auto"/>
                <w:w w:val="94"/>
              </w:rPr>
              <w:t>25% April 1, 2022</w:t>
            </w:r>
          </w:p>
        </w:tc>
        <w:tc>
          <w:tcPr>
            <w:tcW w:w="2380" w:type="dxa"/>
            <w:vAlign w:val="bottom"/>
            <w:gridSpan w:val="6"/>
            <w:vMerge w:val="restart"/>
            <w:shd w:val="clear" w:color="auto" w:fill="CFF0FC"/>
          </w:tcPr>
          <w:p>
            <w:pPr>
              <w:ind w:left="320"/>
              <w:spacing w:after="0"/>
              <w:rPr>
                <w:sz w:val="20"/>
                <w:szCs w:val="20"/>
                <w:color w:val="auto"/>
              </w:rPr>
            </w:pPr>
            <w:r>
              <w:rPr>
                <w:rFonts w:ascii="Arial" w:cs="Arial" w:eastAsia="Arial" w:hAnsi="Arial"/>
                <w:sz w:val="16"/>
                <w:szCs w:val="16"/>
                <w:color w:val="auto"/>
              </w:rPr>
              <w:t>to additional vesting</w:t>
            </w:r>
          </w:p>
        </w:tc>
        <w:tc>
          <w:tcPr>
            <w:tcW w:w="1900" w:type="dxa"/>
            <w:vAlign w:val="bottom"/>
            <w:gridSpan w:val="5"/>
            <w:vMerge w:val="restart"/>
            <w:shd w:val="clear" w:color="auto" w:fill="CFF0FC"/>
          </w:tcPr>
          <w:p>
            <w:pPr>
              <w:jc w:val="center"/>
              <w:spacing w:after="0"/>
              <w:rPr>
                <w:sz w:val="20"/>
                <w:szCs w:val="20"/>
                <w:color w:val="auto"/>
              </w:rPr>
            </w:pPr>
            <w:r>
              <w:rPr>
                <w:rFonts w:ascii="Arial" w:cs="Arial" w:eastAsia="Arial" w:hAnsi="Arial"/>
                <w:sz w:val="16"/>
                <w:szCs w:val="16"/>
                <w:color w:val="auto"/>
                <w:w w:val="94"/>
              </w:rPr>
              <w:t>25% April 1, 2023</w:t>
            </w:r>
          </w:p>
        </w:tc>
        <w:tc>
          <w:tcPr>
            <w:tcW w:w="1960" w:type="dxa"/>
            <w:vAlign w:val="bottom"/>
            <w:gridSpan w:val="6"/>
            <w:vMerge w:val="restart"/>
            <w:shd w:val="clear" w:color="auto" w:fill="CFF0FC"/>
          </w:tcPr>
          <w:p>
            <w:pPr>
              <w:ind w:left="100"/>
              <w:spacing w:after="0"/>
              <w:rPr>
                <w:sz w:val="20"/>
                <w:szCs w:val="20"/>
                <w:color w:val="auto"/>
              </w:rPr>
            </w:pPr>
            <w:r>
              <w:rPr>
                <w:rFonts w:ascii="Arial" w:cs="Arial" w:eastAsia="Arial" w:hAnsi="Arial"/>
                <w:sz w:val="16"/>
                <w:szCs w:val="16"/>
                <w:color w:val="auto"/>
              </w:rPr>
              <w:t>to additional vesting</w:t>
            </w:r>
          </w:p>
        </w:tc>
        <w:tc>
          <w:tcPr>
            <w:tcW w:w="0" w:type="dxa"/>
            <w:vAlign w:val="bottom"/>
          </w:tcPr>
          <w:p>
            <w:pPr>
              <w:spacing w:after="0"/>
              <w:rPr>
                <w:sz w:val="1"/>
                <w:szCs w:val="1"/>
                <w:color w:val="auto"/>
              </w:rPr>
            </w:pPr>
          </w:p>
        </w:tc>
      </w:tr>
      <w:tr>
        <w:trPr>
          <w:trHeight w:val="104"/>
        </w:trPr>
        <w:tc>
          <w:tcPr>
            <w:tcW w:w="1400" w:type="dxa"/>
            <w:vAlign w:val="bottom"/>
            <w:shd w:val="clear" w:color="auto" w:fill="CFF0FC"/>
          </w:tcPr>
          <w:p>
            <w:pPr>
              <w:spacing w:after="0"/>
              <w:rPr>
                <w:sz w:val="9"/>
                <w:szCs w:val="9"/>
                <w:color w:val="auto"/>
              </w:rPr>
            </w:pPr>
          </w:p>
        </w:tc>
        <w:tc>
          <w:tcPr>
            <w:tcW w:w="176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640" w:type="dxa"/>
            <w:vAlign w:val="bottom"/>
            <w:gridSpan w:val="5"/>
            <w:vMerge w:val="continue"/>
            <w:shd w:val="clear" w:color="auto" w:fill="CFF0FC"/>
          </w:tcPr>
          <w:p>
            <w:pPr>
              <w:spacing w:after="0"/>
              <w:rPr>
                <w:sz w:val="9"/>
                <w:szCs w:val="9"/>
                <w:color w:val="auto"/>
              </w:rPr>
            </w:pPr>
          </w:p>
        </w:tc>
        <w:tc>
          <w:tcPr>
            <w:tcW w:w="2380" w:type="dxa"/>
            <w:vAlign w:val="bottom"/>
            <w:gridSpan w:val="6"/>
            <w:vMerge w:val="continue"/>
            <w:shd w:val="clear" w:color="auto" w:fill="CFF0FC"/>
          </w:tcPr>
          <w:p>
            <w:pPr>
              <w:spacing w:after="0"/>
              <w:rPr>
                <w:sz w:val="9"/>
                <w:szCs w:val="9"/>
                <w:color w:val="auto"/>
              </w:rPr>
            </w:pPr>
          </w:p>
        </w:tc>
        <w:tc>
          <w:tcPr>
            <w:tcW w:w="1900" w:type="dxa"/>
            <w:vAlign w:val="bottom"/>
            <w:gridSpan w:val="5"/>
            <w:vMerge w:val="continue"/>
            <w:shd w:val="clear" w:color="auto" w:fill="CFF0FC"/>
          </w:tcPr>
          <w:p>
            <w:pPr>
              <w:spacing w:after="0"/>
              <w:rPr>
                <w:sz w:val="9"/>
                <w:szCs w:val="9"/>
                <w:color w:val="auto"/>
              </w:rPr>
            </w:pPr>
          </w:p>
        </w:tc>
        <w:tc>
          <w:tcPr>
            <w:tcW w:w="1960" w:type="dxa"/>
            <w:vAlign w:val="bottom"/>
            <w:gridSpan w:val="6"/>
            <w:vMerge w:val="continue"/>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12"/>
        </w:trPr>
        <w:tc>
          <w:tcPr>
            <w:tcW w:w="140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40" w:type="dxa"/>
            <w:vAlign w:val="bottom"/>
            <w:gridSpan w:val="5"/>
            <w:shd w:val="clear" w:color="auto" w:fill="CFF0FC"/>
          </w:tcPr>
          <w:p>
            <w:pPr>
              <w:jc w:val="center"/>
              <w:ind w:left="120"/>
              <w:spacing w:after="0"/>
              <w:rPr>
                <w:sz w:val="20"/>
                <w:szCs w:val="20"/>
                <w:color w:val="auto"/>
              </w:rPr>
            </w:pPr>
            <w:r>
              <w:rPr>
                <w:rFonts w:ascii="Arial" w:cs="Arial" w:eastAsia="Arial" w:hAnsi="Arial"/>
                <w:sz w:val="16"/>
                <w:szCs w:val="16"/>
                <w:color w:val="auto"/>
                <w:w w:val="94"/>
              </w:rPr>
              <w:t>25% April 1, 2023</w:t>
            </w:r>
          </w:p>
        </w:tc>
        <w:tc>
          <w:tcPr>
            <w:tcW w:w="2380" w:type="dxa"/>
            <w:vAlign w:val="bottom"/>
            <w:gridSpan w:val="6"/>
            <w:shd w:val="clear" w:color="auto" w:fill="CFF0FC"/>
          </w:tcPr>
          <w:p>
            <w:pPr>
              <w:ind w:left="320"/>
              <w:spacing w:after="0"/>
              <w:rPr>
                <w:sz w:val="20"/>
                <w:szCs w:val="20"/>
                <w:color w:val="auto"/>
              </w:rPr>
            </w:pPr>
            <w:r>
              <w:rPr>
                <w:rFonts w:ascii="Arial" w:cs="Arial" w:eastAsia="Arial" w:hAnsi="Arial"/>
                <w:sz w:val="16"/>
                <w:szCs w:val="16"/>
                <w:color w:val="auto"/>
              </w:rPr>
              <w:t>through August 31, 2022</w:t>
            </w:r>
          </w:p>
        </w:tc>
        <w:tc>
          <w:tcPr>
            <w:tcW w:w="1900" w:type="dxa"/>
            <w:vAlign w:val="bottom"/>
            <w:gridSpan w:val="5"/>
            <w:shd w:val="clear" w:color="auto" w:fill="CFF0FC"/>
          </w:tcPr>
          <w:p>
            <w:pPr>
              <w:jc w:val="center"/>
              <w:spacing w:after="0"/>
              <w:rPr>
                <w:sz w:val="20"/>
                <w:szCs w:val="20"/>
                <w:color w:val="auto"/>
              </w:rPr>
            </w:pPr>
            <w:r>
              <w:rPr>
                <w:rFonts w:ascii="Arial" w:cs="Arial" w:eastAsia="Arial" w:hAnsi="Arial"/>
                <w:sz w:val="16"/>
                <w:szCs w:val="16"/>
                <w:color w:val="auto"/>
                <w:w w:val="94"/>
              </w:rPr>
              <w:t>25% April 1, 2024</w:t>
            </w:r>
          </w:p>
        </w:tc>
        <w:tc>
          <w:tcPr>
            <w:tcW w:w="1960" w:type="dxa"/>
            <w:vAlign w:val="bottom"/>
            <w:gridSpan w:val="6"/>
            <w:shd w:val="clear" w:color="auto" w:fill="CFF0FC"/>
          </w:tcPr>
          <w:p>
            <w:pPr>
              <w:ind w:left="100"/>
              <w:spacing w:after="0"/>
              <w:rPr>
                <w:sz w:val="20"/>
                <w:szCs w:val="20"/>
                <w:color w:val="auto"/>
              </w:rPr>
            </w:pPr>
            <w:r>
              <w:rPr>
                <w:rFonts w:ascii="Arial" w:cs="Arial" w:eastAsia="Arial" w:hAnsi="Arial"/>
                <w:sz w:val="16"/>
                <w:szCs w:val="16"/>
                <w:color w:val="auto"/>
              </w:rPr>
              <w:t>through August 31, 2023</w:t>
            </w:r>
          </w:p>
        </w:tc>
        <w:tc>
          <w:tcPr>
            <w:tcW w:w="0" w:type="dxa"/>
            <w:vAlign w:val="bottom"/>
          </w:tcPr>
          <w:p>
            <w:pPr>
              <w:spacing w:after="0"/>
              <w:rPr>
                <w:sz w:val="1"/>
                <w:szCs w:val="1"/>
                <w:color w:val="auto"/>
              </w:rPr>
            </w:pPr>
          </w:p>
        </w:tc>
      </w:tr>
      <w:tr>
        <w:trPr>
          <w:trHeight w:val="392"/>
        </w:trPr>
        <w:tc>
          <w:tcPr>
            <w:tcW w:w="3360" w:type="dxa"/>
            <w:vAlign w:val="bottom"/>
            <w:gridSpan w:val="3"/>
          </w:tcPr>
          <w:p>
            <w:pPr>
              <w:spacing w:after="0"/>
              <w:rPr>
                <w:sz w:val="20"/>
                <w:szCs w:val="20"/>
                <w:color w:val="auto"/>
              </w:rPr>
            </w:pPr>
            <w:r>
              <w:rPr>
                <w:rFonts w:ascii="Arial" w:cs="Arial" w:eastAsia="Arial" w:hAnsi="Arial"/>
                <w:sz w:val="16"/>
                <w:szCs w:val="16"/>
                <w:color w:val="auto"/>
              </w:rPr>
              <w:t>Performance Targets:</w:t>
            </w:r>
          </w:p>
        </w:tc>
        <w:tc>
          <w:tcPr>
            <w:tcW w:w="520" w:type="dxa"/>
            <w:vAlign w:val="bottom"/>
          </w:tcPr>
          <w:p>
            <w:pPr>
              <w:spacing w:after="0"/>
              <w:rPr>
                <w:sz w:val="24"/>
                <w:szCs w:val="24"/>
                <w:color w:val="auto"/>
              </w:rPr>
            </w:pPr>
          </w:p>
        </w:tc>
        <w:tc>
          <w:tcPr>
            <w:tcW w:w="1120" w:type="dxa"/>
            <w:vAlign w:val="bottom"/>
            <w:gridSpan w:val="4"/>
          </w:tcPr>
          <w:p>
            <w:pPr>
              <w:jc w:val="center"/>
              <w:ind w:right="259"/>
              <w:spacing w:after="0"/>
              <w:rPr>
                <w:sz w:val="20"/>
                <w:szCs w:val="20"/>
                <w:color w:val="auto"/>
              </w:rPr>
            </w:pPr>
            <w:r>
              <w:rPr>
                <w:rFonts w:ascii="Arial" w:cs="Arial" w:eastAsia="Arial" w:hAnsi="Arial"/>
                <w:sz w:val="16"/>
                <w:szCs w:val="16"/>
                <w:color w:val="auto"/>
                <w:w w:val="90"/>
              </w:rPr>
              <w:t>Target:</w:t>
            </w:r>
          </w:p>
        </w:tc>
        <w:tc>
          <w:tcPr>
            <w:tcW w:w="520" w:type="dxa"/>
            <w:vAlign w:val="bottom"/>
          </w:tcPr>
          <w:p>
            <w:pPr>
              <w:spacing w:after="0"/>
              <w:rPr>
                <w:sz w:val="24"/>
                <w:szCs w:val="24"/>
                <w:color w:val="auto"/>
              </w:rPr>
            </w:pPr>
          </w:p>
        </w:tc>
        <w:tc>
          <w:tcPr>
            <w:tcW w:w="1860" w:type="dxa"/>
            <w:vAlign w:val="bottom"/>
            <w:gridSpan w:val="5"/>
          </w:tcPr>
          <w:p>
            <w:pPr>
              <w:jc w:val="center"/>
              <w:ind w:right="560"/>
              <w:spacing w:after="0"/>
              <w:rPr>
                <w:sz w:val="20"/>
                <w:szCs w:val="20"/>
                <w:color w:val="auto"/>
              </w:rPr>
            </w:pPr>
            <w:r>
              <w:rPr>
                <w:rFonts w:ascii="Arial" w:cs="Arial" w:eastAsia="Arial" w:hAnsi="Arial"/>
                <w:sz w:val="16"/>
                <w:szCs w:val="16"/>
                <w:color w:val="auto"/>
                <w:w w:val="95"/>
              </w:rPr>
              <w:t>Min/Max Payout:</w:t>
            </w:r>
          </w:p>
        </w:tc>
        <w:tc>
          <w:tcPr>
            <w:tcW w:w="540" w:type="dxa"/>
            <w:vAlign w:val="bottom"/>
          </w:tcPr>
          <w:p>
            <w:pPr>
              <w:spacing w:after="0"/>
              <w:rPr>
                <w:sz w:val="24"/>
                <w:szCs w:val="24"/>
                <w:color w:val="auto"/>
              </w:rPr>
            </w:pPr>
          </w:p>
        </w:tc>
        <w:tc>
          <w:tcPr>
            <w:tcW w:w="1360" w:type="dxa"/>
            <w:vAlign w:val="bottom"/>
            <w:gridSpan w:val="4"/>
          </w:tcPr>
          <w:p>
            <w:pPr>
              <w:jc w:val="center"/>
              <w:ind w:right="479"/>
              <w:spacing w:after="0"/>
              <w:rPr>
                <w:sz w:val="20"/>
                <w:szCs w:val="20"/>
                <w:color w:val="auto"/>
              </w:rPr>
            </w:pPr>
            <w:r>
              <w:rPr>
                <w:rFonts w:ascii="Arial" w:cs="Arial" w:eastAsia="Arial" w:hAnsi="Arial"/>
                <w:sz w:val="16"/>
                <w:szCs w:val="16"/>
                <w:color w:val="auto"/>
                <w:w w:val="86"/>
              </w:rPr>
              <w:t>Target:</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gridSpan w:val="4"/>
          </w:tcPr>
          <w:p>
            <w:pPr>
              <w:jc w:val="center"/>
              <w:ind w:right="420"/>
              <w:spacing w:after="0"/>
              <w:rPr>
                <w:sz w:val="20"/>
                <w:szCs w:val="20"/>
                <w:color w:val="auto"/>
              </w:rPr>
            </w:pPr>
            <w:r>
              <w:rPr>
                <w:rFonts w:ascii="Arial" w:cs="Arial" w:eastAsia="Arial" w:hAnsi="Arial"/>
                <w:sz w:val="16"/>
                <w:szCs w:val="16"/>
                <w:color w:val="auto"/>
                <w:w w:val="95"/>
              </w:rPr>
              <w:t>Min/Max Payout:</w:t>
            </w:r>
          </w:p>
        </w:tc>
        <w:tc>
          <w:tcPr>
            <w:tcW w:w="0" w:type="dxa"/>
            <w:vAlign w:val="bottom"/>
          </w:tcPr>
          <w:p>
            <w:pPr>
              <w:spacing w:after="0"/>
              <w:rPr>
                <w:sz w:val="1"/>
                <w:szCs w:val="1"/>
                <w:color w:val="auto"/>
              </w:rPr>
            </w:pPr>
          </w:p>
        </w:tc>
      </w:tr>
      <w:tr>
        <w:trPr>
          <w:trHeight w:val="20"/>
        </w:trPr>
        <w:tc>
          <w:tcPr>
            <w:tcW w:w="1400" w:type="dxa"/>
            <w:vAlign w:val="bottom"/>
            <w:tcBorders>
              <w:top w:val="single" w:sz="8" w:color="auto"/>
            </w:tcBorders>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3360" w:type="dxa"/>
            <w:vAlign w:val="bottom"/>
            <w:gridSpan w:val="3"/>
            <w:shd w:val="clear" w:color="auto" w:fill="CFF0FC"/>
          </w:tcPr>
          <w:p>
            <w:pPr>
              <w:ind w:left="140"/>
              <w:spacing w:after="0"/>
              <w:rPr>
                <w:sz w:val="20"/>
                <w:szCs w:val="20"/>
                <w:color w:val="auto"/>
              </w:rPr>
            </w:pPr>
            <w:r>
              <w:rPr>
                <w:rFonts w:ascii="Arial" w:cs="Arial" w:eastAsia="Arial" w:hAnsi="Arial"/>
                <w:sz w:val="16"/>
                <w:szCs w:val="16"/>
                <w:color w:val="auto"/>
              </w:rPr>
              <w:t>Target 1</w:t>
            </w:r>
          </w:p>
        </w:tc>
        <w:tc>
          <w:tcPr>
            <w:tcW w:w="1640" w:type="dxa"/>
            <w:vAlign w:val="bottom"/>
            <w:gridSpan w:val="5"/>
            <w:shd w:val="clear" w:color="auto" w:fill="CFF0FC"/>
          </w:tcPr>
          <w:p>
            <w:pPr>
              <w:spacing w:after="0"/>
              <w:rPr>
                <w:sz w:val="20"/>
                <w:szCs w:val="20"/>
                <w:color w:val="auto"/>
              </w:rPr>
            </w:pPr>
            <w:r>
              <w:rPr>
                <w:rFonts w:ascii="Arial" w:cs="Arial" w:eastAsia="Arial" w:hAnsi="Arial"/>
                <w:sz w:val="16"/>
                <w:szCs w:val="16"/>
                <w:color w:val="auto"/>
              </w:rPr>
              <w:t>3-yr. average Adjusted</w:t>
            </w:r>
          </w:p>
        </w:tc>
        <w:tc>
          <w:tcPr>
            <w:tcW w:w="2380" w:type="dxa"/>
            <w:vAlign w:val="bottom"/>
            <w:gridSpan w:val="6"/>
            <w:shd w:val="clear" w:color="auto" w:fill="CFF0FC"/>
          </w:tcPr>
          <w:p>
            <w:pPr>
              <w:ind w:left="320"/>
              <w:spacing w:after="0"/>
              <w:rPr>
                <w:sz w:val="20"/>
                <w:szCs w:val="20"/>
                <w:color w:val="auto"/>
              </w:rPr>
            </w:pPr>
            <w:r>
              <w:rPr>
                <w:rFonts w:ascii="Arial" w:cs="Arial" w:eastAsia="Arial" w:hAnsi="Arial"/>
                <w:sz w:val="16"/>
                <w:szCs w:val="16"/>
                <w:color w:val="auto"/>
              </w:rPr>
              <w:t>100% payout at target,</w:t>
            </w:r>
          </w:p>
        </w:tc>
        <w:tc>
          <w:tcPr>
            <w:tcW w:w="1900" w:type="dxa"/>
            <w:vAlign w:val="bottom"/>
            <w:gridSpan w:val="5"/>
            <w:shd w:val="clear" w:color="auto" w:fill="CFF0FC"/>
          </w:tcPr>
          <w:p>
            <w:pPr>
              <w:spacing w:after="0"/>
              <w:rPr>
                <w:sz w:val="20"/>
                <w:szCs w:val="20"/>
                <w:color w:val="auto"/>
              </w:rPr>
            </w:pPr>
            <w:r>
              <w:rPr>
                <w:rFonts w:ascii="Arial" w:cs="Arial" w:eastAsia="Arial" w:hAnsi="Arial"/>
                <w:sz w:val="16"/>
                <w:szCs w:val="16"/>
                <w:color w:val="auto"/>
              </w:rPr>
              <w:t>3-yr. relative total</w:t>
            </w:r>
          </w:p>
        </w:tc>
        <w:tc>
          <w:tcPr>
            <w:tcW w:w="1960" w:type="dxa"/>
            <w:vAlign w:val="bottom"/>
            <w:gridSpan w:val="6"/>
            <w:shd w:val="clear" w:color="auto" w:fill="CFF0FC"/>
          </w:tcPr>
          <w:p>
            <w:pPr>
              <w:ind w:left="100"/>
              <w:spacing w:after="0"/>
              <w:rPr>
                <w:sz w:val="20"/>
                <w:szCs w:val="20"/>
                <w:color w:val="auto"/>
              </w:rPr>
            </w:pPr>
            <w:r>
              <w:rPr>
                <w:rFonts w:ascii="Arial" w:cs="Arial" w:eastAsia="Arial" w:hAnsi="Arial"/>
                <w:sz w:val="16"/>
                <w:szCs w:val="16"/>
                <w:color w:val="auto"/>
              </w:rPr>
              <w:t>100% payout at target</w:t>
            </w:r>
          </w:p>
        </w:tc>
        <w:tc>
          <w:tcPr>
            <w:tcW w:w="0" w:type="dxa"/>
            <w:vAlign w:val="bottom"/>
          </w:tcPr>
          <w:p>
            <w:pPr>
              <w:spacing w:after="0"/>
              <w:rPr>
                <w:sz w:val="1"/>
                <w:szCs w:val="1"/>
                <w:color w:val="auto"/>
              </w:rPr>
            </w:pPr>
          </w:p>
        </w:tc>
      </w:tr>
      <w:tr>
        <w:trPr>
          <w:trHeight w:val="199"/>
        </w:trPr>
        <w:tc>
          <w:tcPr>
            <w:tcW w:w="1400" w:type="dxa"/>
            <w:vAlign w:val="bottom"/>
            <w:shd w:val="clear" w:color="auto" w:fill="CFF0FC"/>
          </w:tcPr>
          <w:p>
            <w:pPr>
              <w:spacing w:after="0"/>
              <w:rPr>
                <w:sz w:val="17"/>
                <w:szCs w:val="17"/>
                <w:color w:val="auto"/>
              </w:rPr>
            </w:pPr>
          </w:p>
        </w:tc>
        <w:tc>
          <w:tcPr>
            <w:tcW w:w="17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40" w:type="dxa"/>
            <w:vAlign w:val="bottom"/>
            <w:gridSpan w:val="5"/>
            <w:shd w:val="clear" w:color="auto" w:fill="CFF0FC"/>
          </w:tcPr>
          <w:p>
            <w:pPr>
              <w:spacing w:after="0"/>
              <w:rPr>
                <w:sz w:val="20"/>
                <w:szCs w:val="20"/>
                <w:color w:val="auto"/>
              </w:rPr>
            </w:pPr>
            <w:r>
              <w:rPr>
                <w:rFonts w:ascii="Arial" w:cs="Arial" w:eastAsia="Arial" w:hAnsi="Arial"/>
                <w:sz w:val="16"/>
                <w:szCs w:val="16"/>
                <w:color w:val="auto"/>
              </w:rPr>
              <w:t>EBITDA margin</w:t>
            </w:r>
          </w:p>
        </w:tc>
        <w:tc>
          <w:tcPr>
            <w:tcW w:w="2380" w:type="dxa"/>
            <w:vAlign w:val="bottom"/>
            <w:gridSpan w:val="6"/>
            <w:shd w:val="clear" w:color="auto" w:fill="CFF0FC"/>
          </w:tcPr>
          <w:p>
            <w:pPr>
              <w:ind w:left="320"/>
              <w:spacing w:after="0"/>
              <w:rPr>
                <w:sz w:val="20"/>
                <w:szCs w:val="20"/>
                <w:color w:val="auto"/>
              </w:rPr>
            </w:pPr>
            <w:r>
              <w:rPr>
                <w:rFonts w:ascii="Arial" w:cs="Arial" w:eastAsia="Arial" w:hAnsi="Arial"/>
                <w:sz w:val="16"/>
                <w:szCs w:val="16"/>
                <w:color w:val="auto"/>
              </w:rPr>
              <w:t>with 50% payout at</w:t>
            </w:r>
          </w:p>
        </w:tc>
        <w:tc>
          <w:tcPr>
            <w:tcW w:w="1900" w:type="dxa"/>
            <w:vAlign w:val="bottom"/>
            <w:gridSpan w:val="5"/>
            <w:shd w:val="clear" w:color="auto" w:fill="CFF0FC"/>
          </w:tcPr>
          <w:p>
            <w:pPr>
              <w:spacing w:after="0"/>
              <w:rPr>
                <w:sz w:val="20"/>
                <w:szCs w:val="20"/>
                <w:color w:val="auto"/>
              </w:rPr>
            </w:pPr>
            <w:r>
              <w:rPr>
                <w:rFonts w:ascii="Arial" w:cs="Arial" w:eastAsia="Arial" w:hAnsi="Arial"/>
                <w:sz w:val="16"/>
                <w:szCs w:val="16"/>
                <w:color w:val="auto"/>
              </w:rPr>
              <w:t>shareholder return as</w:t>
            </w:r>
          </w:p>
        </w:tc>
        <w:tc>
          <w:tcPr>
            <w:tcW w:w="1960" w:type="dxa"/>
            <w:vAlign w:val="bottom"/>
            <w:gridSpan w:val="6"/>
            <w:shd w:val="clear" w:color="auto" w:fill="CFF0FC"/>
          </w:tcPr>
          <w:p>
            <w:pPr>
              <w:ind w:left="100"/>
              <w:spacing w:after="0"/>
              <w:rPr>
                <w:sz w:val="20"/>
                <w:szCs w:val="20"/>
                <w:color w:val="auto"/>
              </w:rPr>
            </w:pPr>
            <w:r>
              <w:rPr>
                <w:rFonts w:ascii="Arial" w:cs="Arial" w:eastAsia="Arial" w:hAnsi="Arial"/>
                <w:sz w:val="16"/>
                <w:szCs w:val="16"/>
                <w:color w:val="auto"/>
              </w:rPr>
              <w:t>(2nd quartile), with 50%</w:t>
            </w:r>
          </w:p>
        </w:tc>
        <w:tc>
          <w:tcPr>
            <w:tcW w:w="0" w:type="dxa"/>
            <w:vAlign w:val="bottom"/>
          </w:tcPr>
          <w:p>
            <w:pPr>
              <w:spacing w:after="0"/>
              <w:rPr>
                <w:sz w:val="1"/>
                <w:szCs w:val="1"/>
                <w:color w:val="auto"/>
              </w:rPr>
            </w:pPr>
          </w:p>
        </w:tc>
      </w:tr>
      <w:tr>
        <w:trPr>
          <w:trHeight w:val="203"/>
        </w:trPr>
        <w:tc>
          <w:tcPr>
            <w:tcW w:w="1400" w:type="dxa"/>
            <w:vAlign w:val="bottom"/>
            <w:shd w:val="clear" w:color="auto" w:fill="CFF0FC"/>
          </w:tcPr>
          <w:p>
            <w:pPr>
              <w:spacing w:after="0"/>
              <w:rPr>
                <w:sz w:val="17"/>
                <w:szCs w:val="17"/>
                <w:color w:val="auto"/>
              </w:rPr>
            </w:pPr>
          </w:p>
        </w:tc>
        <w:tc>
          <w:tcPr>
            <w:tcW w:w="17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40" w:type="dxa"/>
            <w:vAlign w:val="bottom"/>
            <w:gridSpan w:val="5"/>
            <w:shd w:val="clear" w:color="auto" w:fill="CFF0FC"/>
          </w:tcPr>
          <w:p>
            <w:pPr>
              <w:spacing w:after="0" w:line="202" w:lineRule="exact"/>
              <w:rPr>
                <w:sz w:val="20"/>
                <w:szCs w:val="20"/>
                <w:color w:val="auto"/>
              </w:rPr>
            </w:pPr>
            <w:r>
              <w:rPr>
                <w:rFonts w:ascii="Arial" w:cs="Arial" w:eastAsia="Arial" w:hAnsi="Arial"/>
                <w:sz w:val="14"/>
                <w:szCs w:val="14"/>
                <w:color w:val="auto"/>
              </w:rPr>
              <w:t>(50% weight)</w:t>
            </w:r>
            <w:r>
              <w:rPr>
                <w:rFonts w:ascii="Arial" w:cs="Arial" w:eastAsia="Arial" w:hAnsi="Arial"/>
                <w:sz w:val="23"/>
                <w:szCs w:val="23"/>
                <w:color w:val="auto"/>
                <w:vertAlign w:val="superscript"/>
              </w:rPr>
              <w:t>(2)</w:t>
            </w:r>
          </w:p>
        </w:tc>
        <w:tc>
          <w:tcPr>
            <w:tcW w:w="2380" w:type="dxa"/>
            <w:vAlign w:val="bottom"/>
            <w:gridSpan w:val="6"/>
            <w:shd w:val="clear" w:color="auto" w:fill="CFF0FC"/>
          </w:tcPr>
          <w:p>
            <w:pPr>
              <w:ind w:left="320"/>
              <w:spacing w:after="0"/>
              <w:rPr>
                <w:sz w:val="20"/>
                <w:szCs w:val="20"/>
                <w:color w:val="auto"/>
              </w:rPr>
            </w:pPr>
            <w:r>
              <w:rPr>
                <w:rFonts w:ascii="Arial" w:cs="Arial" w:eastAsia="Arial" w:hAnsi="Arial"/>
                <w:sz w:val="16"/>
                <w:szCs w:val="16"/>
                <w:color w:val="auto"/>
              </w:rPr>
              <w:t>94.6% of target and 150%</w:t>
            </w:r>
          </w:p>
        </w:tc>
        <w:tc>
          <w:tcPr>
            <w:tcW w:w="1900" w:type="dxa"/>
            <w:vAlign w:val="bottom"/>
            <w:gridSpan w:val="5"/>
            <w:shd w:val="clear" w:color="auto" w:fill="CFF0FC"/>
          </w:tcPr>
          <w:p>
            <w:pPr>
              <w:spacing w:after="0"/>
              <w:rPr>
                <w:sz w:val="20"/>
                <w:szCs w:val="20"/>
                <w:color w:val="auto"/>
              </w:rPr>
            </w:pPr>
            <w:r>
              <w:rPr>
                <w:rFonts w:ascii="Arial" w:cs="Arial" w:eastAsia="Arial" w:hAnsi="Arial"/>
                <w:sz w:val="16"/>
                <w:szCs w:val="16"/>
                <w:color w:val="auto"/>
                <w:w w:val="93"/>
              </w:rPr>
              <w:t>compared to 2020 disclosed</w:t>
            </w:r>
          </w:p>
        </w:tc>
        <w:tc>
          <w:tcPr>
            <w:tcW w:w="1960" w:type="dxa"/>
            <w:vAlign w:val="bottom"/>
            <w:gridSpan w:val="6"/>
            <w:shd w:val="clear" w:color="auto" w:fill="CFF0FC"/>
          </w:tcPr>
          <w:p>
            <w:pPr>
              <w:ind w:left="100"/>
              <w:spacing w:after="0"/>
              <w:rPr>
                <w:sz w:val="20"/>
                <w:szCs w:val="20"/>
                <w:color w:val="auto"/>
              </w:rPr>
            </w:pPr>
            <w:r>
              <w:rPr>
                <w:rFonts w:ascii="Arial" w:cs="Arial" w:eastAsia="Arial" w:hAnsi="Arial"/>
                <w:sz w:val="16"/>
                <w:szCs w:val="16"/>
                <w:color w:val="auto"/>
              </w:rPr>
              <w:t>payout (3rd quartile) and</w:t>
            </w:r>
          </w:p>
        </w:tc>
        <w:tc>
          <w:tcPr>
            <w:tcW w:w="0" w:type="dxa"/>
            <w:vAlign w:val="bottom"/>
          </w:tcPr>
          <w:p>
            <w:pPr>
              <w:spacing w:after="0"/>
              <w:rPr>
                <w:sz w:val="1"/>
                <w:szCs w:val="1"/>
                <w:color w:val="auto"/>
              </w:rPr>
            </w:pPr>
          </w:p>
        </w:tc>
      </w:tr>
      <w:tr>
        <w:trPr>
          <w:trHeight w:val="206"/>
        </w:trPr>
        <w:tc>
          <w:tcPr>
            <w:tcW w:w="1400" w:type="dxa"/>
            <w:vAlign w:val="bottom"/>
            <w:shd w:val="clear" w:color="auto" w:fill="CFF0FC"/>
          </w:tcPr>
          <w:p>
            <w:pPr>
              <w:spacing w:after="0"/>
              <w:rPr>
                <w:sz w:val="17"/>
                <w:szCs w:val="17"/>
                <w:color w:val="auto"/>
              </w:rPr>
            </w:pPr>
          </w:p>
        </w:tc>
        <w:tc>
          <w:tcPr>
            <w:tcW w:w="17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380" w:type="dxa"/>
            <w:vAlign w:val="bottom"/>
            <w:gridSpan w:val="6"/>
            <w:shd w:val="clear" w:color="auto" w:fill="CFF0FC"/>
          </w:tcPr>
          <w:p>
            <w:pPr>
              <w:ind w:left="320"/>
              <w:spacing w:after="0"/>
              <w:rPr>
                <w:sz w:val="20"/>
                <w:szCs w:val="20"/>
                <w:color w:val="auto"/>
              </w:rPr>
            </w:pPr>
            <w:r>
              <w:rPr>
                <w:rFonts w:ascii="Arial" w:cs="Arial" w:eastAsia="Arial" w:hAnsi="Arial"/>
                <w:sz w:val="16"/>
                <w:szCs w:val="16"/>
                <w:color w:val="auto"/>
              </w:rPr>
              <w:t>payout at 107.1% of</w:t>
            </w:r>
          </w:p>
        </w:tc>
        <w:tc>
          <w:tcPr>
            <w:tcW w:w="1900" w:type="dxa"/>
            <w:vAlign w:val="bottom"/>
            <w:gridSpan w:val="5"/>
            <w:shd w:val="clear" w:color="auto" w:fill="CFF0FC"/>
          </w:tcPr>
          <w:p>
            <w:pPr>
              <w:spacing w:after="0" w:line="205" w:lineRule="exact"/>
              <w:rPr>
                <w:sz w:val="20"/>
                <w:szCs w:val="20"/>
                <w:color w:val="auto"/>
              </w:rPr>
            </w:pPr>
            <w:r>
              <w:rPr>
                <w:rFonts w:ascii="Arial" w:cs="Arial" w:eastAsia="Arial" w:hAnsi="Arial"/>
                <w:sz w:val="14"/>
                <w:szCs w:val="14"/>
                <w:color w:val="auto"/>
              </w:rPr>
              <w:t>proxy peers</w:t>
            </w:r>
            <w:r>
              <w:rPr>
                <w:rFonts w:ascii="Arial" w:cs="Arial" w:eastAsia="Arial" w:hAnsi="Arial"/>
                <w:sz w:val="23"/>
                <w:szCs w:val="23"/>
                <w:color w:val="auto"/>
                <w:vertAlign w:val="superscript"/>
              </w:rPr>
              <w:t>(3)</w:t>
            </w:r>
          </w:p>
        </w:tc>
        <w:tc>
          <w:tcPr>
            <w:tcW w:w="1960" w:type="dxa"/>
            <w:vAlign w:val="bottom"/>
            <w:gridSpan w:val="6"/>
            <w:shd w:val="clear" w:color="auto" w:fill="CFF0FC"/>
          </w:tcPr>
          <w:p>
            <w:pPr>
              <w:ind w:left="100"/>
              <w:spacing w:after="0"/>
              <w:rPr>
                <w:sz w:val="20"/>
                <w:szCs w:val="20"/>
                <w:color w:val="auto"/>
              </w:rPr>
            </w:pPr>
            <w:r>
              <w:rPr>
                <w:rFonts w:ascii="Arial" w:cs="Arial" w:eastAsia="Arial" w:hAnsi="Arial"/>
                <w:sz w:val="16"/>
                <w:szCs w:val="16"/>
                <w:color w:val="auto"/>
              </w:rPr>
              <w:t>150% payout (1st</w:t>
            </w:r>
          </w:p>
        </w:tc>
        <w:tc>
          <w:tcPr>
            <w:tcW w:w="0" w:type="dxa"/>
            <w:vAlign w:val="bottom"/>
          </w:tcPr>
          <w:p>
            <w:pPr>
              <w:spacing w:after="0"/>
              <w:rPr>
                <w:sz w:val="1"/>
                <w:szCs w:val="1"/>
                <w:color w:val="auto"/>
              </w:rPr>
            </w:pPr>
          </w:p>
        </w:tc>
      </w:tr>
      <w:tr>
        <w:trPr>
          <w:trHeight w:val="203"/>
        </w:trPr>
        <w:tc>
          <w:tcPr>
            <w:tcW w:w="1400" w:type="dxa"/>
            <w:vAlign w:val="bottom"/>
            <w:shd w:val="clear" w:color="auto" w:fill="CFF0FC"/>
          </w:tcPr>
          <w:p>
            <w:pPr>
              <w:spacing w:after="0"/>
              <w:rPr>
                <w:sz w:val="17"/>
                <w:szCs w:val="17"/>
                <w:color w:val="auto"/>
              </w:rPr>
            </w:pPr>
          </w:p>
        </w:tc>
        <w:tc>
          <w:tcPr>
            <w:tcW w:w="17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380" w:type="dxa"/>
            <w:vAlign w:val="bottom"/>
            <w:gridSpan w:val="6"/>
            <w:shd w:val="clear" w:color="auto" w:fill="CFF0FC"/>
          </w:tcPr>
          <w:p>
            <w:pPr>
              <w:ind w:left="320"/>
              <w:spacing w:after="0"/>
              <w:rPr>
                <w:sz w:val="20"/>
                <w:szCs w:val="20"/>
                <w:color w:val="auto"/>
              </w:rPr>
            </w:pPr>
            <w:r>
              <w:rPr>
                <w:rFonts w:ascii="Arial" w:cs="Arial" w:eastAsia="Arial" w:hAnsi="Arial"/>
                <w:sz w:val="16"/>
                <w:szCs w:val="16"/>
                <w:color w:val="auto"/>
              </w:rPr>
              <w:t>target</w:t>
            </w:r>
          </w:p>
        </w:tc>
        <w:tc>
          <w:tcPr>
            <w:tcW w:w="1900" w:type="dxa"/>
            <w:vAlign w:val="bottom"/>
            <w:gridSpan w:val="5"/>
            <w:shd w:val="clear" w:color="auto" w:fill="CFF0FC"/>
          </w:tcPr>
          <w:p>
            <w:pPr>
              <w:spacing w:after="0"/>
              <w:rPr>
                <w:sz w:val="20"/>
                <w:szCs w:val="20"/>
                <w:color w:val="auto"/>
              </w:rPr>
            </w:pPr>
            <w:r>
              <w:rPr>
                <w:rFonts w:ascii="Arial" w:cs="Arial" w:eastAsia="Arial" w:hAnsi="Arial"/>
                <w:sz w:val="16"/>
                <w:szCs w:val="16"/>
                <w:color w:val="auto"/>
              </w:rPr>
              <w:t>(100% weight)</w:t>
            </w:r>
          </w:p>
        </w:tc>
        <w:tc>
          <w:tcPr>
            <w:tcW w:w="1960" w:type="dxa"/>
            <w:vAlign w:val="bottom"/>
            <w:gridSpan w:val="6"/>
            <w:shd w:val="clear" w:color="auto" w:fill="CFF0FC"/>
          </w:tcPr>
          <w:p>
            <w:pPr>
              <w:ind w:left="100"/>
              <w:spacing w:after="0"/>
              <w:rPr>
                <w:sz w:val="20"/>
                <w:szCs w:val="20"/>
                <w:color w:val="auto"/>
              </w:rPr>
            </w:pPr>
            <w:r>
              <w:rPr>
                <w:rFonts w:ascii="Arial" w:cs="Arial" w:eastAsia="Arial" w:hAnsi="Arial"/>
                <w:sz w:val="16"/>
                <w:szCs w:val="16"/>
                <w:color w:val="auto"/>
              </w:rPr>
              <w:t>quartile). No payout in the</w:t>
            </w:r>
          </w:p>
        </w:tc>
        <w:tc>
          <w:tcPr>
            <w:tcW w:w="0" w:type="dxa"/>
            <w:vAlign w:val="bottom"/>
          </w:tcPr>
          <w:p>
            <w:pPr>
              <w:spacing w:after="0"/>
              <w:rPr>
                <w:sz w:val="1"/>
                <w:szCs w:val="1"/>
                <w:color w:val="auto"/>
              </w:rPr>
            </w:pPr>
          </w:p>
        </w:tc>
      </w:tr>
      <w:tr>
        <w:trPr>
          <w:trHeight w:val="212"/>
        </w:trPr>
        <w:tc>
          <w:tcPr>
            <w:tcW w:w="140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960" w:type="dxa"/>
            <w:vAlign w:val="bottom"/>
            <w:gridSpan w:val="6"/>
            <w:shd w:val="clear" w:color="auto" w:fill="CFF0FC"/>
          </w:tcPr>
          <w:p>
            <w:pPr>
              <w:ind w:left="100"/>
              <w:spacing w:after="0"/>
              <w:rPr>
                <w:sz w:val="20"/>
                <w:szCs w:val="20"/>
                <w:color w:val="auto"/>
              </w:rPr>
            </w:pPr>
            <w:r>
              <w:rPr>
                <w:rFonts w:ascii="Arial" w:cs="Arial" w:eastAsia="Arial" w:hAnsi="Arial"/>
                <w:sz w:val="16"/>
                <w:szCs w:val="16"/>
                <w:color w:val="auto"/>
              </w:rPr>
              <w:t>4th quartile.</w:t>
            </w:r>
          </w:p>
        </w:tc>
        <w:tc>
          <w:tcPr>
            <w:tcW w:w="0" w:type="dxa"/>
            <w:vAlign w:val="bottom"/>
          </w:tcPr>
          <w:p>
            <w:pPr>
              <w:spacing w:after="0"/>
              <w:rPr>
                <w:sz w:val="1"/>
                <w:szCs w:val="1"/>
                <w:color w:val="auto"/>
              </w:rPr>
            </w:pPr>
          </w:p>
        </w:tc>
      </w:tr>
      <w:tr>
        <w:trPr>
          <w:trHeight w:val="206"/>
        </w:trPr>
        <w:tc>
          <w:tcPr>
            <w:tcW w:w="3360" w:type="dxa"/>
            <w:vAlign w:val="bottom"/>
            <w:gridSpan w:val="3"/>
          </w:tcPr>
          <w:p>
            <w:pPr>
              <w:ind w:left="80"/>
              <w:spacing w:after="0"/>
              <w:rPr>
                <w:sz w:val="20"/>
                <w:szCs w:val="20"/>
                <w:color w:val="auto"/>
              </w:rPr>
            </w:pPr>
            <w:r>
              <w:rPr>
                <w:rFonts w:ascii="Arial" w:cs="Arial" w:eastAsia="Arial" w:hAnsi="Arial"/>
                <w:sz w:val="16"/>
                <w:szCs w:val="16"/>
                <w:color w:val="auto"/>
              </w:rPr>
              <w:t>Target 2</w:t>
            </w:r>
          </w:p>
        </w:tc>
        <w:tc>
          <w:tcPr>
            <w:tcW w:w="4020" w:type="dxa"/>
            <w:vAlign w:val="bottom"/>
            <w:gridSpan w:val="11"/>
          </w:tcPr>
          <w:p>
            <w:pPr>
              <w:spacing w:after="0"/>
              <w:rPr>
                <w:sz w:val="20"/>
                <w:szCs w:val="20"/>
                <w:color w:val="auto"/>
              </w:rPr>
            </w:pPr>
            <w:r>
              <w:rPr>
                <w:rFonts w:ascii="Arial" w:cs="Arial" w:eastAsia="Arial" w:hAnsi="Arial"/>
                <w:sz w:val="16"/>
                <w:szCs w:val="16"/>
                <w:color w:val="auto"/>
              </w:rPr>
              <w:t>3-yr. Stacked Retail Comp   100% payout at target,</w:t>
            </w: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3"/>
          </w:tcPr>
          <w:p>
            <w:pPr>
              <w:jc w:val="center"/>
              <w:ind w:right="659"/>
              <w:spacing w:after="0"/>
              <w:rPr>
                <w:sz w:val="20"/>
                <w:szCs w:val="20"/>
                <w:color w:val="auto"/>
              </w:rPr>
            </w:pPr>
            <w:r>
              <w:rPr>
                <w:rFonts w:ascii="Arial" w:cs="Arial" w:eastAsia="Arial" w:hAnsi="Arial"/>
                <w:sz w:val="16"/>
                <w:szCs w:val="16"/>
                <w:color w:val="auto"/>
              </w:rPr>
              <w:t>N/A</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60" w:type="dxa"/>
            <w:vAlign w:val="bottom"/>
            <w:gridSpan w:val="4"/>
          </w:tcPr>
          <w:p>
            <w:pPr>
              <w:jc w:val="center"/>
              <w:ind w:right="44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03"/>
        </w:trPr>
        <w:tc>
          <w:tcPr>
            <w:tcW w:w="14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gridSpan w:val="5"/>
          </w:tcPr>
          <w:p>
            <w:pPr>
              <w:spacing w:after="0"/>
              <w:rPr>
                <w:sz w:val="20"/>
                <w:szCs w:val="20"/>
                <w:color w:val="auto"/>
              </w:rPr>
            </w:pPr>
            <w:r>
              <w:rPr>
                <w:rFonts w:ascii="Arial" w:cs="Arial" w:eastAsia="Arial" w:hAnsi="Arial"/>
                <w:sz w:val="16"/>
                <w:szCs w:val="16"/>
                <w:color w:val="auto"/>
              </w:rPr>
              <w:t>(50% weight)</w:t>
            </w:r>
          </w:p>
        </w:tc>
        <w:tc>
          <w:tcPr>
            <w:tcW w:w="2380" w:type="dxa"/>
            <w:vAlign w:val="bottom"/>
            <w:gridSpan w:val="6"/>
          </w:tcPr>
          <w:p>
            <w:pPr>
              <w:ind w:left="320"/>
              <w:spacing w:after="0"/>
              <w:rPr>
                <w:sz w:val="20"/>
                <w:szCs w:val="20"/>
                <w:color w:val="auto"/>
              </w:rPr>
            </w:pPr>
            <w:r>
              <w:rPr>
                <w:rFonts w:ascii="Arial" w:cs="Arial" w:eastAsia="Arial" w:hAnsi="Arial"/>
                <w:sz w:val="16"/>
                <w:szCs w:val="16"/>
                <w:color w:val="auto"/>
              </w:rPr>
              <w:t>with 50% payout at</w:t>
            </w: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380" w:type="dxa"/>
            <w:vAlign w:val="bottom"/>
            <w:gridSpan w:val="6"/>
          </w:tcPr>
          <w:p>
            <w:pPr>
              <w:ind w:left="320"/>
              <w:spacing w:after="0"/>
              <w:rPr>
                <w:sz w:val="20"/>
                <w:szCs w:val="20"/>
                <w:color w:val="auto"/>
              </w:rPr>
            </w:pPr>
            <w:r>
              <w:rPr>
                <w:rFonts w:ascii="Arial" w:cs="Arial" w:eastAsia="Arial" w:hAnsi="Arial"/>
                <w:sz w:val="16"/>
                <w:szCs w:val="16"/>
                <w:color w:val="auto"/>
              </w:rPr>
              <w:t>74.4% of target and 150%</w:t>
            </w: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380" w:type="dxa"/>
            <w:vAlign w:val="bottom"/>
            <w:gridSpan w:val="6"/>
          </w:tcPr>
          <w:p>
            <w:pPr>
              <w:ind w:left="320"/>
              <w:spacing w:after="0"/>
              <w:rPr>
                <w:sz w:val="20"/>
                <w:szCs w:val="20"/>
                <w:color w:val="auto"/>
              </w:rPr>
            </w:pPr>
            <w:r>
              <w:rPr>
                <w:rFonts w:ascii="Arial" w:cs="Arial" w:eastAsia="Arial" w:hAnsi="Arial"/>
                <w:sz w:val="16"/>
                <w:szCs w:val="16"/>
                <w:color w:val="auto"/>
              </w:rPr>
              <w:t>payout at 138.5% of</w:t>
            </w: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4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380" w:type="dxa"/>
            <w:vAlign w:val="bottom"/>
            <w:gridSpan w:val="6"/>
          </w:tcPr>
          <w:p>
            <w:pPr>
              <w:ind w:left="320"/>
              <w:spacing w:after="0"/>
              <w:rPr>
                <w:sz w:val="20"/>
                <w:szCs w:val="20"/>
                <w:color w:val="auto"/>
              </w:rPr>
            </w:pPr>
            <w:r>
              <w:rPr>
                <w:rFonts w:ascii="Arial" w:cs="Arial" w:eastAsia="Arial" w:hAnsi="Arial"/>
                <w:sz w:val="16"/>
                <w:szCs w:val="16"/>
                <w:color w:val="auto"/>
              </w:rPr>
              <w:t>target</w:t>
            </w: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jc w:val="both"/>
        <w:ind w:left="1320" w:hanging="367"/>
        <w:spacing w:after="0" w:line="229" w:lineRule="auto"/>
        <w:tabs>
          <w:tab w:leader="none" w:pos="13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Compensation Committee approved the 2020-2022 LTIP and on June 11, 2020 granted time-based compensation in a combination of 50% cash and 50% stock options, to be earned through April 1, 2024. Given the uncertainty at the time regarding the COVID-19 pandemic and the short-term and long-term impact it may have on consumer spending, the Compensation Committee established just one performance metric for the 2020-2022 LTIP: “Three-Year Relative Total Shareholder Return.” The Compensation Committee believed this performance metric and the issuance of stock options (as opposed to restricted stock units) under the time-based portion of the 2020-2022 LTIP, appropriately aligned management with the interests of our stockholders. The use of stock options also helped to preserve share availability under the 2016 Plan given the depressed stock price at the time.</w:t>
      </w:r>
    </w:p>
    <w:p>
      <w:pPr>
        <w:spacing w:after="0" w:line="77" w:lineRule="exact"/>
        <w:rPr>
          <w:rFonts w:ascii="Arial" w:cs="Arial" w:eastAsia="Arial" w:hAnsi="Arial"/>
          <w:sz w:val="14"/>
          <w:szCs w:val="14"/>
          <w:color w:val="auto"/>
        </w:rPr>
      </w:pPr>
    </w:p>
    <w:p>
      <w:pPr>
        <w:jc w:val="both"/>
        <w:ind w:left="1320" w:hanging="367"/>
        <w:spacing w:after="0" w:line="233" w:lineRule="auto"/>
        <w:tabs>
          <w:tab w:leader="none" w:pos="13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Adjusted EBITDA will be calculated as EBITDA excluding certain revenues, expenses and cash flows, which were not considered in the establishment of the Company’s targets, including its wholesale business (“Adjusted EBITDA”). Adjusted EBITDA margin will then be calculated by taking the Adjusted EBITDA for the three-year performance period and dividing by the Company’s total sales over the three-year performance period. While Adjusted EBITDA is also a metric used in our AIP, we believe that Adjusted EBITDA is the best measure of both our annual and long-term results.</w:t>
      </w:r>
    </w:p>
    <w:p>
      <w:pPr>
        <w:spacing w:after="0" w:line="76" w:lineRule="exact"/>
        <w:rPr>
          <w:rFonts w:ascii="Arial" w:cs="Arial" w:eastAsia="Arial" w:hAnsi="Arial"/>
          <w:sz w:val="14"/>
          <w:szCs w:val="14"/>
          <w:color w:val="auto"/>
        </w:rPr>
      </w:pPr>
    </w:p>
    <w:p>
      <w:pPr>
        <w:ind w:left="1320" w:hanging="367"/>
        <w:spacing w:after="0" w:line="253" w:lineRule="auto"/>
        <w:tabs>
          <w:tab w:leader="none" w:pos="13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For the Company and each of its 2020 disclosed proxy peers, the three-year relative total shareholder return will be calculated as the percentage change in the 30-day trailing volume-weighted average closing stock price at January 31, 2020 and January 27, 2023, adjusted for any dividends paid.</w:t>
      </w:r>
    </w:p>
    <w:p>
      <w:pPr>
        <w:spacing w:after="0" w:line="70" w:lineRule="exact"/>
        <w:rPr>
          <w:sz w:val="20"/>
          <w:szCs w:val="20"/>
          <w:color w:val="auto"/>
        </w:rPr>
      </w:pPr>
    </w:p>
    <w:p>
      <w:pPr>
        <w:jc w:val="both"/>
        <w:ind w:left="940"/>
        <w:spacing w:after="0" w:line="263" w:lineRule="auto"/>
        <w:rPr>
          <w:sz w:val="20"/>
          <w:szCs w:val="20"/>
          <w:color w:val="auto"/>
        </w:rPr>
      </w:pPr>
      <w:r>
        <w:rPr>
          <w:rFonts w:ascii="Arial" w:cs="Arial" w:eastAsia="Arial" w:hAnsi="Arial"/>
          <w:sz w:val="18"/>
          <w:szCs w:val="18"/>
          <w:color w:val="auto"/>
        </w:rPr>
        <w:t>At the time of establishing the performance targets, the Compensation Committee believed that the above metrics reflected the Company’s primary objective of returning to profitability and driving shareholder return. We will disclose our targets under the LTIPs once the respective performance periods have ended.</w:t>
      </w:r>
    </w:p>
    <w:p>
      <w:pPr>
        <w:spacing w:after="0" w:line="76" w:lineRule="exact"/>
        <w:rPr>
          <w:sz w:val="20"/>
          <w:szCs w:val="20"/>
          <w:color w:val="auto"/>
        </w:rPr>
      </w:pPr>
    </w:p>
    <w:p>
      <w:pPr>
        <w:ind w:left="940"/>
        <w:spacing w:after="0"/>
        <w:rPr>
          <w:sz w:val="20"/>
          <w:szCs w:val="20"/>
          <w:color w:val="auto"/>
        </w:rPr>
      </w:pPr>
      <w:r>
        <w:rPr>
          <w:rFonts w:ascii="Arial" w:cs="Arial" w:eastAsia="Arial" w:hAnsi="Arial"/>
          <w:sz w:val="16"/>
          <w:szCs w:val="16"/>
          <w:color w:val="auto"/>
        </w:rPr>
        <w:t>The following table illustrates the components of the LTIPs with the respective vesting dates, illustrating that the time-based portion of the</w:t>
      </w:r>
    </w:p>
    <w:p>
      <w:pPr>
        <w:spacing w:after="0" w:line="46" w:lineRule="exact"/>
        <w:rPr>
          <w:sz w:val="20"/>
          <w:szCs w:val="20"/>
          <w:color w:val="auto"/>
        </w:rPr>
      </w:pPr>
    </w:p>
    <w:p>
      <w:pPr>
        <w:ind w:left="940"/>
        <w:spacing w:after="0"/>
        <w:rPr>
          <w:sz w:val="20"/>
          <w:szCs w:val="20"/>
          <w:color w:val="auto"/>
        </w:rPr>
      </w:pPr>
      <w:r>
        <w:rPr>
          <w:rFonts w:ascii="Arial" w:cs="Arial" w:eastAsia="Arial" w:hAnsi="Arial"/>
          <w:sz w:val="18"/>
          <w:szCs w:val="18"/>
          <w:color w:val="auto"/>
        </w:rPr>
        <w:t>LTIP acts as a retention tool:</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 of</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60" w:type="dxa"/>
            <w:vAlign w:val="bottom"/>
            <w:gridSpan w:val="6"/>
          </w:tcPr>
          <w:p>
            <w:pPr>
              <w:jc w:val="right"/>
              <w:ind w:right="360"/>
              <w:spacing w:after="0"/>
              <w:rPr>
                <w:sz w:val="20"/>
                <w:szCs w:val="20"/>
                <w:color w:val="auto"/>
              </w:rPr>
            </w:pPr>
            <w:r>
              <w:rPr>
                <w:rFonts w:ascii="Arial" w:cs="Arial" w:eastAsia="Arial" w:hAnsi="Arial"/>
                <w:sz w:val="14"/>
                <w:szCs w:val="14"/>
                <w:color w:val="auto"/>
              </w:rPr>
              <w:t>Vesting of Awards by Fiscal Year:</w:t>
            </w: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7"/>
        </w:trPr>
        <w:tc>
          <w:tcPr>
            <w:tcW w:w="1300" w:type="dxa"/>
            <w:vAlign w:val="bottom"/>
            <w:gridSpan w:val="2"/>
          </w:tcPr>
          <w:p>
            <w:pPr>
              <w:ind w:left="180"/>
              <w:spacing w:after="0"/>
              <w:rPr>
                <w:sz w:val="20"/>
                <w:szCs w:val="20"/>
                <w:color w:val="auto"/>
              </w:rPr>
            </w:pPr>
            <w:r>
              <w:rPr>
                <w:rFonts w:ascii="Arial" w:cs="Arial" w:eastAsia="Arial" w:hAnsi="Arial"/>
                <w:sz w:val="14"/>
                <w:szCs w:val="14"/>
                <w:color w:val="auto"/>
              </w:rPr>
              <w:t>Approval date</w:t>
            </w:r>
          </w:p>
        </w:tc>
        <w:tc>
          <w:tcPr>
            <w:tcW w:w="4860" w:type="dxa"/>
            <w:vAlign w:val="bottom"/>
            <w:gridSpan w:val="2"/>
          </w:tcPr>
          <w:p>
            <w:pPr>
              <w:ind w:left="1800"/>
              <w:spacing w:after="0"/>
              <w:rPr>
                <w:sz w:val="20"/>
                <w:szCs w:val="20"/>
                <w:color w:val="auto"/>
              </w:rPr>
            </w:pPr>
            <w:r>
              <w:rPr>
                <w:rFonts w:ascii="Arial" w:cs="Arial" w:eastAsia="Arial" w:hAnsi="Arial"/>
                <w:sz w:val="14"/>
                <w:szCs w:val="14"/>
                <w:color w:val="auto"/>
              </w:rPr>
              <w:t>Performance Period</w:t>
            </w:r>
          </w:p>
        </w:tc>
        <w:tc>
          <w:tcPr>
            <w:tcW w:w="86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total award</w:t>
            </w:r>
          </w:p>
        </w:tc>
        <w:tc>
          <w:tcPr>
            <w:tcW w:w="760" w:type="dxa"/>
            <w:vAlign w:val="bottom"/>
          </w:tcPr>
          <w:p>
            <w:pPr>
              <w:jc w:val="right"/>
              <w:ind w:right="168"/>
              <w:spacing w:after="0"/>
              <w:rPr>
                <w:sz w:val="20"/>
                <w:szCs w:val="20"/>
                <w:color w:val="auto"/>
              </w:rPr>
            </w:pPr>
            <w:r>
              <w:rPr>
                <w:rFonts w:ascii="Arial" w:cs="Arial" w:eastAsia="Arial" w:hAnsi="Arial"/>
                <w:sz w:val="14"/>
                <w:szCs w:val="14"/>
                <w:color w:val="auto"/>
              </w:rPr>
              <w:t>2020</w:t>
            </w:r>
          </w:p>
        </w:tc>
        <w:tc>
          <w:tcPr>
            <w:tcW w:w="100" w:type="dxa"/>
            <w:vAlign w:val="bottom"/>
          </w:tcPr>
          <w:p>
            <w:pPr>
              <w:spacing w:after="0"/>
              <w:rPr>
                <w:sz w:val="14"/>
                <w:szCs w:val="14"/>
                <w:color w:val="auto"/>
              </w:rPr>
            </w:pPr>
          </w:p>
        </w:tc>
        <w:tc>
          <w:tcPr>
            <w:tcW w:w="740" w:type="dxa"/>
            <w:vAlign w:val="bottom"/>
          </w:tcPr>
          <w:p>
            <w:pPr>
              <w:jc w:val="right"/>
              <w:ind w:right="168"/>
              <w:spacing w:after="0"/>
              <w:rPr>
                <w:sz w:val="20"/>
                <w:szCs w:val="20"/>
                <w:color w:val="auto"/>
              </w:rPr>
            </w:pPr>
            <w:r>
              <w:rPr>
                <w:rFonts w:ascii="Arial" w:cs="Arial" w:eastAsia="Arial" w:hAnsi="Arial"/>
                <w:sz w:val="14"/>
                <w:szCs w:val="14"/>
                <w:color w:val="auto"/>
              </w:rPr>
              <w:t>2021</w:t>
            </w:r>
          </w:p>
        </w:tc>
        <w:tc>
          <w:tcPr>
            <w:tcW w:w="10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6"/>
              </w:rPr>
              <w:t>2022</w:t>
            </w:r>
          </w:p>
        </w:tc>
        <w:tc>
          <w:tcPr>
            <w:tcW w:w="10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6"/>
              </w:rPr>
              <w:t>2023</w:t>
            </w:r>
          </w:p>
        </w:tc>
        <w:tc>
          <w:tcPr>
            <w:tcW w:w="10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Arial" w:cs="Arial" w:eastAsia="Arial" w:hAnsi="Arial"/>
                <w:sz w:val="14"/>
                <w:szCs w:val="14"/>
                <w:color w:val="auto"/>
              </w:rPr>
              <w:t>2024</w:t>
            </w:r>
          </w:p>
        </w:tc>
        <w:tc>
          <w:tcPr>
            <w:tcW w:w="60" w:type="dxa"/>
            <w:vAlign w:val="bottom"/>
          </w:tcPr>
          <w:p>
            <w:pPr>
              <w:spacing w:after="0"/>
              <w:rPr>
                <w:sz w:val="14"/>
                <w:szCs w:val="14"/>
                <w:color w:val="auto"/>
              </w:rPr>
            </w:pPr>
          </w:p>
        </w:tc>
      </w:tr>
      <w:tr>
        <w:trPr>
          <w:trHeight w:val="155"/>
        </w:trPr>
        <w:tc>
          <w:tcPr>
            <w:tcW w:w="120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8/7/2019</w:t>
            </w:r>
          </w:p>
        </w:tc>
        <w:tc>
          <w:tcPr>
            <w:tcW w:w="100" w:type="dxa"/>
            <w:vAlign w:val="bottom"/>
            <w:tcBorders>
              <w:top w:val="single" w:sz="8" w:color="CFF0FC"/>
            </w:tcBorders>
            <w:shd w:val="clear" w:color="auto" w:fill="CFF0FC"/>
          </w:tcPr>
          <w:p>
            <w:pPr>
              <w:spacing w:after="0"/>
              <w:rPr>
                <w:sz w:val="13"/>
                <w:szCs w:val="13"/>
                <w:color w:val="auto"/>
              </w:rPr>
            </w:pPr>
          </w:p>
        </w:tc>
        <w:tc>
          <w:tcPr>
            <w:tcW w:w="476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2019-2021 LTIP</w:t>
            </w:r>
          </w:p>
        </w:tc>
        <w:tc>
          <w:tcPr>
            <w:tcW w:w="100" w:type="dxa"/>
            <w:vAlign w:val="bottom"/>
            <w:tcBorders>
              <w:top w:val="single" w:sz="8" w:color="CFF0FC"/>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r>
      <w:tr>
        <w:trPr>
          <w:trHeight w:val="162"/>
        </w:trPr>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60" w:type="dxa"/>
            <w:vAlign w:val="bottom"/>
            <w:gridSpan w:val="2"/>
          </w:tcPr>
          <w:p>
            <w:pPr>
              <w:ind w:left="120"/>
              <w:spacing w:after="0"/>
              <w:rPr>
                <w:sz w:val="20"/>
                <w:szCs w:val="20"/>
                <w:color w:val="auto"/>
              </w:rPr>
            </w:pPr>
            <w:r>
              <w:rPr>
                <w:rFonts w:ascii="Arial" w:cs="Arial" w:eastAsia="Arial" w:hAnsi="Arial"/>
                <w:sz w:val="14"/>
                <w:szCs w:val="14"/>
                <w:color w:val="auto"/>
              </w:rPr>
              <w:t>Time-Based Awards, vests April 1*, subject to forfeiture</w:t>
            </w:r>
          </w:p>
        </w:tc>
        <w:tc>
          <w:tcPr>
            <w:tcW w:w="760" w:type="dxa"/>
            <w:vAlign w:val="bottom"/>
          </w:tcPr>
          <w:p>
            <w:pPr>
              <w:jc w:val="center"/>
              <w:spacing w:after="0"/>
              <w:rPr>
                <w:sz w:val="20"/>
                <w:szCs w:val="20"/>
                <w:color w:val="auto"/>
              </w:rPr>
            </w:pPr>
            <w:r>
              <w:rPr>
                <w:rFonts w:ascii="Arial" w:cs="Arial" w:eastAsia="Arial" w:hAnsi="Arial"/>
                <w:sz w:val="14"/>
                <w:szCs w:val="14"/>
                <w:color w:val="auto"/>
                <w:w w:val="92"/>
              </w:rPr>
              <w:t>50%</w:t>
            </w:r>
          </w:p>
        </w:tc>
        <w:tc>
          <w:tcPr>
            <w:tcW w:w="100" w:type="dxa"/>
            <w:vAlign w:val="bottom"/>
          </w:tcPr>
          <w:p>
            <w:pPr>
              <w:spacing w:after="0"/>
              <w:rPr>
                <w:sz w:val="14"/>
                <w:szCs w:val="14"/>
                <w:color w:val="auto"/>
              </w:rPr>
            </w:pPr>
          </w:p>
        </w:tc>
        <w:tc>
          <w:tcPr>
            <w:tcW w:w="760" w:type="dxa"/>
            <w:vAlign w:val="bottom"/>
          </w:tcPr>
          <w:p>
            <w:pPr>
              <w:jc w:val="right"/>
              <w:ind w:right="188"/>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4"/>
                <w:szCs w:val="14"/>
                <w:color w:val="auto"/>
              </w:rPr>
            </w:pPr>
          </w:p>
        </w:tc>
        <w:tc>
          <w:tcPr>
            <w:tcW w:w="740" w:type="dxa"/>
            <w:vAlign w:val="bottom"/>
          </w:tcPr>
          <w:p>
            <w:pPr>
              <w:jc w:val="right"/>
              <w:ind w:right="168"/>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2"/>
              </w:rPr>
              <w:t>25%</w:t>
            </w:r>
          </w:p>
        </w:tc>
        <w:tc>
          <w:tcPr>
            <w:tcW w:w="10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2"/>
              </w:rPr>
              <w:t>25%</w:t>
            </w:r>
          </w:p>
        </w:tc>
        <w:tc>
          <w:tcPr>
            <w:tcW w:w="100" w:type="dxa"/>
            <w:vAlign w:val="bottom"/>
          </w:tcPr>
          <w:p>
            <w:pPr>
              <w:spacing w:after="0"/>
              <w:rPr>
                <w:sz w:val="14"/>
                <w:szCs w:val="14"/>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r>
      <w:tr>
        <w:trPr>
          <w:trHeight w:val="162"/>
        </w:trPr>
        <w:tc>
          <w:tcPr>
            <w:tcW w:w="1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860" w:type="dxa"/>
            <w:vAlign w:val="bottom"/>
            <w:gridSpan w:val="2"/>
            <w:shd w:val="clear" w:color="auto" w:fill="CFF0FC"/>
          </w:tcPr>
          <w:p>
            <w:pPr>
              <w:ind w:left="120"/>
              <w:spacing w:after="0"/>
              <w:rPr>
                <w:sz w:val="20"/>
                <w:szCs w:val="20"/>
                <w:color w:val="auto"/>
              </w:rPr>
            </w:pPr>
            <w:r>
              <w:rPr>
                <w:rFonts w:ascii="Arial" w:cs="Arial" w:eastAsia="Arial" w:hAnsi="Arial"/>
                <w:sz w:val="14"/>
                <w:szCs w:val="14"/>
                <w:color w:val="auto"/>
              </w:rPr>
              <w:t>Performance-Based Awards- vests August 31, if achieved</w:t>
            </w:r>
          </w:p>
        </w:tc>
        <w:tc>
          <w:tcPr>
            <w:tcW w:w="76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2"/>
              </w:rPr>
              <w:t>50%</w:t>
            </w:r>
          </w:p>
        </w:tc>
        <w:tc>
          <w:tcPr>
            <w:tcW w:w="10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36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FF0FC"/>
          </w:tcPr>
          <w:p>
            <w:pPr>
              <w:jc w:val="right"/>
              <w:ind w:right="360"/>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4"/>
              </w:rPr>
              <w:t>100%</w:t>
            </w:r>
          </w:p>
        </w:tc>
        <w:tc>
          <w:tcPr>
            <w:tcW w:w="10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36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r>
      <w:tr>
        <w:trPr>
          <w:trHeight w:val="162"/>
        </w:trPr>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1200" w:type="dxa"/>
            <w:vAlign w:val="bottom"/>
            <w:shd w:val="clear" w:color="auto" w:fill="CFF0FC"/>
          </w:tcPr>
          <w:p>
            <w:pPr>
              <w:spacing w:after="0"/>
              <w:rPr>
                <w:sz w:val="20"/>
                <w:szCs w:val="20"/>
                <w:color w:val="auto"/>
              </w:rPr>
            </w:pPr>
            <w:r>
              <w:rPr>
                <w:rFonts w:ascii="Arial" w:cs="Arial" w:eastAsia="Arial" w:hAnsi="Arial"/>
                <w:sz w:val="14"/>
                <w:szCs w:val="14"/>
                <w:color w:val="auto"/>
              </w:rPr>
              <w:t>6/11/2020</w:t>
            </w:r>
          </w:p>
        </w:tc>
        <w:tc>
          <w:tcPr>
            <w:tcW w:w="100" w:type="dxa"/>
            <w:vAlign w:val="bottom"/>
            <w:shd w:val="clear" w:color="auto" w:fill="CFF0FC"/>
          </w:tcPr>
          <w:p>
            <w:pPr>
              <w:spacing w:after="0"/>
              <w:rPr>
                <w:sz w:val="14"/>
                <w:szCs w:val="14"/>
                <w:color w:val="auto"/>
              </w:rPr>
            </w:pPr>
          </w:p>
        </w:tc>
        <w:tc>
          <w:tcPr>
            <w:tcW w:w="486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2020-2022 LTIP</w:t>
            </w: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r>
      <w:tr>
        <w:trPr>
          <w:trHeight w:val="162"/>
        </w:trPr>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60" w:type="dxa"/>
            <w:vAlign w:val="bottom"/>
            <w:gridSpan w:val="2"/>
          </w:tcPr>
          <w:p>
            <w:pPr>
              <w:ind w:left="120"/>
              <w:spacing w:after="0"/>
              <w:rPr>
                <w:sz w:val="20"/>
                <w:szCs w:val="20"/>
                <w:color w:val="auto"/>
              </w:rPr>
            </w:pPr>
            <w:r>
              <w:rPr>
                <w:rFonts w:ascii="Arial" w:cs="Arial" w:eastAsia="Arial" w:hAnsi="Arial"/>
                <w:sz w:val="14"/>
                <w:szCs w:val="14"/>
                <w:color w:val="auto"/>
              </w:rPr>
              <w:t>Time-Based Awards, vests April 1*, subject to forfeiture</w:t>
            </w:r>
          </w:p>
        </w:tc>
        <w:tc>
          <w:tcPr>
            <w:tcW w:w="760" w:type="dxa"/>
            <w:vAlign w:val="bottom"/>
          </w:tcPr>
          <w:p>
            <w:pPr>
              <w:jc w:val="center"/>
              <w:spacing w:after="0"/>
              <w:rPr>
                <w:sz w:val="20"/>
                <w:szCs w:val="20"/>
                <w:color w:val="auto"/>
              </w:rPr>
            </w:pPr>
            <w:r>
              <w:rPr>
                <w:rFonts w:ascii="Arial" w:cs="Arial" w:eastAsia="Arial" w:hAnsi="Arial"/>
                <w:sz w:val="14"/>
                <w:szCs w:val="14"/>
                <w:color w:val="auto"/>
                <w:w w:val="92"/>
              </w:rPr>
              <w:t>50%</w:t>
            </w:r>
          </w:p>
        </w:tc>
        <w:tc>
          <w:tcPr>
            <w:tcW w:w="100" w:type="dxa"/>
            <w:vAlign w:val="bottom"/>
          </w:tcPr>
          <w:p>
            <w:pPr>
              <w:spacing w:after="0"/>
              <w:rPr>
                <w:sz w:val="14"/>
                <w:szCs w:val="14"/>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68"/>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2"/>
              </w:rPr>
              <w:t>25%</w:t>
            </w:r>
          </w:p>
        </w:tc>
        <w:tc>
          <w:tcPr>
            <w:tcW w:w="10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2"/>
              </w:rPr>
              <w:t>25%</w:t>
            </w:r>
          </w:p>
        </w:tc>
        <w:tc>
          <w:tcPr>
            <w:tcW w:w="100" w:type="dxa"/>
            <w:vAlign w:val="bottom"/>
          </w:tcPr>
          <w:p>
            <w:pPr>
              <w:spacing w:after="0"/>
              <w:rPr>
                <w:sz w:val="14"/>
                <w:szCs w:val="14"/>
                <w:color w:val="auto"/>
              </w:rPr>
            </w:pPr>
          </w:p>
        </w:tc>
        <w:tc>
          <w:tcPr>
            <w:tcW w:w="740" w:type="dxa"/>
            <w:vAlign w:val="bottom"/>
          </w:tcPr>
          <w:p>
            <w:pPr>
              <w:jc w:val="right"/>
              <w:ind w:right="168"/>
              <w:spacing w:after="0"/>
              <w:rPr>
                <w:sz w:val="20"/>
                <w:szCs w:val="20"/>
                <w:color w:val="auto"/>
              </w:rPr>
            </w:pPr>
            <w:r>
              <w:rPr>
                <w:rFonts w:ascii="Arial" w:cs="Arial" w:eastAsia="Arial" w:hAnsi="Arial"/>
                <w:sz w:val="14"/>
                <w:szCs w:val="14"/>
                <w:color w:val="auto"/>
              </w:rPr>
              <w:t>25%</w:t>
            </w:r>
          </w:p>
        </w:tc>
        <w:tc>
          <w:tcPr>
            <w:tcW w:w="60" w:type="dxa"/>
            <w:vAlign w:val="bottom"/>
          </w:tcPr>
          <w:p>
            <w:pPr>
              <w:spacing w:after="0"/>
              <w:rPr>
                <w:sz w:val="14"/>
                <w:szCs w:val="14"/>
                <w:color w:val="auto"/>
              </w:rPr>
            </w:pPr>
          </w:p>
        </w:tc>
      </w:tr>
      <w:tr>
        <w:trPr>
          <w:trHeight w:val="162"/>
        </w:trPr>
        <w:tc>
          <w:tcPr>
            <w:tcW w:w="1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860" w:type="dxa"/>
            <w:vAlign w:val="bottom"/>
            <w:gridSpan w:val="2"/>
            <w:shd w:val="clear" w:color="auto" w:fill="CFF0FC"/>
          </w:tcPr>
          <w:p>
            <w:pPr>
              <w:ind w:left="120"/>
              <w:spacing w:after="0"/>
              <w:rPr>
                <w:sz w:val="20"/>
                <w:szCs w:val="20"/>
                <w:color w:val="auto"/>
              </w:rPr>
            </w:pPr>
            <w:r>
              <w:rPr>
                <w:rFonts w:ascii="Arial" w:cs="Arial" w:eastAsia="Arial" w:hAnsi="Arial"/>
                <w:sz w:val="14"/>
                <w:szCs w:val="14"/>
                <w:color w:val="auto"/>
              </w:rPr>
              <w:t>Performance-Based Awards- vests August 31, if achieved</w:t>
            </w:r>
          </w:p>
        </w:tc>
        <w:tc>
          <w:tcPr>
            <w:tcW w:w="76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2"/>
              </w:rPr>
              <w:t>50%</w:t>
            </w:r>
          </w:p>
        </w:tc>
        <w:tc>
          <w:tcPr>
            <w:tcW w:w="10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36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FF0FC"/>
          </w:tcPr>
          <w:p>
            <w:pPr>
              <w:jc w:val="right"/>
              <w:ind w:right="36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FF0FC"/>
          </w:tcPr>
          <w:p>
            <w:pPr>
              <w:ind w:left="360"/>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4"/>
              </w:rPr>
              <w:t>100%</w:t>
            </w:r>
          </w:p>
        </w:tc>
        <w:tc>
          <w:tcPr>
            <w:tcW w:w="10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5" w:name="page16"/>
    <w:bookmarkEnd w:id="15"/>
    <w:p>
      <w:pPr>
        <w:ind w:left="520" w:hanging="364"/>
        <w:spacing w:after="0"/>
        <w:tabs>
          <w:tab w:leader="none" w:pos="520" w:val="left"/>
        </w:tabs>
        <w:numPr>
          <w:ilvl w:val="0"/>
          <w:numId w:val="14"/>
        </w:numPr>
        <w:rPr>
          <w:rFonts w:ascii="Arial" w:cs="Arial" w:eastAsia="Arial" w:hAnsi="Arial"/>
          <w:sz w:val="13"/>
          <w:szCs w:val="13"/>
          <w:color w:val="auto"/>
        </w:rPr>
      </w:pPr>
      <w:r>
        <w:rPr>
          <w:rFonts w:ascii="Arial" w:cs="Arial" w:eastAsia="Arial" w:hAnsi="Arial"/>
          <w:sz w:val="13"/>
          <w:szCs w:val="13"/>
          <w:color w:val="auto"/>
        </w:rPr>
        <w:t>The first tranche of time-based awards vest on April 1 following the end of the first year of the performance period or one year from the date of grant, whichever is later.</w:t>
      </w:r>
    </w:p>
    <w:p>
      <w:pPr>
        <w:spacing w:after="0" w:line="287" w:lineRule="exact"/>
        <w:rPr>
          <w:sz w:val="20"/>
          <w:szCs w:val="20"/>
          <w:color w:val="auto"/>
        </w:rPr>
      </w:pPr>
    </w:p>
    <w:p>
      <w:pPr>
        <w:ind w:left="160"/>
        <w:spacing w:after="0"/>
        <w:rPr>
          <w:sz w:val="20"/>
          <w:szCs w:val="20"/>
          <w:color w:val="auto"/>
        </w:rPr>
      </w:pPr>
      <w:r>
        <w:rPr>
          <w:rFonts w:ascii="Arial" w:cs="Arial" w:eastAsia="Arial" w:hAnsi="Arial"/>
          <w:sz w:val="18"/>
          <w:szCs w:val="18"/>
          <w:u w:val="single" w:color="auto"/>
          <w:color w:val="auto"/>
        </w:rPr>
        <w:t>2021-2023 Performance Period</w:t>
      </w:r>
    </w:p>
    <w:p>
      <w:pPr>
        <w:spacing w:after="0" w:line="117" w:lineRule="exact"/>
        <w:rPr>
          <w:sz w:val="20"/>
          <w:szCs w:val="20"/>
          <w:color w:val="auto"/>
        </w:rPr>
      </w:pPr>
    </w:p>
    <w:p>
      <w:pPr>
        <w:ind w:left="340"/>
        <w:spacing w:after="0" w:line="254" w:lineRule="auto"/>
        <w:rPr>
          <w:sz w:val="20"/>
          <w:szCs w:val="20"/>
          <w:color w:val="auto"/>
        </w:rPr>
      </w:pPr>
      <w:r>
        <w:rPr>
          <w:rFonts w:ascii="Arial" w:cs="Arial" w:eastAsia="Arial" w:hAnsi="Arial"/>
          <w:sz w:val="18"/>
          <w:szCs w:val="18"/>
          <w:color w:val="auto"/>
        </w:rPr>
        <w:t>Subsequent to the end of fiscal 2020, on March 8, 2021, the Compensation Committee established and approved the metric for the 2021-2023 performance period under the LTIP. Consistent with the 2020-2022 LTIP, because of the uncertainty regarding the duration of the pandemic and the timetable for economic recovery, the Compensation Committee did not establish financial goals and instead established a 3-year relative total shareholder return (similar to the 2020-2022 LTIP) as the only metric under the 2021-2023 LTIP. In addition, because of the Company’s low stock price and the limited availability of shares under the 2016 Plan, the Compensation Committee granted the time-based awards for this LTIP in a combination of 25% stock options and 75% cash. The use of stock options allows for less usage of shares under the 2016 Plan and aligns with the interests of our shareholders.</w:t>
      </w:r>
    </w:p>
    <w:p>
      <w:pPr>
        <w:spacing w:after="0" w:line="195" w:lineRule="exact"/>
        <w:rPr>
          <w:sz w:val="20"/>
          <w:szCs w:val="20"/>
          <w:color w:val="auto"/>
        </w:rPr>
      </w:pPr>
    </w:p>
    <w:p>
      <w:pPr>
        <w:ind w:left="260" w:hanging="253"/>
        <w:spacing w:after="0"/>
        <w:tabs>
          <w:tab w:leader="none" w:pos="26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Discretionary Cash and Equity Awards</w:t>
      </w:r>
    </w:p>
    <w:p>
      <w:pPr>
        <w:spacing w:after="0" w:line="117" w:lineRule="exact"/>
        <w:rPr>
          <w:sz w:val="20"/>
          <w:szCs w:val="20"/>
          <w:color w:val="auto"/>
        </w:rPr>
      </w:pPr>
    </w:p>
    <w:p>
      <w:pPr>
        <w:ind w:left="280"/>
        <w:spacing w:after="0"/>
        <w:rPr>
          <w:sz w:val="20"/>
          <w:szCs w:val="20"/>
          <w:color w:val="auto"/>
        </w:rPr>
      </w:pPr>
      <w:r>
        <w:rPr>
          <w:rFonts w:ascii="Arial" w:cs="Arial" w:eastAsia="Arial" w:hAnsi="Arial"/>
          <w:sz w:val="17"/>
          <w:szCs w:val="17"/>
          <w:color w:val="auto"/>
        </w:rPr>
        <w:t>In particular circumstances, we may utilize cash signing bonuses and equity-based awards when certain employees join the Company.</w:t>
      </w:r>
    </w:p>
    <w:p>
      <w:pPr>
        <w:spacing w:after="0" w:line="129" w:lineRule="exact"/>
        <w:rPr>
          <w:sz w:val="20"/>
          <w:szCs w:val="20"/>
          <w:color w:val="auto"/>
        </w:rPr>
      </w:pPr>
    </w:p>
    <w:p>
      <w:pPr>
        <w:ind w:left="280"/>
        <w:spacing w:after="0" w:line="296" w:lineRule="auto"/>
        <w:rPr>
          <w:sz w:val="20"/>
          <w:szCs w:val="20"/>
          <w:color w:val="auto"/>
        </w:rPr>
      </w:pPr>
      <w:r>
        <w:rPr>
          <w:rFonts w:ascii="Arial" w:cs="Arial" w:eastAsia="Arial" w:hAnsi="Arial"/>
          <w:sz w:val="16"/>
          <w:szCs w:val="16"/>
          <w:color w:val="auto"/>
        </w:rPr>
        <w:t>In June 2020, the Board, at the recommendation of the Compensation Committee, granted Mr. Kanter a stock option to purchase up to 450,000 shares of common stock, at an exercise price of $0.64 per share, which will vest in three equal installments, with the first tranche vesting on June 10, 2021, the second tranche on April 1, 2022 and remaining tranche on April 1, 2023. In approving the award, the Compensation Committee, in consultation with Segal, determined that it was important to preserve continuity of leadership through the COVID-19 pandemic and the uncertain recovery period, and accordingly to provide Mr. Kanter with a long-term equity incentive that aligns his interests with those of our stockholders.</w:t>
      </w:r>
    </w:p>
    <w:p>
      <w:pPr>
        <w:spacing w:after="0" w:line="53" w:lineRule="exact"/>
        <w:rPr>
          <w:sz w:val="20"/>
          <w:szCs w:val="20"/>
          <w:color w:val="auto"/>
        </w:rPr>
      </w:pPr>
    </w:p>
    <w:p>
      <w:pPr>
        <w:ind w:left="260" w:hanging="253"/>
        <w:spacing w:after="0"/>
        <w:tabs>
          <w:tab w:leader="none" w:pos="26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Other Compensation</w:t>
      </w:r>
    </w:p>
    <w:p>
      <w:pPr>
        <w:spacing w:after="0" w:line="117" w:lineRule="exact"/>
        <w:rPr>
          <w:sz w:val="20"/>
          <w:szCs w:val="20"/>
          <w:color w:val="auto"/>
        </w:rPr>
      </w:pPr>
    </w:p>
    <w:p>
      <w:pPr>
        <w:ind w:left="280" w:right="560"/>
        <w:spacing w:after="0" w:line="277" w:lineRule="auto"/>
        <w:rPr>
          <w:sz w:val="20"/>
          <w:szCs w:val="20"/>
          <w:color w:val="auto"/>
        </w:rPr>
      </w:pPr>
      <w:r>
        <w:rPr>
          <w:rFonts w:ascii="Arial" w:cs="Arial" w:eastAsia="Arial" w:hAnsi="Arial"/>
          <w:sz w:val="18"/>
          <w:szCs w:val="18"/>
          <w:color w:val="auto"/>
        </w:rPr>
        <w:t>We offer our Senior Executives, including our Named Executive Officers, supplemental disability insurance and long-term care and pay a portion of the premiums, which we do not do for our other employees.</w:t>
      </w:r>
    </w:p>
    <w:p>
      <w:pPr>
        <w:spacing w:after="0" w:line="62" w:lineRule="exact"/>
        <w:rPr>
          <w:sz w:val="20"/>
          <w:szCs w:val="20"/>
          <w:color w:val="auto"/>
        </w:rPr>
      </w:pPr>
    </w:p>
    <w:p>
      <w:pPr>
        <w:jc w:val="both"/>
        <w:ind w:left="280"/>
        <w:spacing w:after="0" w:line="277" w:lineRule="auto"/>
        <w:rPr>
          <w:sz w:val="20"/>
          <w:szCs w:val="20"/>
          <w:color w:val="auto"/>
        </w:rPr>
      </w:pPr>
      <w:r>
        <w:rPr>
          <w:rFonts w:ascii="Arial" w:cs="Arial" w:eastAsia="Arial" w:hAnsi="Arial"/>
          <w:sz w:val="18"/>
          <w:szCs w:val="18"/>
          <w:color w:val="auto"/>
        </w:rPr>
        <w:t>Our Named Executive Officers also receive benefits under certain group health, long-term disability and life insurance plans, which are generally available to all of our eligible employees.</w:t>
      </w:r>
    </w:p>
    <w:p>
      <w:pPr>
        <w:spacing w:after="0" w:line="170" w:lineRule="exact"/>
        <w:rPr>
          <w:sz w:val="20"/>
          <w:szCs w:val="20"/>
          <w:color w:val="auto"/>
        </w:rPr>
      </w:pPr>
    </w:p>
    <w:p>
      <w:pPr>
        <w:jc w:val="both"/>
        <w:ind w:left="260"/>
        <w:spacing w:after="0" w:line="254" w:lineRule="auto"/>
        <w:rPr>
          <w:sz w:val="20"/>
          <w:szCs w:val="20"/>
          <w:color w:val="auto"/>
        </w:rPr>
      </w:pPr>
      <w:r>
        <w:rPr>
          <w:rFonts w:ascii="Arial" w:cs="Arial" w:eastAsia="Arial" w:hAnsi="Arial"/>
          <w:sz w:val="18"/>
          <w:szCs w:val="18"/>
          <w:color w:val="auto"/>
        </w:rPr>
        <w:t>After six months of service with us, all of our employees, including our Named Executive Officers, are eligible to participate in our 401(k) Plan, and after one year of employment are eligible for a Company match. In the second quarter of fiscal 2018, the Board ratified and approved the recommendation of the Company’s management team to suspend employer contributions to the 401(k) Plan, for the period from July 1, 2018 until December 31, 2019. Effective January 1, 2020, the 401(k) Plan resumed its qualified automatic contribution arrangement (“QACA”) status, and accordingly an employer match was earned in fiscal 2020. However, for the 2021 plan year, the Company has suspended its QACA safe harbor and, while the Company has the discretion to make an employer match for 2021, it will not be required. The Company has the option to resume its QACA status in 2022.</w:t>
      </w:r>
    </w:p>
    <w:p>
      <w:pPr>
        <w:spacing w:after="0" w:line="87" w:lineRule="exact"/>
        <w:rPr>
          <w:sz w:val="20"/>
          <w:szCs w:val="20"/>
          <w:color w:val="auto"/>
        </w:rPr>
      </w:pPr>
    </w:p>
    <w:p>
      <w:pPr>
        <w:ind w:left="280" w:right="20"/>
        <w:spacing w:after="0" w:line="275" w:lineRule="auto"/>
        <w:rPr>
          <w:sz w:val="20"/>
          <w:szCs w:val="20"/>
          <w:color w:val="auto"/>
        </w:rPr>
      </w:pPr>
      <w:r>
        <w:rPr>
          <w:rFonts w:ascii="Arial" w:cs="Arial" w:eastAsia="Arial" w:hAnsi="Arial"/>
          <w:sz w:val="17"/>
          <w:szCs w:val="17"/>
          <w:color w:val="auto"/>
        </w:rPr>
        <w:t>We have employment agreements with our CEO and all of our other Named Executive Officers. Upon termination of employment, each executive is entitled to receive severance payments under his or her employment agreement(s) and under the Company’s incentive programs in the event of a termination without justifiable cause. These employment agreements and incentive programs, as they relate to terminations, are discussed in detail below in the section “</w:t>
      </w:r>
      <w:r>
        <w:rPr>
          <w:rFonts w:ascii="Arial" w:cs="Arial" w:eastAsia="Arial" w:hAnsi="Arial"/>
          <w:sz w:val="17"/>
          <w:szCs w:val="17"/>
          <w:i w:val="1"/>
          <w:iCs w:val="1"/>
          <w:color w:val="auto"/>
        </w:rPr>
        <w:t>Employment Agreements</w:t>
      </w:r>
      <w:r>
        <w:rPr>
          <w:rFonts w:ascii="Arial" w:cs="Arial" w:eastAsia="Arial" w:hAnsi="Arial"/>
          <w:sz w:val="17"/>
          <w:szCs w:val="17"/>
          <w:color w:val="auto"/>
        </w:rPr>
        <w:t>” following the “</w:t>
      </w:r>
      <w:r>
        <w:rPr>
          <w:rFonts w:ascii="Arial" w:cs="Arial" w:eastAsia="Arial" w:hAnsi="Arial"/>
          <w:sz w:val="17"/>
          <w:szCs w:val="17"/>
          <w:i w:val="1"/>
          <w:iCs w:val="1"/>
          <w:color w:val="auto"/>
        </w:rPr>
        <w:t>Summary Compensation Table</w:t>
      </w:r>
      <w:r>
        <w:rPr>
          <w:rFonts w:ascii="Arial" w:cs="Arial" w:eastAsia="Arial" w:hAnsi="Arial"/>
          <w:sz w:val="17"/>
          <w:szCs w:val="17"/>
          <w:color w:val="auto"/>
        </w:rPr>
        <w:t>.” Our employment agreements do not contain any tax gross-ups pursuant to Section 280(g) of the Internal Revenue Code.</w:t>
      </w:r>
    </w:p>
    <w:p>
      <w:pPr>
        <w:spacing w:after="0" w:line="68" w:lineRule="exact"/>
        <w:rPr>
          <w:sz w:val="20"/>
          <w:szCs w:val="20"/>
          <w:color w:val="auto"/>
        </w:rPr>
      </w:pPr>
    </w:p>
    <w:p>
      <w:pPr>
        <w:ind w:left="260" w:hanging="253"/>
        <w:spacing w:after="0"/>
        <w:tabs>
          <w:tab w:leader="none" w:pos="26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Tax Implications</w:t>
      </w:r>
    </w:p>
    <w:p>
      <w:pPr>
        <w:spacing w:after="0" w:line="117" w:lineRule="exact"/>
        <w:rPr>
          <w:sz w:val="20"/>
          <w:szCs w:val="20"/>
          <w:color w:val="auto"/>
        </w:rPr>
      </w:pPr>
    </w:p>
    <w:p>
      <w:pPr>
        <w:ind w:left="280" w:right="160"/>
        <w:spacing w:after="0" w:line="255" w:lineRule="auto"/>
        <w:rPr>
          <w:sz w:val="20"/>
          <w:szCs w:val="20"/>
          <w:color w:val="auto"/>
        </w:rPr>
      </w:pPr>
      <w:r>
        <w:rPr>
          <w:rFonts w:ascii="Arial" w:cs="Arial" w:eastAsia="Arial" w:hAnsi="Arial"/>
          <w:sz w:val="18"/>
          <w:szCs w:val="18"/>
          <w:color w:val="auto"/>
        </w:rPr>
        <w:t>The Tax Cut and Jobs Act of 2017 (“Tax Act”), among other things, repealed the performance-based compensation exemption under Section 162(m) of the Internal Revenue Code of 1986, as amended. In addition, the Tax Act expanded the group of officers whose compensation is subject to the Section 162(m) deduction limitations. Accordingly, the $1.0 million deduction limitation now applies to (i) anyone serving as the Company’s Chief Executive Officer or Chief Financial Officer at any time during the taxable year, (ii) the top three other highest compensated executive officers of the Company serving at the end of the taxable year and (iii) any individual who had been a covered employee for any taxable year of the Company that started after December 31, 2016.</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207645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0"/>
          </w:cols>
          <w:pgMar w:left="820" w:top="661"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COMPENSATION COMMITTEE REPORT</w:t>
      </w:r>
    </w:p>
    <w:p>
      <w:pPr>
        <w:spacing w:after="0" w:line="22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Compensation Committee has reviewed and discussed the Compensation Discussion and Analysis required by Item 402(b) of Regulation S-K with management and, based on this review and discussion, recommended to the Board of Directors that the Compensation Discussion and Analysis be included in this Form 10-K/A.</w:t>
      </w:r>
    </w:p>
    <w:p>
      <w:pPr>
        <w:spacing w:after="0" w:line="292"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The Compensation Committee</w:t>
      </w:r>
    </w:p>
    <w:p>
      <w:pPr>
        <w:spacing w:after="0" w:line="225"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Willem Mesdag, Chair</w:t>
      </w:r>
    </w:p>
    <w:p>
      <w:pPr>
        <w:spacing w:after="0" w:line="225"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Jack Boyle</w:t>
      </w:r>
    </w:p>
    <w:p>
      <w:pPr>
        <w:spacing w:after="0" w:line="225"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Lionel F. Conacher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sectPr>
      </w:pPr>
    </w:p>
    <w:bookmarkStart w:id="17" w:name="page18"/>
    <w:bookmarkEnd w:id="17"/>
    <w:p>
      <w:pPr>
        <w:ind w:right="20"/>
        <w:spacing w:after="0" w:line="277" w:lineRule="auto"/>
        <w:rPr>
          <w:sz w:val="20"/>
          <w:szCs w:val="20"/>
          <w:color w:val="auto"/>
        </w:rPr>
      </w:pPr>
      <w:r>
        <w:rPr>
          <w:rFonts w:ascii="Arial" w:cs="Arial" w:eastAsia="Arial" w:hAnsi="Arial"/>
          <w:sz w:val="18"/>
          <w:szCs w:val="18"/>
          <w:b w:val="1"/>
          <w:bCs w:val="1"/>
          <w:i w:val="1"/>
          <w:iCs w:val="1"/>
          <w:color w:val="auto"/>
        </w:rPr>
        <w:t>Summary Compensation Table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following Summary Compensation Table sets forth certain information regarding compensation paid or accrued by 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respect to our Named Executive Officers for fiscal 2020.</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98"/>
              </w:rPr>
              <w:t>Non-Equity</w:t>
            </w: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48"/>
        </w:trPr>
        <w:tc>
          <w:tcPr>
            <w:tcW w:w="3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5"/>
              </w:rPr>
              <w:t>Incentive</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8"/>
        </w:trPr>
        <w:tc>
          <w:tcPr>
            <w:tcW w:w="3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center"/>
              <w:ind w:right="55"/>
              <w:spacing w:after="0"/>
              <w:rPr>
                <w:sz w:val="20"/>
                <w:szCs w:val="20"/>
                <w:color w:val="auto"/>
              </w:rPr>
            </w:pPr>
            <w:r>
              <w:rPr>
                <w:rFonts w:ascii="Arial" w:cs="Arial" w:eastAsia="Arial" w:hAnsi="Arial"/>
                <w:sz w:val="13"/>
                <w:szCs w:val="13"/>
                <w:b w:val="1"/>
                <w:bCs w:val="1"/>
                <w:color w:val="auto"/>
                <w:w w:val="90"/>
              </w:rPr>
              <w:t>Stock</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rPr>
              <w:t>Option</w:t>
            </w:r>
          </w:p>
        </w:tc>
        <w:tc>
          <w:tcPr>
            <w:tcW w:w="120" w:type="dxa"/>
            <w:vAlign w:val="bottom"/>
          </w:tcPr>
          <w:p>
            <w:pPr>
              <w:spacing w:after="0"/>
              <w:rPr>
                <w:sz w:val="12"/>
                <w:szCs w:val="12"/>
                <w:color w:val="auto"/>
              </w:rPr>
            </w:pPr>
          </w:p>
        </w:tc>
        <w:tc>
          <w:tcPr>
            <w:tcW w:w="94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4"/>
              </w:rPr>
              <w:t>Plan</w:t>
            </w:r>
          </w:p>
        </w:tc>
        <w:tc>
          <w:tcPr>
            <w:tcW w:w="100" w:type="dxa"/>
            <w:vAlign w:val="bottom"/>
          </w:tcPr>
          <w:p>
            <w:pPr>
              <w:spacing w:after="0"/>
              <w:rPr>
                <w:sz w:val="12"/>
                <w:szCs w:val="12"/>
                <w:color w:val="auto"/>
              </w:rPr>
            </w:pPr>
          </w:p>
        </w:tc>
        <w:tc>
          <w:tcPr>
            <w:tcW w:w="940" w:type="dxa"/>
            <w:vAlign w:val="bottom"/>
            <w:gridSpan w:val="2"/>
          </w:tcPr>
          <w:p>
            <w:pPr>
              <w:ind w:left="40"/>
              <w:spacing w:after="0"/>
              <w:rPr>
                <w:sz w:val="20"/>
                <w:szCs w:val="20"/>
                <w:color w:val="auto"/>
              </w:rPr>
            </w:pPr>
            <w:r>
              <w:rPr>
                <w:rFonts w:ascii="Arial" w:cs="Arial" w:eastAsia="Arial" w:hAnsi="Arial"/>
                <w:sz w:val="13"/>
                <w:szCs w:val="13"/>
                <w:b w:val="1"/>
                <w:bCs w:val="1"/>
                <w:color w:val="auto"/>
              </w:rPr>
              <w:t>All Other</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8"/>
        </w:trPr>
        <w:tc>
          <w:tcPr>
            <w:tcW w:w="3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center"/>
              <w:ind w:right="55"/>
              <w:spacing w:after="0"/>
              <w:rPr>
                <w:sz w:val="20"/>
                <w:szCs w:val="20"/>
                <w:color w:val="auto"/>
              </w:rPr>
            </w:pPr>
            <w:r>
              <w:rPr>
                <w:rFonts w:ascii="Arial" w:cs="Arial" w:eastAsia="Arial" w:hAnsi="Arial"/>
                <w:sz w:val="13"/>
                <w:szCs w:val="13"/>
                <w:b w:val="1"/>
                <w:bCs w:val="1"/>
                <w:color w:val="auto"/>
                <w:w w:val="93"/>
              </w:rPr>
              <w:t>Awards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3"/>
              </w:rPr>
              <w:t>Awards</w:t>
            </w:r>
          </w:p>
        </w:tc>
        <w:tc>
          <w:tcPr>
            <w:tcW w:w="1060" w:type="dxa"/>
            <w:vAlign w:val="bottom"/>
            <w:gridSpan w:val="3"/>
          </w:tcPr>
          <w:p>
            <w:pPr>
              <w:spacing w:after="0"/>
              <w:rPr>
                <w:sz w:val="20"/>
                <w:szCs w:val="20"/>
                <w:color w:val="auto"/>
              </w:rPr>
            </w:pPr>
            <w:r>
              <w:rPr>
                <w:rFonts w:ascii="Arial" w:cs="Arial" w:eastAsia="Arial" w:hAnsi="Arial"/>
                <w:sz w:val="13"/>
                <w:szCs w:val="13"/>
                <w:b w:val="1"/>
                <w:bCs w:val="1"/>
                <w:color w:val="auto"/>
              </w:rPr>
              <w:t>Compensation</w:t>
            </w:r>
          </w:p>
        </w:tc>
        <w:tc>
          <w:tcPr>
            <w:tcW w:w="1040" w:type="dxa"/>
            <w:vAlign w:val="bottom"/>
            <w:gridSpan w:val="3"/>
          </w:tcPr>
          <w:p>
            <w:pPr>
              <w:spacing w:after="0"/>
              <w:rPr>
                <w:sz w:val="20"/>
                <w:szCs w:val="20"/>
                <w:color w:val="auto"/>
              </w:rPr>
            </w:pPr>
            <w:r>
              <w:rPr>
                <w:rFonts w:ascii="Arial" w:cs="Arial" w:eastAsia="Arial" w:hAnsi="Arial"/>
                <w:sz w:val="13"/>
                <w:szCs w:val="13"/>
                <w:b w:val="1"/>
                <w:bCs w:val="1"/>
                <w:color w:val="auto"/>
              </w:rPr>
              <w:t>Compensation</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1"/>
        </w:trPr>
        <w:tc>
          <w:tcPr>
            <w:tcW w:w="3400" w:type="dxa"/>
            <w:vAlign w:val="bottom"/>
          </w:tcPr>
          <w:p>
            <w:pPr>
              <w:spacing w:after="0"/>
              <w:rPr>
                <w:sz w:val="20"/>
                <w:szCs w:val="20"/>
                <w:color w:val="auto"/>
              </w:rPr>
            </w:pPr>
            <w:r>
              <w:rPr>
                <w:rFonts w:ascii="Arial" w:cs="Arial" w:eastAsia="Arial" w:hAnsi="Arial"/>
                <w:sz w:val="13"/>
                <w:szCs w:val="13"/>
                <w:b w:val="1"/>
                <w:bCs w:val="1"/>
                <w:color w:val="auto"/>
              </w:rPr>
              <w:t>Name and Principal Position</w:t>
            </w:r>
          </w:p>
        </w:tc>
        <w:tc>
          <w:tcPr>
            <w:tcW w:w="100" w:type="dxa"/>
            <w:vAlign w:val="bottom"/>
          </w:tcPr>
          <w:p>
            <w:pPr>
              <w:spacing w:after="0"/>
              <w:rPr>
                <w:sz w:val="14"/>
                <w:szCs w:val="14"/>
                <w:color w:val="auto"/>
              </w:rPr>
            </w:pPr>
          </w:p>
        </w:tc>
        <w:tc>
          <w:tcPr>
            <w:tcW w:w="380" w:type="dxa"/>
            <w:vAlign w:val="bottom"/>
          </w:tcPr>
          <w:p>
            <w:pPr>
              <w:jc w:val="center"/>
              <w:spacing w:after="0"/>
              <w:rPr>
                <w:sz w:val="20"/>
                <w:szCs w:val="20"/>
                <w:color w:val="auto"/>
              </w:rPr>
            </w:pPr>
            <w:r>
              <w:rPr>
                <w:rFonts w:ascii="Arial" w:cs="Arial" w:eastAsia="Arial" w:hAnsi="Arial"/>
                <w:sz w:val="13"/>
                <w:szCs w:val="13"/>
                <w:b w:val="1"/>
                <w:bCs w:val="1"/>
                <w:color w:val="auto"/>
                <w:w w:val="92"/>
              </w:rPr>
              <w:t>Year</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3"/>
                <w:szCs w:val="13"/>
                <w:b w:val="1"/>
                <w:bCs w:val="1"/>
                <w:color w:val="auto"/>
              </w:rPr>
              <w:t>Salary ($)</w:t>
            </w:r>
          </w:p>
        </w:tc>
        <w:tc>
          <w:tcPr>
            <w:tcW w:w="106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rPr>
              <w:t>Bonus ($)</w:t>
            </w:r>
          </w:p>
        </w:tc>
        <w:tc>
          <w:tcPr>
            <w:tcW w:w="140" w:type="dxa"/>
            <w:vAlign w:val="bottom"/>
          </w:tcPr>
          <w:p>
            <w:pPr>
              <w:spacing w:after="0"/>
              <w:rPr>
                <w:sz w:val="14"/>
                <w:szCs w:val="14"/>
                <w:color w:val="auto"/>
              </w:rPr>
            </w:pPr>
          </w:p>
        </w:tc>
        <w:tc>
          <w:tcPr>
            <w:tcW w:w="700" w:type="dxa"/>
            <w:vAlign w:val="bottom"/>
          </w:tcPr>
          <w:p>
            <w:pPr>
              <w:jc w:val="center"/>
              <w:ind w:right="75"/>
              <w:spacing w:after="0"/>
              <w:rPr>
                <w:sz w:val="20"/>
                <w:szCs w:val="20"/>
                <w:color w:val="auto"/>
              </w:rPr>
            </w:pPr>
            <w:r>
              <w:rPr>
                <w:rFonts w:ascii="Arial" w:cs="Arial" w:eastAsia="Arial" w:hAnsi="Arial"/>
                <w:sz w:val="13"/>
                <w:szCs w:val="13"/>
                <w:b w:val="1"/>
                <w:bCs w:val="1"/>
                <w:color w:val="auto"/>
                <w:w w:val="95"/>
              </w:rPr>
              <w:t>($) (1)</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center"/>
              <w:ind w:right="15"/>
              <w:spacing w:after="0"/>
              <w:rPr>
                <w:sz w:val="20"/>
                <w:szCs w:val="20"/>
                <w:color w:val="auto"/>
              </w:rPr>
            </w:pPr>
            <w:r>
              <w:rPr>
                <w:rFonts w:ascii="Arial" w:cs="Arial" w:eastAsia="Arial" w:hAnsi="Arial"/>
                <w:sz w:val="13"/>
                <w:szCs w:val="13"/>
                <w:b w:val="1"/>
                <w:bCs w:val="1"/>
                <w:color w:val="auto"/>
                <w:w w:val="98"/>
              </w:rPr>
              <w:t>($) (1) (2)</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center"/>
              <w:ind w:right="35"/>
              <w:spacing w:after="0"/>
              <w:rPr>
                <w:sz w:val="20"/>
                <w:szCs w:val="20"/>
                <w:color w:val="auto"/>
              </w:rPr>
            </w:pPr>
            <w:r>
              <w:rPr>
                <w:rFonts w:ascii="Arial" w:cs="Arial" w:eastAsia="Arial" w:hAnsi="Arial"/>
                <w:sz w:val="13"/>
                <w:szCs w:val="13"/>
                <w:b w:val="1"/>
                <w:bCs w:val="1"/>
                <w:color w:val="auto"/>
              </w:rPr>
              <w:t>($)(3)</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193"/>
              <w:spacing w:after="0"/>
              <w:rPr>
                <w:sz w:val="20"/>
                <w:szCs w:val="20"/>
                <w:color w:val="auto"/>
              </w:rPr>
            </w:pPr>
            <w:r>
              <w:rPr>
                <w:rFonts w:ascii="Arial" w:cs="Arial" w:eastAsia="Arial" w:hAnsi="Arial"/>
                <w:sz w:val="13"/>
                <w:szCs w:val="13"/>
                <w:b w:val="1"/>
                <w:bCs w:val="1"/>
                <w:color w:val="auto"/>
              </w:rPr>
              <w:t>($)(4)</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ind w:left="60"/>
              <w:spacing w:after="0"/>
              <w:rPr>
                <w:sz w:val="20"/>
                <w:szCs w:val="20"/>
                <w:color w:val="auto"/>
              </w:rPr>
            </w:pPr>
            <w:r>
              <w:rPr>
                <w:rFonts w:ascii="Arial" w:cs="Arial" w:eastAsia="Arial" w:hAnsi="Arial"/>
                <w:sz w:val="13"/>
                <w:szCs w:val="13"/>
                <w:b w:val="1"/>
                <w:bCs w:val="1"/>
                <w:color w:val="auto"/>
              </w:rPr>
              <w:t>Total ($)</w:t>
            </w:r>
          </w:p>
        </w:tc>
      </w:tr>
      <w:tr>
        <w:trPr>
          <w:trHeight w:val="223"/>
        </w:trPr>
        <w:tc>
          <w:tcPr>
            <w:tcW w:w="34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Harvey S. Kanter</w:t>
            </w:r>
          </w:p>
        </w:tc>
        <w:tc>
          <w:tcPr>
            <w:tcW w:w="10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2020</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686,942</w:t>
            </w:r>
          </w:p>
        </w:tc>
        <w:tc>
          <w:tcPr>
            <w:tcW w:w="22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89"/>
              </w:rPr>
              <w:t>$ 436,880</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902,425</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84,682</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87"/>
              </w:rPr>
              <w:t>2,110,929</w:t>
            </w:r>
          </w:p>
        </w:tc>
        <w:tc>
          <w:tcPr>
            <w:tcW w:w="60" w:type="dxa"/>
            <w:vAlign w:val="bottom"/>
            <w:tcBorders>
              <w:top w:val="single" w:sz="8" w:color="CFF0FC"/>
            </w:tcBorders>
            <w:shd w:val="clear" w:color="auto" w:fill="CFF0FC"/>
          </w:tcPr>
          <w:p>
            <w:pPr>
              <w:spacing w:after="0"/>
              <w:rPr>
                <w:sz w:val="19"/>
                <w:szCs w:val="19"/>
                <w:color w:val="auto"/>
              </w:rPr>
            </w:pPr>
          </w:p>
        </w:tc>
      </w:tr>
      <w:tr>
        <w:trPr>
          <w:trHeight w:val="229"/>
        </w:trPr>
        <w:tc>
          <w:tcPr>
            <w:tcW w:w="3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President and Chief Executive Officer</w:t>
            </w: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2019</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671,923</w:t>
            </w:r>
          </w:p>
        </w:tc>
        <w:tc>
          <w:tcPr>
            <w:tcW w:w="2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86"/>
              </w:rPr>
              <w:t>$ 1,941,974</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435,346</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114,824</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87"/>
              </w:rPr>
              <w:t>3,164,067</w:t>
            </w:r>
          </w:p>
        </w:tc>
        <w:tc>
          <w:tcPr>
            <w:tcW w:w="60" w:type="dxa"/>
            <w:vAlign w:val="bottom"/>
          </w:tcPr>
          <w:p>
            <w:pPr>
              <w:spacing w:after="0"/>
              <w:rPr>
                <w:sz w:val="19"/>
                <w:szCs w:val="19"/>
                <w:color w:val="auto"/>
              </w:rPr>
            </w:pPr>
          </w:p>
        </w:tc>
      </w:tr>
      <w:tr>
        <w:trPr>
          <w:trHeight w:val="162"/>
        </w:trPr>
        <w:tc>
          <w:tcPr>
            <w:tcW w:w="34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tcBorders>
              <w:right w:val="single" w:sz="8" w:color="CFF0FC"/>
            </w:tcBorders>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r>
      <w:tr>
        <w:trPr>
          <w:trHeight w:val="229"/>
        </w:trPr>
        <w:tc>
          <w:tcPr>
            <w:tcW w:w="3400" w:type="dxa"/>
            <w:vAlign w:val="bottom"/>
          </w:tcPr>
          <w:p>
            <w:pPr>
              <w:spacing w:after="0"/>
              <w:rPr>
                <w:sz w:val="20"/>
                <w:szCs w:val="20"/>
                <w:color w:val="auto"/>
              </w:rPr>
            </w:pPr>
            <w:r>
              <w:rPr>
                <w:rFonts w:ascii="Arial" w:cs="Arial" w:eastAsia="Arial" w:hAnsi="Arial"/>
                <w:sz w:val="18"/>
                <w:szCs w:val="18"/>
                <w:color w:val="auto"/>
              </w:rPr>
              <w:t>Peter H. Stratton, Jr.</w:t>
            </w:r>
          </w:p>
        </w:tc>
        <w:tc>
          <w:tcPr>
            <w:tcW w:w="100" w:type="dxa"/>
            <w:vAlign w:val="bottom"/>
          </w:tcPr>
          <w:p>
            <w:pPr>
              <w:spacing w:after="0"/>
              <w:rPr>
                <w:sz w:val="19"/>
                <w:szCs w:val="19"/>
                <w:color w:val="auto"/>
              </w:rPr>
            </w:pPr>
          </w:p>
        </w:tc>
        <w:tc>
          <w:tcPr>
            <w:tcW w:w="380" w:type="dxa"/>
            <w:vAlign w:val="bottom"/>
          </w:tcPr>
          <w:p>
            <w:pPr>
              <w:jc w:val="center"/>
              <w:spacing w:after="0"/>
              <w:rPr>
                <w:sz w:val="20"/>
                <w:szCs w:val="20"/>
                <w:color w:val="auto"/>
              </w:rPr>
            </w:pPr>
            <w:r>
              <w:rPr>
                <w:rFonts w:ascii="Arial" w:cs="Arial" w:eastAsia="Arial" w:hAnsi="Arial"/>
                <w:sz w:val="18"/>
                <w:szCs w:val="18"/>
                <w:color w:val="auto"/>
                <w:w w:val="89"/>
              </w:rPr>
              <w:t>2020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369,173</w:t>
            </w:r>
          </w:p>
        </w:tc>
        <w:tc>
          <w:tcPr>
            <w:tcW w:w="220" w:type="dxa"/>
            <w:vAlign w:val="bottom"/>
          </w:tcPr>
          <w:p>
            <w:pPr>
              <w:spacing w:after="0"/>
              <w:rPr>
                <w:sz w:val="19"/>
                <w:szCs w:val="19"/>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61,358</w:t>
            </w:r>
          </w:p>
        </w:tc>
        <w:tc>
          <w:tcPr>
            <w:tcW w:w="22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200,022</w:t>
            </w:r>
          </w:p>
        </w:tc>
        <w:tc>
          <w:tcPr>
            <w:tcW w:w="2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25,472</w:t>
            </w: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656,025</w:t>
            </w:r>
          </w:p>
        </w:tc>
        <w:tc>
          <w:tcPr>
            <w:tcW w:w="60" w:type="dxa"/>
            <w:vAlign w:val="bottom"/>
          </w:tcPr>
          <w:p>
            <w:pPr>
              <w:spacing w:after="0"/>
              <w:rPr>
                <w:sz w:val="19"/>
                <w:szCs w:val="19"/>
                <w:color w:val="auto"/>
              </w:rPr>
            </w:pPr>
          </w:p>
        </w:tc>
      </w:tr>
      <w:tr>
        <w:trPr>
          <w:trHeight w:val="229"/>
        </w:trPr>
        <w:tc>
          <w:tcPr>
            <w:tcW w:w="3400" w:type="dxa"/>
            <w:vAlign w:val="bottom"/>
          </w:tcPr>
          <w:p>
            <w:pPr>
              <w:ind w:left="260"/>
              <w:spacing w:after="0"/>
              <w:rPr>
                <w:sz w:val="20"/>
                <w:szCs w:val="20"/>
                <w:color w:val="auto"/>
              </w:rPr>
            </w:pPr>
            <w:r>
              <w:rPr>
                <w:rFonts w:ascii="Arial" w:cs="Arial" w:eastAsia="Arial" w:hAnsi="Arial"/>
                <w:sz w:val="18"/>
                <w:szCs w:val="18"/>
                <w:color w:val="auto"/>
              </w:rPr>
              <w:t>Executive Vice President, Chief</w:t>
            </w:r>
          </w:p>
        </w:tc>
        <w:tc>
          <w:tcPr>
            <w:tcW w:w="480" w:type="dxa"/>
            <w:vAlign w:val="bottom"/>
            <w:gridSpan w:val="2"/>
          </w:tcPr>
          <w:p>
            <w:pPr>
              <w:jc w:val="center"/>
              <w:spacing w:after="0"/>
              <w:rPr>
                <w:sz w:val="20"/>
                <w:szCs w:val="20"/>
                <w:color w:val="auto"/>
              </w:rPr>
            </w:pPr>
            <w:r>
              <w:rPr>
                <w:rFonts w:ascii="Arial" w:cs="Arial" w:eastAsia="Arial" w:hAnsi="Arial"/>
                <w:sz w:val="18"/>
                <w:szCs w:val="18"/>
                <w:color w:val="auto"/>
                <w:w w:val="89"/>
              </w:rPr>
              <w:t>2019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395,000</w:t>
            </w:r>
          </w:p>
        </w:tc>
        <w:tc>
          <w:tcPr>
            <w:tcW w:w="220" w:type="dxa"/>
            <w:vAlign w:val="bottom"/>
          </w:tcPr>
          <w:p>
            <w:pPr>
              <w:spacing w:after="0"/>
              <w:rPr>
                <w:sz w:val="19"/>
                <w:szCs w:val="19"/>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69,123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108,625</w:t>
            </w:r>
          </w:p>
        </w:tc>
        <w:tc>
          <w:tcPr>
            <w:tcW w:w="2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15,497</w:t>
            </w: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588,245</w:t>
            </w:r>
          </w:p>
        </w:tc>
        <w:tc>
          <w:tcPr>
            <w:tcW w:w="60" w:type="dxa"/>
            <w:vAlign w:val="bottom"/>
          </w:tcPr>
          <w:p>
            <w:pPr>
              <w:spacing w:after="0"/>
              <w:rPr>
                <w:sz w:val="19"/>
                <w:szCs w:val="19"/>
                <w:color w:val="auto"/>
              </w:rPr>
            </w:pPr>
          </w:p>
        </w:tc>
      </w:tr>
      <w:tr>
        <w:trPr>
          <w:trHeight w:val="230"/>
        </w:trPr>
        <w:tc>
          <w:tcPr>
            <w:tcW w:w="3400" w:type="dxa"/>
            <w:vAlign w:val="bottom"/>
          </w:tcPr>
          <w:p>
            <w:pPr>
              <w:ind w:left="260"/>
              <w:spacing w:after="0"/>
              <w:rPr>
                <w:sz w:val="20"/>
                <w:szCs w:val="20"/>
                <w:color w:val="auto"/>
              </w:rPr>
            </w:pPr>
            <w:r>
              <w:rPr>
                <w:rFonts w:ascii="Arial" w:cs="Arial" w:eastAsia="Arial" w:hAnsi="Arial"/>
                <w:sz w:val="18"/>
                <w:szCs w:val="18"/>
                <w:color w:val="auto"/>
              </w:rPr>
              <w:t>Financial Officer and Treasurer</w:t>
            </w:r>
          </w:p>
        </w:tc>
        <w:tc>
          <w:tcPr>
            <w:tcW w:w="480" w:type="dxa"/>
            <w:vAlign w:val="bottom"/>
            <w:gridSpan w:val="2"/>
          </w:tcPr>
          <w:p>
            <w:pPr>
              <w:jc w:val="center"/>
              <w:spacing w:after="0"/>
              <w:rPr>
                <w:sz w:val="20"/>
                <w:szCs w:val="20"/>
                <w:color w:val="auto"/>
              </w:rPr>
            </w:pPr>
            <w:r>
              <w:rPr>
                <w:rFonts w:ascii="Arial" w:cs="Arial" w:eastAsia="Arial" w:hAnsi="Arial"/>
                <w:sz w:val="18"/>
                <w:szCs w:val="18"/>
                <w:color w:val="auto"/>
                <w:w w:val="89"/>
              </w:rPr>
              <w:t>2018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395,000</w:t>
            </w:r>
          </w:p>
        </w:tc>
        <w:tc>
          <w:tcPr>
            <w:tcW w:w="220" w:type="dxa"/>
            <w:vAlign w:val="bottom"/>
          </w:tcPr>
          <w:p>
            <w:pPr>
              <w:spacing w:after="0"/>
              <w:rPr>
                <w:sz w:val="20"/>
                <w:szCs w:val="20"/>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169,307</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232,240</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25,122</w:t>
            </w:r>
          </w:p>
        </w:tc>
        <w:tc>
          <w:tcPr>
            <w:tcW w:w="2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821,669</w:t>
            </w:r>
          </w:p>
        </w:tc>
        <w:tc>
          <w:tcPr>
            <w:tcW w:w="60" w:type="dxa"/>
            <w:vAlign w:val="bottom"/>
          </w:tcPr>
          <w:p>
            <w:pPr>
              <w:spacing w:after="0"/>
              <w:rPr>
                <w:sz w:val="20"/>
                <w:szCs w:val="20"/>
                <w:color w:val="auto"/>
              </w:rPr>
            </w:pPr>
          </w:p>
        </w:tc>
      </w:tr>
      <w:tr>
        <w:trPr>
          <w:trHeight w:val="229"/>
        </w:trPr>
        <w:tc>
          <w:tcPr>
            <w:tcW w:w="3400" w:type="dxa"/>
            <w:vAlign w:val="bottom"/>
          </w:tcPr>
          <w:p>
            <w:pPr>
              <w:spacing w:after="0"/>
              <w:rPr>
                <w:sz w:val="19"/>
                <w:szCs w:val="19"/>
                <w:color w:val="auto"/>
              </w:rPr>
            </w:pPr>
          </w:p>
        </w:tc>
        <w:tc>
          <w:tcPr>
            <w:tcW w:w="480" w:type="dxa"/>
            <w:vAlign w:val="bottom"/>
            <w:gridSpan w:val="2"/>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3400" w:type="dxa"/>
            <w:vAlign w:val="bottom"/>
            <w:shd w:val="clear" w:color="auto" w:fill="CFF0FC"/>
          </w:tcPr>
          <w:p>
            <w:pPr>
              <w:spacing w:after="0"/>
              <w:rPr>
                <w:sz w:val="20"/>
                <w:szCs w:val="20"/>
                <w:color w:val="auto"/>
              </w:rPr>
            </w:pPr>
            <w:r>
              <w:rPr>
                <w:rFonts w:ascii="Arial" w:cs="Arial" w:eastAsia="Arial" w:hAnsi="Arial"/>
                <w:sz w:val="18"/>
                <w:szCs w:val="18"/>
                <w:color w:val="auto"/>
              </w:rPr>
              <w:t>Ujjwal Dhoot</w:t>
            </w:r>
          </w:p>
        </w:tc>
        <w:tc>
          <w:tcPr>
            <w:tcW w:w="48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89"/>
              </w:rPr>
              <w:t>2020</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322,885</w:t>
            </w:r>
          </w:p>
        </w:tc>
        <w:tc>
          <w:tcPr>
            <w:tcW w:w="2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90"/>
              </w:rPr>
              <w:t>$ 100,000  (5)</w:t>
            </w: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46,601</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135,351</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9,975</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614,812</w:t>
            </w:r>
          </w:p>
        </w:tc>
        <w:tc>
          <w:tcPr>
            <w:tcW w:w="60" w:type="dxa"/>
            <w:vAlign w:val="bottom"/>
          </w:tcPr>
          <w:p>
            <w:pPr>
              <w:spacing w:after="0"/>
              <w:rPr>
                <w:sz w:val="19"/>
                <w:szCs w:val="19"/>
                <w:color w:val="auto"/>
              </w:rPr>
            </w:pPr>
          </w:p>
        </w:tc>
      </w:tr>
      <w:tr>
        <w:trPr>
          <w:trHeight w:val="230"/>
        </w:trPr>
        <w:tc>
          <w:tcPr>
            <w:tcW w:w="3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Chief Marketing Officer</w:t>
            </w: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tcBorders>
              <w:right w:val="single" w:sz="8" w:color="CFF0FC"/>
            </w:tcBorders>
            <w:shd w:val="clear" w:color="auto" w:fill="CFF0FC"/>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3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tcBorders>
              <w:right w:val="single" w:sz="8" w:color="CFF0FC"/>
            </w:tcBorders>
            <w:shd w:val="clear" w:color="auto" w:fill="CFF0FC"/>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3400" w:type="dxa"/>
            <w:vAlign w:val="bottom"/>
          </w:tcPr>
          <w:p>
            <w:pPr>
              <w:spacing w:after="0"/>
              <w:rPr>
                <w:sz w:val="20"/>
                <w:szCs w:val="20"/>
                <w:color w:val="auto"/>
              </w:rPr>
            </w:pPr>
            <w:r>
              <w:rPr>
                <w:rFonts w:ascii="Arial" w:cs="Arial" w:eastAsia="Arial" w:hAnsi="Arial"/>
                <w:sz w:val="18"/>
                <w:szCs w:val="18"/>
                <w:color w:val="auto"/>
              </w:rPr>
              <w:t>Robert S. Molloy</w:t>
            </w:r>
          </w:p>
        </w:tc>
        <w:tc>
          <w:tcPr>
            <w:tcW w:w="100" w:type="dxa"/>
            <w:vAlign w:val="bottom"/>
          </w:tcPr>
          <w:p>
            <w:pPr>
              <w:spacing w:after="0"/>
              <w:rPr>
                <w:sz w:val="19"/>
                <w:szCs w:val="19"/>
                <w:color w:val="auto"/>
              </w:rPr>
            </w:pPr>
          </w:p>
        </w:tc>
        <w:tc>
          <w:tcPr>
            <w:tcW w:w="380" w:type="dxa"/>
            <w:vAlign w:val="bottom"/>
          </w:tcPr>
          <w:p>
            <w:pPr>
              <w:jc w:val="center"/>
              <w:spacing w:after="0"/>
              <w:rPr>
                <w:sz w:val="20"/>
                <w:szCs w:val="20"/>
                <w:color w:val="auto"/>
              </w:rPr>
            </w:pPr>
            <w:r>
              <w:rPr>
                <w:rFonts w:ascii="Arial" w:cs="Arial" w:eastAsia="Arial" w:hAnsi="Arial"/>
                <w:sz w:val="18"/>
                <w:szCs w:val="18"/>
                <w:color w:val="auto"/>
                <w:w w:val="89"/>
              </w:rPr>
              <w:t>2020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350,481</w:t>
            </w:r>
          </w:p>
        </w:tc>
        <w:tc>
          <w:tcPr>
            <w:tcW w:w="220" w:type="dxa"/>
            <w:vAlign w:val="bottom"/>
          </w:tcPr>
          <w:p>
            <w:pPr>
              <w:spacing w:after="0"/>
              <w:rPr>
                <w:sz w:val="19"/>
                <w:szCs w:val="19"/>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58,251</w:t>
            </w:r>
          </w:p>
        </w:tc>
        <w:tc>
          <w:tcPr>
            <w:tcW w:w="22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156,598</w:t>
            </w:r>
          </w:p>
        </w:tc>
        <w:tc>
          <w:tcPr>
            <w:tcW w:w="2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27,595</w:t>
            </w: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592,925</w:t>
            </w:r>
          </w:p>
        </w:tc>
        <w:tc>
          <w:tcPr>
            <w:tcW w:w="60" w:type="dxa"/>
            <w:vAlign w:val="bottom"/>
          </w:tcPr>
          <w:p>
            <w:pPr>
              <w:spacing w:after="0"/>
              <w:rPr>
                <w:sz w:val="19"/>
                <w:szCs w:val="19"/>
                <w:color w:val="auto"/>
              </w:rPr>
            </w:pPr>
          </w:p>
        </w:tc>
      </w:tr>
      <w:tr>
        <w:trPr>
          <w:trHeight w:val="229"/>
        </w:trPr>
        <w:tc>
          <w:tcPr>
            <w:tcW w:w="3400" w:type="dxa"/>
            <w:vAlign w:val="bottom"/>
          </w:tcPr>
          <w:p>
            <w:pPr>
              <w:ind w:left="260"/>
              <w:spacing w:after="0"/>
              <w:rPr>
                <w:sz w:val="20"/>
                <w:szCs w:val="20"/>
                <w:color w:val="auto"/>
              </w:rPr>
            </w:pPr>
            <w:r>
              <w:rPr>
                <w:rFonts w:ascii="Arial" w:cs="Arial" w:eastAsia="Arial" w:hAnsi="Arial"/>
                <w:sz w:val="18"/>
                <w:szCs w:val="18"/>
                <w:color w:val="auto"/>
              </w:rPr>
              <w:t>General Counsel and Secretary</w:t>
            </w:r>
          </w:p>
        </w:tc>
        <w:tc>
          <w:tcPr>
            <w:tcW w:w="480" w:type="dxa"/>
            <w:vAlign w:val="bottom"/>
            <w:gridSpan w:val="2"/>
          </w:tcPr>
          <w:p>
            <w:pPr>
              <w:jc w:val="center"/>
              <w:spacing w:after="0"/>
              <w:rPr>
                <w:sz w:val="20"/>
                <w:szCs w:val="20"/>
                <w:color w:val="auto"/>
              </w:rPr>
            </w:pPr>
            <w:r>
              <w:rPr>
                <w:rFonts w:ascii="Arial" w:cs="Arial" w:eastAsia="Arial" w:hAnsi="Arial"/>
                <w:sz w:val="18"/>
                <w:szCs w:val="18"/>
                <w:color w:val="auto"/>
                <w:w w:val="89"/>
              </w:rPr>
              <w:t>2019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375,000</w:t>
            </w:r>
          </w:p>
        </w:tc>
        <w:tc>
          <w:tcPr>
            <w:tcW w:w="220" w:type="dxa"/>
            <w:vAlign w:val="bottom"/>
          </w:tcPr>
          <w:p>
            <w:pPr>
              <w:spacing w:after="0"/>
              <w:rPr>
                <w:sz w:val="19"/>
                <w:szCs w:val="19"/>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65,625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75,000</w:t>
            </w:r>
          </w:p>
        </w:tc>
        <w:tc>
          <w:tcPr>
            <w:tcW w:w="2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17,620</w:t>
            </w: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533,245</w:t>
            </w:r>
          </w:p>
        </w:tc>
        <w:tc>
          <w:tcPr>
            <w:tcW w:w="60" w:type="dxa"/>
            <w:vAlign w:val="bottom"/>
          </w:tcPr>
          <w:p>
            <w:pPr>
              <w:spacing w:after="0"/>
              <w:rPr>
                <w:sz w:val="19"/>
                <w:szCs w:val="19"/>
                <w:color w:val="auto"/>
              </w:rPr>
            </w:pPr>
          </w:p>
        </w:tc>
      </w:tr>
      <w:tr>
        <w:trPr>
          <w:trHeight w:val="230"/>
        </w:trPr>
        <w:tc>
          <w:tcPr>
            <w:tcW w:w="3400" w:type="dxa"/>
            <w:vAlign w:val="bottom"/>
          </w:tcPr>
          <w:p>
            <w:pPr>
              <w:spacing w:after="0"/>
              <w:rPr>
                <w:sz w:val="20"/>
                <w:szCs w:val="20"/>
                <w:color w:val="auto"/>
              </w:rPr>
            </w:pPr>
          </w:p>
        </w:tc>
        <w:tc>
          <w:tcPr>
            <w:tcW w:w="480" w:type="dxa"/>
            <w:vAlign w:val="bottom"/>
            <w:gridSpan w:val="2"/>
          </w:tcPr>
          <w:p>
            <w:pPr>
              <w:jc w:val="center"/>
              <w:spacing w:after="0"/>
              <w:rPr>
                <w:sz w:val="20"/>
                <w:szCs w:val="20"/>
                <w:color w:val="auto"/>
              </w:rPr>
            </w:pPr>
            <w:r>
              <w:rPr>
                <w:rFonts w:ascii="Arial" w:cs="Arial" w:eastAsia="Arial" w:hAnsi="Arial"/>
                <w:sz w:val="18"/>
                <w:szCs w:val="18"/>
                <w:color w:val="auto"/>
                <w:w w:val="89"/>
              </w:rPr>
              <w:t>2018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366,346</w:t>
            </w:r>
          </w:p>
        </w:tc>
        <w:tc>
          <w:tcPr>
            <w:tcW w:w="220" w:type="dxa"/>
            <w:vAlign w:val="bottom"/>
          </w:tcPr>
          <w:p>
            <w:pPr>
              <w:spacing w:after="0"/>
              <w:rPr>
                <w:sz w:val="20"/>
                <w:szCs w:val="20"/>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161,434</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156,650</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26,639</w:t>
            </w:r>
          </w:p>
        </w:tc>
        <w:tc>
          <w:tcPr>
            <w:tcW w:w="2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711,069</w:t>
            </w:r>
          </w:p>
        </w:tc>
        <w:tc>
          <w:tcPr>
            <w:tcW w:w="60" w:type="dxa"/>
            <w:vAlign w:val="bottom"/>
          </w:tcPr>
          <w:p>
            <w:pPr>
              <w:spacing w:after="0"/>
              <w:rPr>
                <w:sz w:val="20"/>
                <w:szCs w:val="20"/>
                <w:color w:val="auto"/>
              </w:rPr>
            </w:pPr>
          </w:p>
        </w:tc>
      </w:tr>
      <w:tr>
        <w:trPr>
          <w:trHeight w:val="229"/>
        </w:trPr>
        <w:tc>
          <w:tcPr>
            <w:tcW w:w="3400" w:type="dxa"/>
            <w:vAlign w:val="bottom"/>
          </w:tcPr>
          <w:p>
            <w:pPr>
              <w:spacing w:after="0"/>
              <w:rPr>
                <w:sz w:val="19"/>
                <w:szCs w:val="19"/>
                <w:color w:val="auto"/>
              </w:rPr>
            </w:pPr>
          </w:p>
        </w:tc>
        <w:tc>
          <w:tcPr>
            <w:tcW w:w="480" w:type="dxa"/>
            <w:vAlign w:val="bottom"/>
            <w:gridSpan w:val="2"/>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3400" w:type="dxa"/>
            <w:vAlign w:val="bottom"/>
            <w:shd w:val="clear" w:color="auto" w:fill="CFF0FC"/>
          </w:tcPr>
          <w:p>
            <w:pPr>
              <w:spacing w:after="0"/>
              <w:rPr>
                <w:sz w:val="20"/>
                <w:szCs w:val="20"/>
                <w:color w:val="auto"/>
              </w:rPr>
            </w:pPr>
            <w:r>
              <w:rPr>
                <w:rFonts w:ascii="Arial" w:cs="Arial" w:eastAsia="Arial" w:hAnsi="Arial"/>
                <w:sz w:val="18"/>
                <w:szCs w:val="18"/>
                <w:color w:val="auto"/>
              </w:rPr>
              <w:t>Anthony J. Gaeta</w:t>
            </w:r>
          </w:p>
        </w:tc>
        <w:tc>
          <w:tcPr>
            <w:tcW w:w="48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89"/>
              </w:rPr>
              <w:t>2020</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275,711</w:t>
            </w:r>
          </w:p>
        </w:tc>
        <w:tc>
          <w:tcPr>
            <w:tcW w:w="2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45,824</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112,162</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21,864</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455,561</w:t>
            </w:r>
          </w:p>
        </w:tc>
        <w:tc>
          <w:tcPr>
            <w:tcW w:w="60" w:type="dxa"/>
            <w:vAlign w:val="bottom"/>
          </w:tcPr>
          <w:p>
            <w:pPr>
              <w:spacing w:after="0"/>
              <w:rPr>
                <w:sz w:val="19"/>
                <w:szCs w:val="19"/>
                <w:color w:val="auto"/>
              </w:rPr>
            </w:pPr>
          </w:p>
        </w:tc>
      </w:tr>
      <w:tr>
        <w:trPr>
          <w:trHeight w:val="229"/>
        </w:trPr>
        <w:tc>
          <w:tcPr>
            <w:tcW w:w="3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Senior Vice President,</w:t>
            </w: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2019</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291,730</w:t>
            </w: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  10,000</w:t>
            </w: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51,625</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43,176</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11,874</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408,405</w:t>
            </w:r>
          </w:p>
        </w:tc>
        <w:tc>
          <w:tcPr>
            <w:tcW w:w="60" w:type="dxa"/>
            <w:vAlign w:val="bottom"/>
          </w:tcPr>
          <w:p>
            <w:pPr>
              <w:spacing w:after="0"/>
              <w:rPr>
                <w:sz w:val="19"/>
                <w:szCs w:val="19"/>
                <w:color w:val="auto"/>
              </w:rPr>
            </w:pPr>
          </w:p>
        </w:tc>
      </w:tr>
      <w:tr>
        <w:trPr>
          <w:trHeight w:val="230"/>
        </w:trPr>
        <w:tc>
          <w:tcPr>
            <w:tcW w:w="3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Store Sales and Operations</w:t>
            </w: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tcBorders>
              <w:right w:val="single" w:sz="8" w:color="CFF0FC"/>
            </w:tcBorders>
            <w:shd w:val="clear" w:color="auto" w:fill="CFF0FC"/>
          </w:tcPr>
          <w:p>
            <w:pPr>
              <w:spacing w:after="0"/>
              <w:rPr>
                <w:sz w:val="19"/>
                <w:szCs w:val="19"/>
                <w:color w:val="auto"/>
              </w:rPr>
            </w:pPr>
          </w:p>
        </w:tc>
        <w:tc>
          <w:tcPr>
            <w:tcW w:w="6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740" w:right="60" w:hanging="368"/>
        <w:spacing w:after="0" w:line="318" w:lineRule="auto"/>
        <w:tabs>
          <w:tab w:leader="none" w:pos="7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amounts reflect the fair value, as of grant date, of awards computed in accordance with FASB ASC Topic 718, and not the actual amounts paid to or realized by the Named Executive Officers during the applicable fiscal year. The fair value of stock option awards were estimated as of the date of grant using a Black-Scholes valuation model. For fiscal 2019, the fair value of performance-based awards to Mr. Kanter, which were based on a market condition, was determined as of the date of grant using a Monte-Carlo valuation model. Additional information regarding the assumptions used to estimate the fair value of all awards is included in Note A and Note I to Consolidated Financial Statements contained in our Annual Report on Form 10-K for the fiscal year ended January 30, 2021.</w:t>
      </w:r>
    </w:p>
    <w:p>
      <w:pPr>
        <w:spacing w:after="0" w:line="53" w:lineRule="exact"/>
        <w:rPr>
          <w:rFonts w:ascii="Arial" w:cs="Arial" w:eastAsia="Arial" w:hAnsi="Arial"/>
          <w:sz w:val="14"/>
          <w:szCs w:val="14"/>
          <w:color w:val="auto"/>
        </w:rPr>
      </w:pPr>
    </w:p>
    <w:p>
      <w:pPr>
        <w:ind w:left="740" w:hanging="368"/>
        <w:spacing w:after="0"/>
        <w:tabs>
          <w:tab w:leader="none" w:pos="7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See table “</w:t>
      </w:r>
      <w:r>
        <w:rPr>
          <w:rFonts w:ascii="Arial" w:cs="Arial" w:eastAsia="Arial" w:hAnsi="Arial"/>
          <w:sz w:val="16"/>
          <w:szCs w:val="16"/>
          <w:i w:val="1"/>
          <w:iCs w:val="1"/>
          <w:color w:val="auto"/>
        </w:rPr>
        <w:t>Option Awards</w:t>
      </w:r>
      <w:r>
        <w:rPr>
          <w:rFonts w:ascii="Arial" w:cs="Arial" w:eastAsia="Arial" w:hAnsi="Arial"/>
          <w:sz w:val="16"/>
          <w:szCs w:val="16"/>
          <w:color w:val="auto"/>
        </w:rPr>
        <w:t>” below for a breakdown of 2020 amounts reflected in this column.</w:t>
      </w:r>
    </w:p>
    <w:p>
      <w:pPr>
        <w:spacing w:after="0" w:line="140" w:lineRule="exact"/>
        <w:rPr>
          <w:rFonts w:ascii="Arial" w:cs="Arial" w:eastAsia="Arial" w:hAnsi="Arial"/>
          <w:sz w:val="16"/>
          <w:szCs w:val="16"/>
          <w:color w:val="auto"/>
        </w:rPr>
      </w:pPr>
    </w:p>
    <w:p>
      <w:pPr>
        <w:ind w:left="760" w:right="20"/>
        <w:spacing w:after="0" w:line="271" w:lineRule="auto"/>
        <w:rPr>
          <w:rFonts w:ascii="Arial" w:cs="Arial" w:eastAsia="Arial" w:hAnsi="Arial"/>
          <w:sz w:val="16"/>
          <w:szCs w:val="16"/>
          <w:color w:val="auto"/>
        </w:rPr>
      </w:pPr>
      <w:r>
        <w:rPr>
          <w:rFonts w:ascii="Arial" w:cs="Arial" w:eastAsia="Arial" w:hAnsi="Arial"/>
          <w:sz w:val="16"/>
          <w:szCs w:val="16"/>
          <w:color w:val="auto"/>
        </w:rPr>
        <w:t>The fair value associated with the performance-based component of the equity awards under the 2020-2022 LTIP was determined based on the probable outcome of the performance conditions as of the service-inception date. Because the achievement of the performance targets under the 2020-2022 LTIP was not deemed probable as of the service-inception date, no value was attributed to the performance-based portion of these awards. The following reflects the fair values of the performance-based equity portion of the 2020-2022 LTIP assuming the highest level of performance conditions will be achieved for each of the Named Executive Officers:</w:t>
      </w:r>
    </w:p>
    <w:p>
      <w:pPr>
        <w:spacing w:after="0" w:line="92" w:lineRule="exact"/>
        <w:rPr>
          <w:sz w:val="20"/>
          <w:szCs w:val="20"/>
          <w:color w:val="auto"/>
        </w:rPr>
      </w:pPr>
    </w:p>
    <w:tbl>
      <w:tblPr>
        <w:tblLayout w:type="fixed"/>
        <w:tblInd w:w="3260" w:type="dxa"/>
        <w:tblCellMar>
          <w:top w:w="0" w:type="dxa"/>
          <w:left w:w="0" w:type="dxa"/>
          <w:bottom w:w="0" w:type="dxa"/>
          <w:right w:w="0" w:type="dxa"/>
        </w:tblCellMar>
      </w:tblPr>
      <w:tr>
        <w:trPr>
          <w:trHeight w:val="216"/>
        </w:trPr>
        <w:tc>
          <w:tcPr>
            <w:tcW w:w="2360" w:type="dxa"/>
            <w:vAlign w:val="bottom"/>
            <w:shd w:val="clear" w:color="auto" w:fill="CFF0FC"/>
          </w:tcPr>
          <w:p>
            <w:pPr>
              <w:spacing w:after="0"/>
              <w:rPr>
                <w:sz w:val="20"/>
                <w:szCs w:val="20"/>
                <w:color w:val="auto"/>
              </w:rPr>
            </w:pPr>
            <w:r>
              <w:rPr>
                <w:rFonts w:ascii="Arial" w:cs="Arial" w:eastAsia="Arial" w:hAnsi="Arial"/>
                <w:sz w:val="16"/>
                <w:szCs w:val="16"/>
                <w:color w:val="auto"/>
              </w:rPr>
              <w:t>Harvey S. Kanter</w:t>
            </w:r>
          </w:p>
        </w:tc>
        <w:tc>
          <w:tcPr>
            <w:tcW w:w="1420" w:type="dxa"/>
            <w:vAlign w:val="bottom"/>
            <w:shd w:val="clear" w:color="auto" w:fill="CFF0FC"/>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468,563</w:t>
            </w:r>
          </w:p>
        </w:tc>
      </w:tr>
      <w:tr>
        <w:trPr>
          <w:trHeight w:val="213"/>
        </w:trPr>
        <w:tc>
          <w:tcPr>
            <w:tcW w:w="2360" w:type="dxa"/>
            <w:vAlign w:val="bottom"/>
          </w:tcPr>
          <w:p>
            <w:pPr>
              <w:spacing w:after="0"/>
              <w:rPr>
                <w:sz w:val="20"/>
                <w:szCs w:val="20"/>
                <w:color w:val="auto"/>
              </w:rPr>
            </w:pPr>
            <w:r>
              <w:rPr>
                <w:rFonts w:ascii="Arial" w:cs="Arial" w:eastAsia="Arial" w:hAnsi="Arial"/>
                <w:sz w:val="16"/>
                <w:szCs w:val="16"/>
                <w:color w:val="auto"/>
              </w:rPr>
              <w:t>Peter H. Stratton, Jr.</w:t>
            </w:r>
          </w:p>
        </w:tc>
        <w:tc>
          <w:tcPr>
            <w:tcW w:w="1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103,688</w:t>
            </w:r>
          </w:p>
        </w:tc>
      </w:tr>
      <w:tr>
        <w:trPr>
          <w:trHeight w:val="219"/>
        </w:trPr>
        <w:tc>
          <w:tcPr>
            <w:tcW w:w="2360" w:type="dxa"/>
            <w:vAlign w:val="bottom"/>
            <w:shd w:val="clear" w:color="auto" w:fill="CFF0FC"/>
          </w:tcPr>
          <w:p>
            <w:pPr>
              <w:spacing w:after="0"/>
              <w:rPr>
                <w:sz w:val="20"/>
                <w:szCs w:val="20"/>
                <w:color w:val="auto"/>
              </w:rPr>
            </w:pPr>
            <w:r>
              <w:rPr>
                <w:rFonts w:ascii="Arial" w:cs="Arial" w:eastAsia="Arial" w:hAnsi="Arial"/>
                <w:sz w:val="16"/>
                <w:szCs w:val="16"/>
                <w:color w:val="auto"/>
              </w:rPr>
              <w:t>Ujjwal Dhoot</w:t>
            </w:r>
          </w:p>
        </w:tc>
        <w:tc>
          <w:tcPr>
            <w:tcW w:w="1420" w:type="dxa"/>
            <w:vAlign w:val="bottom"/>
            <w:shd w:val="clear" w:color="auto" w:fill="CFF0FC"/>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78,750</w:t>
            </w:r>
          </w:p>
        </w:tc>
      </w:tr>
      <w:tr>
        <w:trPr>
          <w:trHeight w:val="213"/>
        </w:trPr>
        <w:tc>
          <w:tcPr>
            <w:tcW w:w="2360" w:type="dxa"/>
            <w:vAlign w:val="bottom"/>
          </w:tcPr>
          <w:p>
            <w:pPr>
              <w:spacing w:after="0"/>
              <w:rPr>
                <w:sz w:val="20"/>
                <w:szCs w:val="20"/>
                <w:color w:val="auto"/>
              </w:rPr>
            </w:pPr>
            <w:r>
              <w:rPr>
                <w:rFonts w:ascii="Arial" w:cs="Arial" w:eastAsia="Arial" w:hAnsi="Arial"/>
                <w:sz w:val="16"/>
                <w:szCs w:val="16"/>
                <w:color w:val="auto"/>
              </w:rPr>
              <w:t>Robert S. Molloy</w:t>
            </w:r>
          </w:p>
        </w:tc>
        <w:tc>
          <w:tcPr>
            <w:tcW w:w="1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98,438</w:t>
            </w:r>
          </w:p>
        </w:tc>
      </w:tr>
      <w:tr>
        <w:trPr>
          <w:trHeight w:val="219"/>
        </w:trPr>
        <w:tc>
          <w:tcPr>
            <w:tcW w:w="2360" w:type="dxa"/>
            <w:vAlign w:val="bottom"/>
            <w:shd w:val="clear" w:color="auto" w:fill="CFF0FC"/>
          </w:tcPr>
          <w:p>
            <w:pPr>
              <w:spacing w:after="0"/>
              <w:rPr>
                <w:sz w:val="20"/>
                <w:szCs w:val="20"/>
                <w:color w:val="auto"/>
              </w:rPr>
            </w:pPr>
            <w:r>
              <w:rPr>
                <w:rFonts w:ascii="Arial" w:cs="Arial" w:eastAsia="Arial" w:hAnsi="Arial"/>
                <w:sz w:val="16"/>
                <w:szCs w:val="16"/>
                <w:color w:val="auto"/>
              </w:rPr>
              <w:t>Anthony J. Gaeta</w:t>
            </w:r>
          </w:p>
        </w:tc>
        <w:tc>
          <w:tcPr>
            <w:tcW w:w="1420" w:type="dxa"/>
            <w:vAlign w:val="bottom"/>
            <w:shd w:val="clear" w:color="auto" w:fill="CFF0FC"/>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77,438</w:t>
            </w:r>
          </w:p>
        </w:tc>
      </w:tr>
    </w:tbl>
    <w:p>
      <w:pPr>
        <w:spacing w:after="0" w:line="98" w:lineRule="exact"/>
        <w:rPr>
          <w:sz w:val="20"/>
          <w:szCs w:val="20"/>
          <w:color w:val="auto"/>
        </w:rPr>
      </w:pPr>
    </w:p>
    <w:p>
      <w:pPr>
        <w:ind w:left="740" w:right="120" w:hanging="368"/>
        <w:spacing w:after="0" w:line="293" w:lineRule="auto"/>
        <w:tabs>
          <w:tab w:leader="none" w:pos="7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Represents cash awards earned under the 2020 AIP and the first tranche of time-vested cash portion of the 2019-2020 LTIP. See table “</w:t>
      </w:r>
      <w:r>
        <w:rPr>
          <w:rFonts w:ascii="Arial" w:cs="Arial" w:eastAsia="Arial" w:hAnsi="Arial"/>
          <w:sz w:val="16"/>
          <w:szCs w:val="16"/>
          <w:i w:val="1"/>
          <w:iCs w:val="1"/>
          <w:color w:val="auto"/>
        </w:rPr>
        <w:t>2020 Non-Equity (Cash)</w:t>
      </w:r>
      <w:r>
        <w:rPr>
          <w:rFonts w:ascii="Arial" w:cs="Arial" w:eastAsia="Arial" w:hAnsi="Arial"/>
          <w:sz w:val="16"/>
          <w:szCs w:val="16"/>
          <w:color w:val="auto"/>
        </w:rPr>
        <w:t xml:space="preserve"> </w:t>
      </w:r>
      <w:r>
        <w:rPr>
          <w:rFonts w:ascii="Arial" w:cs="Arial" w:eastAsia="Arial" w:hAnsi="Arial"/>
          <w:sz w:val="16"/>
          <w:szCs w:val="16"/>
          <w:i w:val="1"/>
          <w:iCs w:val="1"/>
          <w:color w:val="auto"/>
        </w:rPr>
        <w:t>Incentive Plan Compensation</w:t>
      </w:r>
      <w:r>
        <w:rPr>
          <w:rFonts w:ascii="Arial" w:cs="Arial" w:eastAsia="Arial" w:hAnsi="Arial"/>
          <w:sz w:val="16"/>
          <w:szCs w:val="16"/>
          <w:color w:val="auto"/>
        </w:rPr>
        <w:t>” below for additional detail.</w:t>
      </w:r>
    </w:p>
    <w:p>
      <w:pPr>
        <w:spacing w:after="0" w:line="63" w:lineRule="exact"/>
        <w:rPr>
          <w:rFonts w:ascii="Arial" w:cs="Arial" w:eastAsia="Arial" w:hAnsi="Arial"/>
          <w:sz w:val="16"/>
          <w:szCs w:val="16"/>
          <w:color w:val="auto"/>
        </w:rPr>
      </w:pPr>
    </w:p>
    <w:p>
      <w:pPr>
        <w:ind w:left="740" w:hanging="368"/>
        <w:spacing w:after="0"/>
        <w:tabs>
          <w:tab w:leader="none" w:pos="7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See table “</w:t>
      </w:r>
      <w:r>
        <w:rPr>
          <w:rFonts w:ascii="Arial" w:cs="Arial" w:eastAsia="Arial" w:hAnsi="Arial"/>
          <w:sz w:val="16"/>
          <w:szCs w:val="16"/>
          <w:i w:val="1"/>
          <w:iCs w:val="1"/>
          <w:color w:val="auto"/>
        </w:rPr>
        <w:t>All Other Compensation</w:t>
      </w:r>
      <w:r>
        <w:rPr>
          <w:rFonts w:ascii="Arial" w:cs="Arial" w:eastAsia="Arial" w:hAnsi="Arial"/>
          <w:sz w:val="16"/>
          <w:szCs w:val="16"/>
          <w:color w:val="auto"/>
        </w:rPr>
        <w:t>” below for a breakdown of 2020 amounts reflected in this column.</w:t>
      </w:r>
    </w:p>
    <w:p>
      <w:pPr>
        <w:spacing w:after="0" w:line="140" w:lineRule="exact"/>
        <w:rPr>
          <w:rFonts w:ascii="Arial" w:cs="Arial" w:eastAsia="Arial" w:hAnsi="Arial"/>
          <w:sz w:val="16"/>
          <w:szCs w:val="16"/>
          <w:color w:val="auto"/>
        </w:rPr>
      </w:pPr>
    </w:p>
    <w:p>
      <w:pPr>
        <w:ind w:left="740" w:right="160" w:hanging="368"/>
        <w:spacing w:after="0" w:line="293" w:lineRule="auto"/>
        <w:tabs>
          <w:tab w:leader="none" w:pos="7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 connection with Mr. Dhoot’s hiring and in accordance with his employment agreement, on December 16, 2019 Mr. Dhoot received a cash inducement award of $175,000, with $75,000 payable on January 3, 2020 and $100,000 payable on April 1, 2020.</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8" w:name="page19"/>
    <w:bookmarkEnd w:id="18"/>
    <w:p>
      <w:pPr>
        <w:spacing w:after="0"/>
        <w:rPr>
          <w:sz w:val="20"/>
          <w:szCs w:val="20"/>
          <w:color w:val="auto"/>
        </w:rPr>
      </w:pPr>
      <w:r>
        <w:rPr>
          <w:rFonts w:ascii="Arial" w:cs="Arial" w:eastAsia="Arial" w:hAnsi="Arial"/>
          <w:sz w:val="17"/>
          <w:szCs w:val="17"/>
          <w:color w:val="auto"/>
        </w:rPr>
        <w:t>The following table provides a breakdown of the amounts in fiscal 2020 in the “</w:t>
      </w:r>
      <w:r>
        <w:rPr>
          <w:rFonts w:ascii="Arial" w:cs="Arial" w:eastAsia="Arial" w:hAnsi="Arial"/>
          <w:sz w:val="17"/>
          <w:szCs w:val="17"/>
          <w:i w:val="1"/>
          <w:iCs w:val="1"/>
          <w:color w:val="auto"/>
        </w:rPr>
        <w:t>Option Awards</w:t>
      </w:r>
      <w:r>
        <w:rPr>
          <w:rFonts w:ascii="Arial" w:cs="Arial" w:eastAsia="Arial" w:hAnsi="Arial"/>
          <w:sz w:val="17"/>
          <w:szCs w:val="17"/>
          <w:color w:val="auto"/>
        </w:rPr>
        <w:t>” column of the Summary Compensation Table above:</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1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00" w:type="dxa"/>
            <w:vAlign w:val="bottom"/>
            <w:gridSpan w:val="2"/>
          </w:tcPr>
          <w:p>
            <w:pPr>
              <w:ind w:left="20"/>
              <w:spacing w:after="0"/>
              <w:rPr>
                <w:sz w:val="20"/>
                <w:szCs w:val="20"/>
                <w:color w:val="auto"/>
              </w:rPr>
            </w:pPr>
            <w:r>
              <w:rPr>
                <w:rFonts w:ascii="Arial" w:cs="Arial" w:eastAsia="Arial" w:hAnsi="Arial"/>
                <w:sz w:val="13"/>
                <w:szCs w:val="13"/>
                <w:b w:val="1"/>
                <w:bCs w:val="1"/>
                <w:color w:val="auto"/>
                <w:w w:val="94"/>
              </w:rPr>
              <w:t>Discretionary Grant of Stock</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1"/>
              </w:rPr>
              <w:t>Total Stock</w:t>
            </w:r>
          </w:p>
        </w:tc>
      </w:tr>
      <w:tr>
        <w:trPr>
          <w:trHeight w:val="161"/>
        </w:trPr>
        <w:tc>
          <w:tcPr>
            <w:tcW w:w="4180" w:type="dxa"/>
            <w:vAlign w:val="bottom"/>
          </w:tcPr>
          <w:p>
            <w:pPr>
              <w:ind w:left="2500"/>
              <w:spacing w:after="0"/>
              <w:rPr>
                <w:sz w:val="20"/>
                <w:szCs w:val="20"/>
                <w:color w:val="auto"/>
              </w:rPr>
            </w:pPr>
            <w:r>
              <w:rPr>
                <w:rFonts w:ascii="Arial" w:cs="Arial" w:eastAsia="Arial" w:hAnsi="Arial"/>
                <w:sz w:val="13"/>
                <w:szCs w:val="13"/>
                <w:b w:val="1"/>
                <w:bCs w:val="1"/>
                <w:color w:val="auto"/>
              </w:rPr>
              <w:t>Name</w:t>
            </w:r>
          </w:p>
        </w:tc>
        <w:tc>
          <w:tcPr>
            <w:tcW w:w="1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60" w:type="dxa"/>
            <w:vAlign w:val="bottom"/>
            <w:gridSpan w:val="2"/>
          </w:tcPr>
          <w:p>
            <w:pPr>
              <w:ind w:left="160"/>
              <w:spacing w:after="0"/>
              <w:rPr>
                <w:sz w:val="20"/>
                <w:szCs w:val="20"/>
                <w:color w:val="auto"/>
              </w:rPr>
            </w:pPr>
            <w:r>
              <w:rPr>
                <w:rFonts w:ascii="Arial" w:cs="Arial" w:eastAsia="Arial" w:hAnsi="Arial"/>
                <w:sz w:val="13"/>
                <w:szCs w:val="13"/>
                <w:b w:val="1"/>
                <w:bCs w:val="1"/>
                <w:color w:val="auto"/>
              </w:rPr>
              <w:t>2020-2022 LTIP (1)</w:t>
            </w:r>
          </w:p>
        </w:tc>
        <w:tc>
          <w:tcPr>
            <w:tcW w:w="320" w:type="dxa"/>
            <w:vAlign w:val="bottom"/>
          </w:tcPr>
          <w:p>
            <w:pPr>
              <w:spacing w:after="0"/>
              <w:rPr>
                <w:sz w:val="14"/>
                <w:szCs w:val="14"/>
                <w:color w:val="auto"/>
              </w:rPr>
            </w:pPr>
          </w:p>
        </w:tc>
        <w:tc>
          <w:tcPr>
            <w:tcW w:w="1380" w:type="dxa"/>
            <w:vAlign w:val="bottom"/>
          </w:tcPr>
          <w:p>
            <w:pPr>
              <w:jc w:val="right"/>
              <w:ind w:right="434"/>
              <w:spacing w:after="0"/>
              <w:rPr>
                <w:sz w:val="20"/>
                <w:szCs w:val="20"/>
                <w:color w:val="auto"/>
              </w:rPr>
            </w:pPr>
            <w:r>
              <w:rPr>
                <w:rFonts w:ascii="Arial" w:cs="Arial" w:eastAsia="Arial" w:hAnsi="Arial"/>
                <w:sz w:val="13"/>
                <w:szCs w:val="13"/>
                <w:b w:val="1"/>
                <w:bCs w:val="1"/>
                <w:color w:val="auto"/>
              </w:rPr>
              <w:t>Options (2)</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3"/>
              </w:rPr>
              <w:t>Awards</w:t>
            </w:r>
          </w:p>
        </w:tc>
      </w:tr>
      <w:tr>
        <w:trPr>
          <w:trHeight w:val="223"/>
        </w:trPr>
        <w:tc>
          <w:tcPr>
            <w:tcW w:w="4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Harvey S. Kanter</w:t>
            </w:r>
          </w:p>
        </w:tc>
        <w:tc>
          <w:tcPr>
            <w:tcW w:w="13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277,275</w:t>
            </w:r>
          </w:p>
        </w:tc>
        <w:tc>
          <w:tcPr>
            <w:tcW w:w="2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159,605</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436,880</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4180" w:type="dxa"/>
            <w:vAlign w:val="bottom"/>
          </w:tcPr>
          <w:p>
            <w:pPr>
              <w:spacing w:after="0"/>
              <w:rPr>
                <w:sz w:val="20"/>
                <w:szCs w:val="20"/>
                <w:color w:val="auto"/>
              </w:rPr>
            </w:pPr>
            <w:r>
              <w:rPr>
                <w:rFonts w:ascii="Arial" w:cs="Arial" w:eastAsia="Arial" w:hAnsi="Arial"/>
                <w:sz w:val="18"/>
                <w:szCs w:val="18"/>
                <w:color w:val="auto"/>
              </w:rPr>
              <w:t>Peter H. Stratton, Jr.</w:t>
            </w:r>
          </w:p>
        </w:tc>
        <w:tc>
          <w:tcPr>
            <w:tcW w:w="15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61,358</w:t>
            </w:r>
          </w:p>
        </w:tc>
        <w:tc>
          <w:tcPr>
            <w:tcW w:w="280" w:type="dxa"/>
            <w:vAlign w:val="bottom"/>
          </w:tcPr>
          <w:p>
            <w:pPr>
              <w:spacing w:after="0"/>
              <w:rPr>
                <w:sz w:val="19"/>
                <w:szCs w:val="19"/>
                <w:color w:val="auto"/>
              </w:rPr>
            </w:pP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61,358</w:t>
            </w:r>
          </w:p>
        </w:tc>
        <w:tc>
          <w:tcPr>
            <w:tcW w:w="100" w:type="dxa"/>
            <w:vAlign w:val="bottom"/>
          </w:tcPr>
          <w:p>
            <w:pPr>
              <w:spacing w:after="0"/>
              <w:rPr>
                <w:sz w:val="19"/>
                <w:szCs w:val="19"/>
                <w:color w:val="auto"/>
              </w:rPr>
            </w:pPr>
          </w:p>
        </w:tc>
      </w:tr>
      <w:tr>
        <w:trPr>
          <w:trHeight w:val="230"/>
        </w:trPr>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Ujjwal Dhoot</w:t>
            </w:r>
          </w:p>
        </w:tc>
        <w:tc>
          <w:tcPr>
            <w:tcW w:w="15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46,601</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46,601</w:t>
            </w:r>
          </w:p>
        </w:tc>
        <w:tc>
          <w:tcPr>
            <w:tcW w:w="100" w:type="dxa"/>
            <w:vAlign w:val="bottom"/>
            <w:shd w:val="clear" w:color="auto" w:fill="CFF0FC"/>
          </w:tcPr>
          <w:p>
            <w:pPr>
              <w:spacing w:after="0"/>
              <w:rPr>
                <w:sz w:val="19"/>
                <w:szCs w:val="19"/>
                <w:color w:val="auto"/>
              </w:rPr>
            </w:pPr>
          </w:p>
        </w:tc>
      </w:tr>
      <w:tr>
        <w:trPr>
          <w:trHeight w:val="229"/>
        </w:trPr>
        <w:tc>
          <w:tcPr>
            <w:tcW w:w="4180" w:type="dxa"/>
            <w:vAlign w:val="bottom"/>
          </w:tcPr>
          <w:p>
            <w:pPr>
              <w:spacing w:after="0"/>
              <w:rPr>
                <w:sz w:val="20"/>
                <w:szCs w:val="20"/>
                <w:color w:val="auto"/>
              </w:rPr>
            </w:pPr>
            <w:r>
              <w:rPr>
                <w:rFonts w:ascii="Arial" w:cs="Arial" w:eastAsia="Arial" w:hAnsi="Arial"/>
                <w:sz w:val="18"/>
                <w:szCs w:val="18"/>
                <w:color w:val="auto"/>
              </w:rPr>
              <w:t>Robert S. Molloy</w:t>
            </w:r>
          </w:p>
        </w:tc>
        <w:tc>
          <w:tcPr>
            <w:tcW w:w="15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58,251</w:t>
            </w:r>
          </w:p>
        </w:tc>
        <w:tc>
          <w:tcPr>
            <w:tcW w:w="280" w:type="dxa"/>
            <w:vAlign w:val="bottom"/>
          </w:tcPr>
          <w:p>
            <w:pPr>
              <w:spacing w:after="0"/>
              <w:rPr>
                <w:sz w:val="19"/>
                <w:szCs w:val="19"/>
                <w:color w:val="auto"/>
              </w:rPr>
            </w:pP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58,251</w:t>
            </w:r>
          </w:p>
        </w:tc>
        <w:tc>
          <w:tcPr>
            <w:tcW w:w="100" w:type="dxa"/>
            <w:vAlign w:val="bottom"/>
          </w:tcPr>
          <w:p>
            <w:pPr>
              <w:spacing w:after="0"/>
              <w:rPr>
                <w:sz w:val="19"/>
                <w:szCs w:val="19"/>
                <w:color w:val="auto"/>
              </w:rPr>
            </w:pPr>
          </w:p>
        </w:tc>
      </w:tr>
      <w:tr>
        <w:trPr>
          <w:trHeight w:val="229"/>
        </w:trPr>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Anthony J. Gaeta</w:t>
            </w:r>
          </w:p>
        </w:tc>
        <w:tc>
          <w:tcPr>
            <w:tcW w:w="15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45,824</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45,824</w:t>
            </w:r>
          </w:p>
        </w:tc>
        <w:tc>
          <w:tcPr>
            <w:tcW w:w="100" w:type="dxa"/>
            <w:vAlign w:val="bottom"/>
            <w:shd w:val="clear" w:color="auto" w:fill="CFF0FC"/>
          </w:tcPr>
          <w:p>
            <w:pPr>
              <w:spacing w:after="0"/>
              <w:rPr>
                <w:sz w:val="19"/>
                <w:szCs w:val="19"/>
                <w:color w:val="auto"/>
              </w:rPr>
            </w:pPr>
          </w:p>
        </w:tc>
      </w:tr>
    </w:tbl>
    <w:p>
      <w:pPr>
        <w:spacing w:after="0" w:line="206" w:lineRule="exact"/>
        <w:rPr>
          <w:sz w:val="20"/>
          <w:szCs w:val="20"/>
          <w:color w:val="auto"/>
        </w:rPr>
      </w:pPr>
    </w:p>
    <w:p>
      <w:pPr>
        <w:ind w:left="740" w:right="140" w:hanging="368"/>
        <w:spacing w:after="0" w:line="293" w:lineRule="auto"/>
        <w:tabs>
          <w:tab w:leader="none" w:pos="7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Represents the grant-date fair value of time-based stock options issued under the 2020-2022 LTIP, which will vest in four tranches with the first 25% vesting on June 11, 2021 and the remaining tranches vesting on April 1, 2022, April 1, 2023 and April 1, 2024.</w:t>
      </w:r>
    </w:p>
    <w:p>
      <w:pPr>
        <w:spacing w:after="0" w:line="171" w:lineRule="exact"/>
        <w:rPr>
          <w:rFonts w:ascii="Arial" w:cs="Arial" w:eastAsia="Arial" w:hAnsi="Arial"/>
          <w:sz w:val="16"/>
          <w:szCs w:val="16"/>
          <w:color w:val="auto"/>
        </w:rPr>
      </w:pPr>
    </w:p>
    <w:p>
      <w:pPr>
        <w:ind w:left="740" w:right="180" w:hanging="368"/>
        <w:spacing w:after="0" w:line="293" w:lineRule="auto"/>
        <w:tabs>
          <w:tab w:leader="none" w:pos="7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Represents the grant-date fair value of a discretionary grant of stock options to Mr. Kanter. The stock options will vest in three equal installments, with the first tranche vesting on June 10, 2021, the second tranche on April 1, 2022 and remaining tranche on April 1, 2023.</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a breakdown of the amounts for fiscal 2020 in the “</w:t>
      </w:r>
      <w:r>
        <w:rPr>
          <w:rFonts w:ascii="Arial" w:cs="Arial" w:eastAsia="Arial" w:hAnsi="Arial"/>
          <w:sz w:val="17"/>
          <w:szCs w:val="17"/>
          <w:i w:val="1"/>
          <w:iCs w:val="1"/>
          <w:color w:val="auto"/>
        </w:rPr>
        <w:t>2020 Non-Equity (Cash) Incentive Plan Compensation”</w:t>
      </w:r>
      <w:r>
        <w:rPr>
          <w:rFonts w:ascii="Arial" w:cs="Arial" w:eastAsia="Arial" w:hAnsi="Arial"/>
          <w:sz w:val="17"/>
          <w:szCs w:val="17"/>
          <w:color w:val="auto"/>
        </w:rPr>
        <w:t xml:space="preserve"> column of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Summary Compensation Table above: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2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6"/>
              </w:rPr>
              <w:t>Annual Incentive</w:t>
            </w:r>
          </w:p>
        </w:tc>
        <w:tc>
          <w:tcPr>
            <w:tcW w:w="3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40" w:type="dxa"/>
            <w:vAlign w:val="bottom"/>
            <w:gridSpan w:val="2"/>
          </w:tcPr>
          <w:p>
            <w:pPr>
              <w:jc w:val="center"/>
              <w:ind w:right="520"/>
              <w:spacing w:after="0"/>
              <w:rPr>
                <w:sz w:val="20"/>
                <w:szCs w:val="20"/>
                <w:color w:val="auto"/>
              </w:rPr>
            </w:pPr>
            <w:r>
              <w:rPr>
                <w:rFonts w:ascii="Arial" w:cs="Arial" w:eastAsia="Arial" w:hAnsi="Arial"/>
                <w:sz w:val="13"/>
                <w:szCs w:val="13"/>
                <w:b w:val="1"/>
                <w:bCs w:val="1"/>
                <w:color w:val="auto"/>
                <w:w w:val="96"/>
              </w:rPr>
              <w:t>Total Non-</w:t>
            </w:r>
          </w:p>
        </w:tc>
      </w:tr>
      <w:tr>
        <w:trPr>
          <w:trHeight w:val="161"/>
        </w:trPr>
        <w:tc>
          <w:tcPr>
            <w:tcW w:w="5440" w:type="dxa"/>
            <w:vAlign w:val="bottom"/>
            <w:gridSpan w:val="2"/>
          </w:tcPr>
          <w:p>
            <w:pPr>
              <w:ind w:left="2460"/>
              <w:spacing w:after="0"/>
              <w:rPr>
                <w:sz w:val="20"/>
                <w:szCs w:val="20"/>
                <w:color w:val="auto"/>
              </w:rPr>
            </w:pPr>
            <w:r>
              <w:rPr>
                <w:rFonts w:ascii="Arial" w:cs="Arial" w:eastAsia="Arial" w:hAnsi="Arial"/>
                <w:sz w:val="13"/>
                <w:szCs w:val="13"/>
                <w:b w:val="1"/>
                <w:bCs w:val="1"/>
                <w:color w:val="auto"/>
              </w:rPr>
              <w:t>Name</w:t>
            </w:r>
          </w:p>
        </w:tc>
        <w:tc>
          <w:tcPr>
            <w:tcW w:w="260" w:type="dxa"/>
            <w:vAlign w:val="bottom"/>
          </w:tcPr>
          <w:p>
            <w:pPr>
              <w:spacing w:after="0"/>
              <w:rPr>
                <w:sz w:val="14"/>
                <w:szCs w:val="14"/>
                <w:color w:val="auto"/>
              </w:rPr>
            </w:pPr>
          </w:p>
        </w:tc>
        <w:tc>
          <w:tcPr>
            <w:tcW w:w="172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97"/>
              </w:rPr>
              <w:t>Plan (1)</w:t>
            </w:r>
          </w:p>
        </w:tc>
        <w:tc>
          <w:tcPr>
            <w:tcW w:w="360" w:type="dxa"/>
            <w:vAlign w:val="bottom"/>
          </w:tcPr>
          <w:p>
            <w:pPr>
              <w:spacing w:after="0"/>
              <w:rPr>
                <w:sz w:val="14"/>
                <w:szCs w:val="14"/>
                <w:color w:val="auto"/>
              </w:rPr>
            </w:pPr>
          </w:p>
        </w:tc>
        <w:tc>
          <w:tcPr>
            <w:tcW w:w="1700" w:type="dxa"/>
            <w:vAlign w:val="bottom"/>
            <w:gridSpan w:val="2"/>
          </w:tcPr>
          <w:p>
            <w:pPr>
              <w:ind w:left="100"/>
              <w:spacing w:after="0"/>
              <w:rPr>
                <w:sz w:val="20"/>
                <w:szCs w:val="20"/>
                <w:color w:val="auto"/>
              </w:rPr>
            </w:pPr>
            <w:r>
              <w:rPr>
                <w:rFonts w:ascii="Arial" w:cs="Arial" w:eastAsia="Arial" w:hAnsi="Arial"/>
                <w:sz w:val="13"/>
                <w:szCs w:val="13"/>
                <w:b w:val="1"/>
                <w:bCs w:val="1"/>
                <w:color w:val="auto"/>
              </w:rPr>
              <w:t>2019-2021 LTIP (2)</w:t>
            </w:r>
          </w:p>
        </w:tc>
        <w:tc>
          <w:tcPr>
            <w:tcW w:w="220" w:type="dxa"/>
            <w:vAlign w:val="bottom"/>
          </w:tcPr>
          <w:p>
            <w:pPr>
              <w:spacing w:after="0"/>
              <w:rPr>
                <w:sz w:val="14"/>
                <w:szCs w:val="14"/>
                <w:color w:val="auto"/>
              </w:rPr>
            </w:pPr>
          </w:p>
        </w:tc>
        <w:tc>
          <w:tcPr>
            <w:tcW w:w="1540" w:type="dxa"/>
            <w:vAlign w:val="bottom"/>
            <w:gridSpan w:val="2"/>
          </w:tcPr>
          <w:p>
            <w:pPr>
              <w:jc w:val="center"/>
              <w:ind w:right="500"/>
              <w:spacing w:after="0"/>
              <w:rPr>
                <w:sz w:val="20"/>
                <w:szCs w:val="20"/>
                <w:color w:val="auto"/>
              </w:rPr>
            </w:pPr>
            <w:r>
              <w:rPr>
                <w:rFonts w:ascii="Arial" w:cs="Arial" w:eastAsia="Arial" w:hAnsi="Arial"/>
                <w:sz w:val="13"/>
                <w:szCs w:val="13"/>
                <w:b w:val="1"/>
                <w:bCs w:val="1"/>
                <w:color w:val="auto"/>
                <w:w w:val="95"/>
              </w:rPr>
              <w:t>Equity (Cash)</w:t>
            </w:r>
          </w:p>
        </w:tc>
      </w:tr>
      <w:tr>
        <w:trPr>
          <w:trHeight w:val="223"/>
        </w:trPr>
        <w:tc>
          <w:tcPr>
            <w:tcW w:w="52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Harvey S. Kanter</w:t>
            </w:r>
          </w:p>
        </w:tc>
        <w:tc>
          <w:tcPr>
            <w:tcW w:w="1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824,331</w:t>
            </w:r>
          </w:p>
        </w:tc>
        <w:tc>
          <w:tcPr>
            <w:tcW w:w="10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78,094</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902,425</w:t>
            </w:r>
          </w:p>
        </w:tc>
        <w:tc>
          <w:tcPr>
            <w:tcW w:w="280" w:type="dxa"/>
            <w:vAlign w:val="bottom"/>
            <w:tcBorders>
              <w:top w:val="single" w:sz="8" w:color="CFF0FC"/>
            </w:tcBorders>
            <w:shd w:val="clear" w:color="auto" w:fill="CFF0FC"/>
          </w:tcPr>
          <w:p>
            <w:pPr>
              <w:spacing w:after="0"/>
              <w:rPr>
                <w:sz w:val="19"/>
                <w:szCs w:val="19"/>
                <w:color w:val="auto"/>
              </w:rPr>
            </w:pPr>
          </w:p>
        </w:tc>
      </w:tr>
      <w:tr>
        <w:trPr>
          <w:trHeight w:val="229"/>
        </w:trPr>
        <w:tc>
          <w:tcPr>
            <w:tcW w:w="5440" w:type="dxa"/>
            <w:vAlign w:val="bottom"/>
            <w:gridSpan w:val="2"/>
          </w:tcPr>
          <w:p>
            <w:pPr>
              <w:spacing w:after="0"/>
              <w:rPr>
                <w:sz w:val="20"/>
                <w:szCs w:val="20"/>
                <w:color w:val="auto"/>
              </w:rPr>
            </w:pPr>
            <w:r>
              <w:rPr>
                <w:rFonts w:ascii="Arial" w:cs="Arial" w:eastAsia="Arial" w:hAnsi="Arial"/>
                <w:sz w:val="18"/>
                <w:szCs w:val="18"/>
                <w:color w:val="auto"/>
              </w:rPr>
              <w:t>Peter H. Stratton, Jr.</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182,741</w:t>
            </w:r>
          </w:p>
        </w:tc>
        <w:tc>
          <w:tcPr>
            <w:tcW w:w="1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17,281</w:t>
            </w:r>
          </w:p>
        </w:tc>
        <w:tc>
          <w:tcPr>
            <w:tcW w:w="2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200,022</w:t>
            </w:r>
          </w:p>
        </w:tc>
        <w:tc>
          <w:tcPr>
            <w:tcW w:w="280" w:type="dxa"/>
            <w:vAlign w:val="bottom"/>
          </w:tcPr>
          <w:p>
            <w:pPr>
              <w:spacing w:after="0"/>
              <w:rPr>
                <w:sz w:val="19"/>
                <w:szCs w:val="19"/>
                <w:color w:val="auto"/>
              </w:rPr>
            </w:pPr>
          </w:p>
        </w:tc>
      </w:tr>
      <w:tr>
        <w:trPr>
          <w:trHeight w:val="229"/>
        </w:trPr>
        <w:tc>
          <w:tcPr>
            <w:tcW w:w="5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Ujjwal Dhoot</w:t>
            </w: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126,025</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9,326</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135,351</w:t>
            </w:r>
          </w:p>
        </w:tc>
        <w:tc>
          <w:tcPr>
            <w:tcW w:w="280" w:type="dxa"/>
            <w:vAlign w:val="bottom"/>
            <w:shd w:val="clear" w:color="auto" w:fill="CFF0FC"/>
          </w:tcPr>
          <w:p>
            <w:pPr>
              <w:spacing w:after="0"/>
              <w:rPr>
                <w:sz w:val="19"/>
                <w:szCs w:val="19"/>
                <w:color w:val="auto"/>
              </w:rPr>
            </w:pPr>
          </w:p>
        </w:tc>
      </w:tr>
      <w:tr>
        <w:trPr>
          <w:trHeight w:val="230"/>
        </w:trPr>
        <w:tc>
          <w:tcPr>
            <w:tcW w:w="5440" w:type="dxa"/>
            <w:vAlign w:val="bottom"/>
            <w:gridSpan w:val="2"/>
          </w:tcPr>
          <w:p>
            <w:pPr>
              <w:spacing w:after="0"/>
              <w:rPr>
                <w:sz w:val="20"/>
                <w:szCs w:val="20"/>
                <w:color w:val="auto"/>
              </w:rPr>
            </w:pPr>
            <w:r>
              <w:rPr>
                <w:rFonts w:ascii="Arial" w:cs="Arial" w:eastAsia="Arial" w:hAnsi="Arial"/>
                <w:sz w:val="18"/>
                <w:szCs w:val="18"/>
                <w:color w:val="auto"/>
              </w:rPr>
              <w:t>Robert S. Molloy</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140,192</w:t>
            </w:r>
          </w:p>
        </w:tc>
        <w:tc>
          <w:tcPr>
            <w:tcW w:w="1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16,406</w:t>
            </w:r>
          </w:p>
        </w:tc>
        <w:tc>
          <w:tcPr>
            <w:tcW w:w="2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156,598</w:t>
            </w:r>
          </w:p>
        </w:tc>
        <w:tc>
          <w:tcPr>
            <w:tcW w:w="280" w:type="dxa"/>
            <w:vAlign w:val="bottom"/>
          </w:tcPr>
          <w:p>
            <w:pPr>
              <w:spacing w:after="0"/>
              <w:rPr>
                <w:sz w:val="19"/>
                <w:szCs w:val="19"/>
                <w:color w:val="auto"/>
              </w:rPr>
            </w:pPr>
          </w:p>
        </w:tc>
      </w:tr>
      <w:tr>
        <w:trPr>
          <w:trHeight w:val="229"/>
        </w:trPr>
        <w:tc>
          <w:tcPr>
            <w:tcW w:w="5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Anthony J. Gaeta</w:t>
            </w: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99,256</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12,906</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112,162</w:t>
            </w:r>
          </w:p>
        </w:tc>
        <w:tc>
          <w:tcPr>
            <w:tcW w:w="280" w:type="dxa"/>
            <w:vAlign w:val="bottom"/>
            <w:shd w:val="clear" w:color="auto" w:fill="CFF0FC"/>
          </w:tcPr>
          <w:p>
            <w:pPr>
              <w:spacing w:after="0"/>
              <w:rPr>
                <w:sz w:val="19"/>
                <w:szCs w:val="19"/>
                <w:color w:val="auto"/>
              </w:rPr>
            </w:pPr>
          </w:p>
        </w:tc>
      </w:tr>
    </w:tbl>
    <w:p>
      <w:pPr>
        <w:spacing w:after="0" w:line="206" w:lineRule="exact"/>
        <w:rPr>
          <w:sz w:val="20"/>
          <w:szCs w:val="20"/>
          <w:color w:val="auto"/>
        </w:rPr>
      </w:pPr>
    </w:p>
    <w:p>
      <w:pPr>
        <w:ind w:left="740" w:right="20" w:hanging="368"/>
        <w:spacing w:after="0" w:line="262" w:lineRule="auto"/>
        <w:tabs>
          <w:tab w:leader="none" w:pos="740" w:val="left"/>
        </w:tabs>
        <w:numPr>
          <w:ilvl w:val="0"/>
          <w:numId w:val="21"/>
        </w:numPr>
        <w:rPr>
          <w:rFonts w:ascii="Arial" w:cs="Arial" w:eastAsia="Arial" w:hAnsi="Arial"/>
          <w:sz w:val="18"/>
          <w:szCs w:val="18"/>
          <w:color w:val="auto"/>
        </w:rPr>
      </w:pPr>
      <w:r>
        <w:rPr>
          <w:rFonts w:ascii="Arial" w:cs="Arial" w:eastAsia="Arial" w:hAnsi="Arial"/>
          <w:sz w:val="16"/>
          <w:szCs w:val="16"/>
          <w:color w:val="auto"/>
        </w:rPr>
        <w:t>Each Named Executive Officer earned a cash bonus under the 2020 AIP. See “</w:t>
      </w:r>
      <w:r>
        <w:rPr>
          <w:rFonts w:ascii="Arial" w:cs="Arial" w:eastAsia="Arial" w:hAnsi="Arial"/>
          <w:sz w:val="16"/>
          <w:szCs w:val="16"/>
          <w:i w:val="1"/>
          <w:iCs w:val="1"/>
          <w:color w:val="auto"/>
        </w:rPr>
        <w:t>Compensation, Discussion and Analysis-Compensation Components and Fiscal</w:t>
      </w:r>
      <w:r>
        <w:rPr>
          <w:rFonts w:ascii="Arial" w:cs="Arial" w:eastAsia="Arial" w:hAnsi="Arial"/>
          <w:sz w:val="16"/>
          <w:szCs w:val="16"/>
          <w:color w:val="auto"/>
        </w:rPr>
        <w:t xml:space="preserve"> </w:t>
      </w:r>
      <w:r>
        <w:rPr>
          <w:rFonts w:ascii="Arial" w:cs="Arial" w:eastAsia="Arial" w:hAnsi="Arial"/>
          <w:sz w:val="16"/>
          <w:szCs w:val="16"/>
          <w:i w:val="1"/>
          <w:iCs w:val="1"/>
          <w:color w:val="auto"/>
        </w:rPr>
        <w:t>2020 Compensation Decisions, Performance-based annual incentive plan and Long-term incentive plans</w:t>
      </w:r>
      <w:r>
        <w:rPr>
          <w:rFonts w:ascii="Arial" w:cs="Arial" w:eastAsia="Arial" w:hAnsi="Arial"/>
          <w:sz w:val="16"/>
          <w:szCs w:val="16"/>
          <w:color w:val="auto"/>
        </w:rPr>
        <w:t>” for more information about the payouts under the 2020</w:t>
      </w:r>
      <w:r>
        <w:rPr>
          <w:rFonts w:ascii="Arial" w:cs="Arial" w:eastAsia="Arial" w:hAnsi="Arial"/>
          <w:sz w:val="16"/>
          <w:szCs w:val="16"/>
          <w:i w:val="1"/>
          <w:iCs w:val="1"/>
          <w:color w:val="auto"/>
        </w:rPr>
        <w:t xml:space="preserve"> </w:t>
      </w:r>
      <w:r>
        <w:rPr>
          <w:rFonts w:ascii="Arial" w:cs="Arial" w:eastAsia="Arial" w:hAnsi="Arial"/>
          <w:sz w:val="16"/>
          <w:szCs w:val="16"/>
          <w:color w:val="auto"/>
        </w:rPr>
        <w:t>AIP.</w:t>
      </w:r>
    </w:p>
    <w:p>
      <w:pPr>
        <w:spacing w:after="0" w:line="200" w:lineRule="exact"/>
        <w:rPr>
          <w:rFonts w:ascii="Arial" w:cs="Arial" w:eastAsia="Arial" w:hAnsi="Arial"/>
          <w:sz w:val="18"/>
          <w:szCs w:val="18"/>
          <w:color w:val="auto"/>
        </w:rPr>
      </w:pPr>
    </w:p>
    <w:p>
      <w:pPr>
        <w:spacing w:after="0" w:line="211" w:lineRule="exact"/>
        <w:rPr>
          <w:rFonts w:ascii="Arial" w:cs="Arial" w:eastAsia="Arial" w:hAnsi="Arial"/>
          <w:sz w:val="18"/>
          <w:szCs w:val="18"/>
          <w:color w:val="auto"/>
        </w:rPr>
      </w:pPr>
    </w:p>
    <w:p>
      <w:pPr>
        <w:ind w:left="740" w:right="140" w:hanging="368"/>
        <w:spacing w:after="0" w:line="262" w:lineRule="auto"/>
        <w:tabs>
          <w:tab w:leader="none" w:pos="740" w:val="left"/>
        </w:tabs>
        <w:numPr>
          <w:ilvl w:val="0"/>
          <w:numId w:val="21"/>
        </w:numPr>
        <w:rPr>
          <w:rFonts w:ascii="Arial" w:cs="Arial" w:eastAsia="Arial" w:hAnsi="Arial"/>
          <w:sz w:val="18"/>
          <w:szCs w:val="18"/>
          <w:color w:val="auto"/>
        </w:rPr>
      </w:pPr>
      <w:r>
        <w:rPr>
          <w:rFonts w:ascii="Arial" w:cs="Arial" w:eastAsia="Arial" w:hAnsi="Arial"/>
          <w:sz w:val="16"/>
          <w:szCs w:val="16"/>
          <w:color w:val="auto"/>
        </w:rPr>
        <w:t>Represents the vesting of the first tranche of the time-based cash award granted in August 2019 under the 2019-2021 LTIP. See “</w:t>
      </w:r>
      <w:r>
        <w:rPr>
          <w:rFonts w:ascii="Arial" w:cs="Arial" w:eastAsia="Arial" w:hAnsi="Arial"/>
          <w:sz w:val="16"/>
          <w:szCs w:val="16"/>
          <w:i w:val="1"/>
          <w:iCs w:val="1"/>
          <w:color w:val="auto"/>
        </w:rPr>
        <w:t>Compensation, Discussion and</w:t>
      </w:r>
      <w:r>
        <w:rPr>
          <w:rFonts w:ascii="Arial" w:cs="Arial" w:eastAsia="Arial" w:hAnsi="Arial"/>
          <w:sz w:val="16"/>
          <w:szCs w:val="16"/>
          <w:color w:val="auto"/>
        </w:rPr>
        <w:t xml:space="preserve"> </w:t>
      </w:r>
      <w:r>
        <w:rPr>
          <w:rFonts w:ascii="Arial" w:cs="Arial" w:eastAsia="Arial" w:hAnsi="Arial"/>
          <w:sz w:val="16"/>
          <w:szCs w:val="16"/>
          <w:i w:val="1"/>
          <w:iCs w:val="1"/>
          <w:color w:val="auto"/>
        </w:rPr>
        <w:t>Analysis-Compensation Components and Fiscal 2020 Compensation Decisions, Performance-based annual incentive plan and Long-term incentive plans</w:t>
      </w:r>
      <w:r>
        <w:rPr>
          <w:rFonts w:ascii="Arial" w:cs="Arial" w:eastAsia="Arial" w:hAnsi="Arial"/>
          <w:sz w:val="16"/>
          <w:szCs w:val="16"/>
          <w:color w:val="auto"/>
        </w:rPr>
        <w:t>” for</w:t>
      </w:r>
      <w:r>
        <w:rPr>
          <w:rFonts w:ascii="Arial" w:cs="Arial" w:eastAsia="Arial" w:hAnsi="Arial"/>
          <w:sz w:val="16"/>
          <w:szCs w:val="16"/>
          <w:i w:val="1"/>
          <w:iCs w:val="1"/>
          <w:color w:val="auto"/>
        </w:rPr>
        <w:t xml:space="preserve"> </w:t>
      </w:r>
      <w:r>
        <w:rPr>
          <w:rFonts w:ascii="Arial" w:cs="Arial" w:eastAsia="Arial" w:hAnsi="Arial"/>
          <w:sz w:val="16"/>
          <w:szCs w:val="16"/>
          <w:color w:val="auto"/>
        </w:rPr>
        <w:t>more information about the payouts under the 2019-2021 LTIP.</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a breakdown of the amounts for fiscal 2020 in the “</w:t>
      </w:r>
      <w:r>
        <w:rPr>
          <w:rFonts w:ascii="Arial" w:cs="Arial" w:eastAsia="Arial" w:hAnsi="Arial"/>
          <w:sz w:val="16"/>
          <w:szCs w:val="16"/>
          <w:i w:val="1"/>
          <w:iCs w:val="1"/>
          <w:color w:val="auto"/>
        </w:rPr>
        <w:t>All Other Compensation</w:t>
      </w:r>
      <w:r>
        <w:rPr>
          <w:rFonts w:ascii="Arial" w:cs="Arial" w:eastAsia="Arial" w:hAnsi="Arial"/>
          <w:sz w:val="16"/>
          <w:szCs w:val="16"/>
          <w:color w:val="auto"/>
        </w:rPr>
        <w:t>” of the Summary Compensation Table above:</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97"/>
              </w:rPr>
              <w:t>Long-Term</w:t>
            </w:r>
          </w:p>
        </w:tc>
        <w:tc>
          <w:tcPr>
            <w:tcW w:w="220" w:type="dxa"/>
            <w:vAlign w:val="bottom"/>
          </w:tcPr>
          <w:p>
            <w:pPr>
              <w:spacing w:after="0"/>
              <w:rPr>
                <w:sz w:val="12"/>
                <w:szCs w:val="12"/>
                <w:color w:val="auto"/>
              </w:rPr>
            </w:pPr>
          </w:p>
        </w:tc>
        <w:tc>
          <w:tcPr>
            <w:tcW w:w="1180" w:type="dxa"/>
            <w:vAlign w:val="bottom"/>
            <w:gridSpan w:val="3"/>
          </w:tcPr>
          <w:p>
            <w:pPr>
              <w:jc w:val="center"/>
              <w:ind w:right="260"/>
              <w:spacing w:after="0"/>
              <w:rPr>
                <w:sz w:val="20"/>
                <w:szCs w:val="20"/>
                <w:color w:val="auto"/>
              </w:rPr>
            </w:pPr>
            <w:r>
              <w:rPr>
                <w:rFonts w:ascii="Arial" w:cs="Arial" w:eastAsia="Arial" w:hAnsi="Arial"/>
                <w:sz w:val="13"/>
                <w:szCs w:val="13"/>
                <w:b w:val="1"/>
                <w:bCs w:val="1"/>
                <w:color w:val="auto"/>
                <w:w w:val="93"/>
              </w:rPr>
              <w:t>Supplemental</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6"/>
              </w:rPr>
              <w:t>Total</w:t>
            </w:r>
          </w:p>
        </w:tc>
      </w:tr>
      <w:tr>
        <w:trPr>
          <w:trHeight w:val="148"/>
        </w:trPr>
        <w:tc>
          <w:tcPr>
            <w:tcW w:w="4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ind w:right="256"/>
              <w:spacing w:after="0"/>
              <w:rPr>
                <w:sz w:val="20"/>
                <w:szCs w:val="20"/>
                <w:color w:val="auto"/>
              </w:rPr>
            </w:pPr>
            <w:r>
              <w:rPr>
                <w:rFonts w:ascii="Arial" w:cs="Arial" w:eastAsia="Arial" w:hAnsi="Arial"/>
                <w:sz w:val="13"/>
                <w:szCs w:val="13"/>
                <w:b w:val="1"/>
                <w:bCs w:val="1"/>
                <w:color w:val="auto"/>
              </w:rPr>
              <w:t>Auto</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center"/>
              <w:ind w:right="18"/>
              <w:spacing w:after="0"/>
              <w:rPr>
                <w:sz w:val="20"/>
                <w:szCs w:val="20"/>
                <w:color w:val="auto"/>
              </w:rPr>
            </w:pPr>
            <w:r>
              <w:rPr>
                <w:rFonts w:ascii="Arial" w:cs="Arial" w:eastAsia="Arial" w:hAnsi="Arial"/>
                <w:sz w:val="13"/>
                <w:szCs w:val="13"/>
                <w:b w:val="1"/>
                <w:bCs w:val="1"/>
                <w:color w:val="auto"/>
                <w:w w:val="96"/>
              </w:rPr>
              <w:t>Healthcare</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6"/>
              </w:rPr>
              <w:t>Disability</w:t>
            </w:r>
          </w:p>
        </w:tc>
        <w:tc>
          <w:tcPr>
            <w:tcW w:w="100" w:type="dxa"/>
            <w:vAlign w:val="bottom"/>
          </w:tcPr>
          <w:p>
            <w:pPr>
              <w:spacing w:after="0"/>
              <w:rPr>
                <w:sz w:val="12"/>
                <w:szCs w:val="12"/>
                <w:color w:val="auto"/>
              </w:rPr>
            </w:pPr>
          </w:p>
        </w:tc>
        <w:tc>
          <w:tcPr>
            <w:tcW w:w="760" w:type="dxa"/>
            <w:vAlign w:val="bottom"/>
          </w:tcPr>
          <w:p>
            <w:pPr>
              <w:jc w:val="right"/>
              <w:ind w:right="56"/>
              <w:spacing w:after="0"/>
              <w:rPr>
                <w:sz w:val="20"/>
                <w:szCs w:val="20"/>
                <w:color w:val="auto"/>
              </w:rPr>
            </w:pPr>
            <w:r>
              <w:rPr>
                <w:rFonts w:ascii="Arial" w:cs="Arial" w:eastAsia="Arial" w:hAnsi="Arial"/>
                <w:sz w:val="13"/>
                <w:szCs w:val="13"/>
                <w:b w:val="1"/>
                <w:bCs w:val="1"/>
                <w:color w:val="auto"/>
                <w:w w:val="90"/>
              </w:rPr>
              <w:t>Relocation</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7"/>
              </w:rPr>
              <w:t>Other</w:t>
            </w:r>
          </w:p>
        </w:tc>
      </w:tr>
      <w:tr>
        <w:trPr>
          <w:trHeight w:val="161"/>
        </w:trPr>
        <w:tc>
          <w:tcPr>
            <w:tcW w:w="4320" w:type="dxa"/>
            <w:vAlign w:val="bottom"/>
          </w:tcPr>
          <w:p>
            <w:pPr>
              <w:ind w:left="2000"/>
              <w:spacing w:after="0"/>
              <w:rPr>
                <w:sz w:val="20"/>
                <w:szCs w:val="20"/>
                <w:color w:val="auto"/>
              </w:rPr>
            </w:pPr>
            <w:r>
              <w:rPr>
                <w:rFonts w:ascii="Arial" w:cs="Arial" w:eastAsia="Arial" w:hAnsi="Arial"/>
                <w:sz w:val="13"/>
                <w:szCs w:val="13"/>
                <w:b w:val="1"/>
                <w:bCs w:val="1"/>
                <w:color w:val="auto"/>
              </w:rPr>
              <w:t>Name</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ind w:right="96"/>
              <w:spacing w:after="0"/>
              <w:rPr>
                <w:sz w:val="20"/>
                <w:szCs w:val="20"/>
                <w:color w:val="auto"/>
              </w:rPr>
            </w:pPr>
            <w:r>
              <w:rPr>
                <w:rFonts w:ascii="Arial" w:cs="Arial" w:eastAsia="Arial" w:hAnsi="Arial"/>
                <w:sz w:val="13"/>
                <w:szCs w:val="13"/>
                <w:b w:val="1"/>
                <w:bCs w:val="1"/>
                <w:color w:val="auto"/>
                <w:w w:val="96"/>
              </w:rPr>
              <w:t>Allowance</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ind w:left="100"/>
              <w:spacing w:after="0"/>
              <w:rPr>
                <w:sz w:val="20"/>
                <w:szCs w:val="20"/>
                <w:color w:val="auto"/>
              </w:rPr>
            </w:pPr>
            <w:r>
              <w:rPr>
                <w:rFonts w:ascii="Arial" w:cs="Arial" w:eastAsia="Arial" w:hAnsi="Arial"/>
                <w:sz w:val="13"/>
                <w:szCs w:val="13"/>
                <w:b w:val="1"/>
                <w:bCs w:val="1"/>
                <w:color w:val="auto"/>
              </w:rPr>
              <w:t>401(k)</w:t>
            </w:r>
          </w:p>
        </w:tc>
        <w:tc>
          <w:tcPr>
            <w:tcW w:w="80" w:type="dxa"/>
            <w:vAlign w:val="bottom"/>
          </w:tcPr>
          <w:p>
            <w:pPr>
              <w:spacing w:after="0"/>
              <w:rPr>
                <w:sz w:val="14"/>
                <w:szCs w:val="14"/>
                <w:color w:val="auto"/>
              </w:rPr>
            </w:pPr>
          </w:p>
        </w:tc>
        <w:tc>
          <w:tcPr>
            <w:tcW w:w="780" w:type="dxa"/>
            <w:vAlign w:val="bottom"/>
          </w:tcPr>
          <w:p>
            <w:pPr>
              <w:jc w:val="center"/>
              <w:ind w:right="18"/>
              <w:spacing w:after="0"/>
              <w:rPr>
                <w:sz w:val="20"/>
                <w:szCs w:val="20"/>
                <w:color w:val="auto"/>
              </w:rPr>
            </w:pPr>
            <w:r>
              <w:rPr>
                <w:rFonts w:ascii="Arial" w:cs="Arial" w:eastAsia="Arial" w:hAnsi="Arial"/>
                <w:sz w:val="13"/>
                <w:szCs w:val="13"/>
                <w:b w:val="1"/>
                <w:bCs w:val="1"/>
                <w:color w:val="auto"/>
                <w:w w:val="95"/>
              </w:rPr>
              <w:t>Premiums</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94"/>
              </w:rPr>
              <w:t>Insurance</w:t>
            </w:r>
          </w:p>
        </w:tc>
        <w:tc>
          <w:tcPr>
            <w:tcW w:w="100" w:type="dxa"/>
            <w:vAlign w:val="bottom"/>
          </w:tcPr>
          <w:p>
            <w:pPr>
              <w:spacing w:after="0"/>
              <w:rPr>
                <w:sz w:val="14"/>
                <w:szCs w:val="14"/>
                <w:color w:val="auto"/>
              </w:rPr>
            </w:pPr>
          </w:p>
        </w:tc>
        <w:tc>
          <w:tcPr>
            <w:tcW w:w="760" w:type="dxa"/>
            <w:vAlign w:val="bottom"/>
          </w:tcPr>
          <w:p>
            <w:pPr>
              <w:jc w:val="right"/>
              <w:ind w:right="196"/>
              <w:spacing w:after="0"/>
              <w:rPr>
                <w:sz w:val="20"/>
                <w:szCs w:val="20"/>
                <w:color w:val="auto"/>
              </w:rPr>
            </w:pPr>
            <w:r>
              <w:rPr>
                <w:rFonts w:ascii="Arial" w:cs="Arial" w:eastAsia="Arial" w:hAnsi="Arial"/>
                <w:sz w:val="13"/>
                <w:szCs w:val="13"/>
                <w:b w:val="1"/>
                <w:bCs w:val="1"/>
                <w:color w:val="auto"/>
              </w:rPr>
              <w:t>Costs</w:t>
            </w:r>
          </w:p>
        </w:tc>
        <w:tc>
          <w:tcPr>
            <w:tcW w:w="320" w:type="dxa"/>
            <w:vAlign w:val="bottom"/>
          </w:tcPr>
          <w:p>
            <w:pPr>
              <w:spacing w:after="0"/>
              <w:rPr>
                <w:sz w:val="14"/>
                <w:szCs w:val="14"/>
                <w:color w:val="auto"/>
              </w:rPr>
            </w:pPr>
          </w:p>
        </w:tc>
        <w:tc>
          <w:tcPr>
            <w:tcW w:w="98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90"/>
              </w:rPr>
              <w:t>Compensation</w:t>
            </w:r>
          </w:p>
        </w:tc>
      </w:tr>
      <w:tr>
        <w:trPr>
          <w:trHeight w:val="223"/>
        </w:trPr>
        <w:tc>
          <w:tcPr>
            <w:tcW w:w="43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Harvey S. Kanter</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10,000</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9,975</w:t>
            </w:r>
          </w:p>
        </w:tc>
        <w:tc>
          <w:tcPr>
            <w:tcW w:w="2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9,698</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5,009</w:t>
            </w:r>
          </w:p>
        </w:tc>
        <w:tc>
          <w:tcPr>
            <w:tcW w:w="2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50,000</w:t>
            </w:r>
          </w:p>
        </w:tc>
        <w:tc>
          <w:tcPr>
            <w:tcW w:w="3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84,682</w:t>
            </w: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Peter H. Stratton, Jr.</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8,400</w:t>
            </w:r>
          </w:p>
        </w:tc>
        <w:tc>
          <w:tcPr>
            <w:tcW w:w="42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9,975</w:t>
            </w:r>
          </w:p>
        </w:tc>
        <w:tc>
          <w:tcPr>
            <w:tcW w:w="2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4,034</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3,063</w:t>
            </w:r>
          </w:p>
        </w:tc>
        <w:tc>
          <w:tcPr>
            <w:tcW w:w="2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25,472</w:t>
            </w:r>
          </w:p>
        </w:tc>
        <w:tc>
          <w:tcPr>
            <w:tcW w:w="60" w:type="dxa"/>
            <w:vAlign w:val="bottom"/>
          </w:tcPr>
          <w:p>
            <w:pPr>
              <w:spacing w:after="0"/>
              <w:rPr>
                <w:sz w:val="19"/>
                <w:szCs w:val="19"/>
                <w:color w:val="auto"/>
              </w:rPr>
            </w:pPr>
          </w:p>
        </w:tc>
      </w:tr>
      <w:tr>
        <w:trPr>
          <w:trHeight w:val="230"/>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Ujjwal Dhoot</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9,975</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9,975</w:t>
            </w:r>
          </w:p>
        </w:tc>
        <w:tc>
          <w:tcPr>
            <w:tcW w:w="60" w:type="dxa"/>
            <w:vAlign w:val="bottom"/>
            <w:shd w:val="clear" w:color="auto" w:fill="CFF0FC"/>
          </w:tcPr>
          <w:p>
            <w:pPr>
              <w:spacing w:after="0"/>
              <w:rPr>
                <w:sz w:val="19"/>
                <w:szCs w:val="19"/>
                <w:color w:val="auto"/>
              </w:rPr>
            </w:pPr>
          </w:p>
        </w:tc>
      </w:tr>
      <w:tr>
        <w:trPr>
          <w:trHeight w:val="229"/>
        </w:trPr>
        <w:tc>
          <w:tcPr>
            <w:tcW w:w="4320" w:type="dxa"/>
            <w:vAlign w:val="bottom"/>
          </w:tcPr>
          <w:p>
            <w:pPr>
              <w:spacing w:after="0"/>
              <w:rPr>
                <w:sz w:val="20"/>
                <w:szCs w:val="20"/>
                <w:color w:val="auto"/>
              </w:rPr>
            </w:pPr>
            <w:r>
              <w:rPr>
                <w:rFonts w:ascii="Arial" w:cs="Arial" w:eastAsia="Arial" w:hAnsi="Arial"/>
                <w:sz w:val="18"/>
                <w:szCs w:val="18"/>
                <w:color w:val="auto"/>
              </w:rPr>
              <w:t>Robert S. Molloy</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8,400</w:t>
            </w:r>
          </w:p>
        </w:tc>
        <w:tc>
          <w:tcPr>
            <w:tcW w:w="42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9,975</w:t>
            </w:r>
          </w:p>
        </w:tc>
        <w:tc>
          <w:tcPr>
            <w:tcW w:w="2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4,821</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4,399</w:t>
            </w:r>
          </w:p>
        </w:tc>
        <w:tc>
          <w:tcPr>
            <w:tcW w:w="2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27,595</w:t>
            </w:r>
          </w:p>
        </w:tc>
        <w:tc>
          <w:tcPr>
            <w:tcW w:w="60" w:type="dxa"/>
            <w:vAlign w:val="bottom"/>
          </w:tcPr>
          <w:p>
            <w:pPr>
              <w:spacing w:after="0"/>
              <w:rPr>
                <w:sz w:val="19"/>
                <w:szCs w:val="19"/>
                <w:color w:val="auto"/>
              </w:rPr>
            </w:pPr>
          </w:p>
        </w:tc>
      </w:tr>
      <w:tr>
        <w:trPr>
          <w:trHeight w:val="230"/>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Anthony J. Gaeta</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8,400</w:t>
            </w:r>
          </w:p>
        </w:tc>
        <w:tc>
          <w:tcPr>
            <w:tcW w:w="42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9,975</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3,489</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21,864</w:t>
            </w:r>
          </w:p>
        </w:tc>
        <w:tc>
          <w:tcPr>
            <w:tcW w:w="60" w:type="dxa"/>
            <w:vAlign w:val="bottom"/>
            <w:shd w:val="clear" w:color="auto" w:fill="CFF0FC"/>
          </w:tcPr>
          <w:p>
            <w:pPr>
              <w:spacing w:after="0"/>
              <w:rPr>
                <w:sz w:val="19"/>
                <w:szCs w:val="19"/>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CEO Pay Ratio</w:t>
      </w:r>
    </w:p>
    <w:p>
      <w:pPr>
        <w:spacing w:after="0" w:line="229"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As required by Section 953(b) of the Dodd-Frank Wall Street Reform and Consumer Protection Act, the Company is providing the following information about the relationship between the annual total compensation of the Company’s employees and the annual total compensation of the Company’s CEO. Our CEO-to-employee pay ratio has been calculated in accordance with Item 402(u) of Regulation S-K under the Exchange Act.</w:t>
      </w:r>
    </w:p>
    <w:p>
      <w:pPr>
        <w:spacing w:after="0" w:line="165"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total annual compensation for our CEO, Mr. Kanter, for fiscal 2020, as shown in the “</w:t>
      </w:r>
      <w:r>
        <w:rPr>
          <w:rFonts w:ascii="Arial" w:cs="Arial" w:eastAsia="Arial" w:hAnsi="Arial"/>
          <w:sz w:val="18"/>
          <w:szCs w:val="18"/>
          <w:i w:val="1"/>
          <w:iCs w:val="1"/>
          <w:color w:val="auto"/>
        </w:rPr>
        <w:t>Summary Compensation Table</w:t>
      </w:r>
      <w:r>
        <w:rPr>
          <w:rFonts w:ascii="Arial" w:cs="Arial" w:eastAsia="Arial" w:hAnsi="Arial"/>
          <w:sz w:val="18"/>
          <w:szCs w:val="18"/>
          <w:color w:val="auto"/>
        </w:rPr>
        <w:t>”, was $2,110,929. The total annual compensation for our median employee was $31,823, calculated using the same methodology as used in the “</w:t>
      </w:r>
      <w:r>
        <w:rPr>
          <w:rFonts w:ascii="Arial" w:cs="Arial" w:eastAsia="Arial" w:hAnsi="Arial"/>
          <w:sz w:val="18"/>
          <w:szCs w:val="18"/>
          <w:i w:val="1"/>
          <w:iCs w:val="1"/>
          <w:color w:val="auto"/>
        </w:rPr>
        <w:t>Summary Compensation Table</w:t>
      </w:r>
      <w:r>
        <w:rPr>
          <w:rFonts w:ascii="Arial" w:cs="Arial" w:eastAsia="Arial" w:hAnsi="Arial"/>
          <w:sz w:val="18"/>
          <w:szCs w:val="18"/>
          <w:color w:val="auto"/>
        </w:rPr>
        <w:t>”. Our median employee is a full-time employee who was not furloughed during fiscal 2020.</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9" w:name="page20"/>
    <w:bookmarkEnd w:id="19"/>
    <w:p>
      <w:pPr>
        <w:ind w:right="1000"/>
        <w:spacing w:after="0" w:line="277" w:lineRule="auto"/>
        <w:rPr>
          <w:sz w:val="20"/>
          <w:szCs w:val="20"/>
          <w:color w:val="auto"/>
        </w:rPr>
      </w:pPr>
      <w:r>
        <w:rPr>
          <w:rFonts w:ascii="Arial" w:cs="Arial" w:eastAsia="Arial" w:hAnsi="Arial"/>
          <w:sz w:val="18"/>
          <w:szCs w:val="18"/>
          <w:color w:val="auto"/>
        </w:rPr>
        <w:t>Based on this information, for fiscal 2020 the ratio of the annual total compensation of Mr. Kanter, our CEO, to the median of the annual total compensation of all employees was 66 to 1.</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To identify the median employee in 2020, we evaluated all employees, other than our CEO, employed by the Company as of December 31, 2020, including those employees who were furloughed for any period of time, and utilized the following methodology:</w:t>
      </w:r>
    </w:p>
    <w:p>
      <w:pPr>
        <w:spacing w:after="0" w:line="170" w:lineRule="exact"/>
        <w:rPr>
          <w:sz w:val="20"/>
          <w:szCs w:val="20"/>
          <w:color w:val="auto"/>
        </w:rPr>
      </w:pPr>
    </w:p>
    <w:p>
      <w:pPr>
        <w:ind w:left="740" w:right="20" w:hanging="368"/>
        <w:spacing w:after="0" w:line="286" w:lineRule="auto"/>
        <w:tabs>
          <w:tab w:leader="none" w:pos="7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We determined that, as of December 31, 2020, our employee population consisted of approximately 1,171 individuals, with 1,161 of these individuals located in the U.S. and 10 of these individuals located outside the U.S. This population includes our full-time, part-time, and seasonal employees. Approximately 81% of our total employee population at December 31, 2020 was considered full-time employees.</w:t>
      </w:r>
    </w:p>
    <w:p>
      <w:pPr>
        <w:spacing w:after="0" w:line="165" w:lineRule="exact"/>
        <w:rPr>
          <w:rFonts w:ascii="Arial" w:cs="Arial" w:eastAsia="Arial" w:hAnsi="Arial"/>
          <w:sz w:val="17"/>
          <w:szCs w:val="17"/>
          <w:color w:val="auto"/>
        </w:rPr>
      </w:pPr>
    </w:p>
    <w:p>
      <w:pPr>
        <w:ind w:left="740" w:right="220" w:hanging="368"/>
        <w:spacing w:after="0" w:line="308" w:lineRule="auto"/>
        <w:tabs>
          <w:tab w:leader="none" w:pos="7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To identify the “median employee” from our employee population, we compared the amount of compensation of our employees as reflected in our payroll records as reported to the Internal Revenue Service on Form W-2 for the year ended December 31, 2020.</w:t>
      </w:r>
    </w:p>
    <w:p>
      <w:pPr>
        <w:spacing w:after="0" w:line="146" w:lineRule="exact"/>
        <w:rPr>
          <w:rFonts w:ascii="Arial" w:cs="Arial" w:eastAsia="Arial" w:hAnsi="Arial"/>
          <w:sz w:val="17"/>
          <w:szCs w:val="17"/>
          <w:color w:val="auto"/>
        </w:rPr>
      </w:pPr>
    </w:p>
    <w:p>
      <w:pPr>
        <w:ind w:left="740" w:right="80" w:hanging="368"/>
        <w:spacing w:after="0" w:line="286" w:lineRule="auto"/>
        <w:tabs>
          <w:tab w:leader="none" w:pos="7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Because substantially all of our employees either took a temporary reduction in base salary during fiscal 2020 or were furloughed for a period of time, we did not annualize any compensation for any permanent full-time or part-time employees, who started employment at the Company during calendar 2020. We also did not annualize compensation for any seasonal or temporary employees.</w:t>
      </w:r>
    </w:p>
    <w:p>
      <w:pPr>
        <w:spacing w:after="0" w:line="165" w:lineRule="exact"/>
        <w:rPr>
          <w:rFonts w:ascii="Arial" w:cs="Arial" w:eastAsia="Arial" w:hAnsi="Arial"/>
          <w:sz w:val="17"/>
          <w:szCs w:val="17"/>
          <w:color w:val="auto"/>
        </w:rPr>
      </w:pPr>
    </w:p>
    <w:p>
      <w:pPr>
        <w:jc w:val="both"/>
        <w:ind w:left="740" w:right="60" w:hanging="368"/>
        <w:spacing w:after="0" w:line="291" w:lineRule="auto"/>
        <w:tabs>
          <w:tab w:leader="none" w:pos="7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We excluded employees located outside of the U.S. under the de minimis exception to the pay ratio rule, which permits exclusion if a company’s non-U.S. employees account for 5% or less of total employees. The jurisdictions and approximate number of employees excluded were Canada</w:t>
      </w:r>
    </w:p>
    <w:p>
      <w:pPr>
        <w:ind w:left="740"/>
        <w:spacing w:after="0"/>
        <w:rPr>
          <w:rFonts w:ascii="Arial" w:cs="Arial" w:eastAsia="Arial" w:hAnsi="Arial"/>
          <w:sz w:val="16"/>
          <w:szCs w:val="16"/>
          <w:color w:val="auto"/>
        </w:rPr>
      </w:pPr>
      <w:r>
        <w:rPr>
          <w:rFonts w:ascii="Arial" w:cs="Arial" w:eastAsia="Arial" w:hAnsi="Arial"/>
          <w:sz w:val="18"/>
          <w:szCs w:val="18"/>
          <w:color w:val="auto"/>
        </w:rPr>
        <w:t>(8) and Hong Kong (2).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Harvey S. Kanter, President, Chief Executive Officer and Director</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On February 19, 2019, we entered into an employment agreement with Mr. Kanter (the “Employment Agreement”). Pursuant to the terms of the Employment Agreement, Mr. Kanter was appointed President, Chief Executive Officer and a director of the Company effective April 1, 2019. From February 19, 2019 to March 31, 2019, Mr. Kanter served as an Advisor to the Acting CEO. The initial term of the Employment Agreement is three years, ending March 31, 2022 (“Initial Term”), and will automatically renew, upon the same terms and conditions, for successive periods of one year, unless either party terminates in accordance with the terms of the employment agreement. The Employment Agreement provided that Mr. Kanter would receive compensation of $50,000 for the period of February 19, 2019 through March 31, 2019 for his services as an Advisor to the Acting CEO and would receive an annual base salary of $735,000 as President and Chief Executive Officer, effective April 1, 2019, with an annual automobile allowance of $10,000.</w:t>
      </w:r>
    </w:p>
    <w:p>
      <w:pPr>
        <w:spacing w:after="0" w:line="166"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Mr. Kanter is eligible to participate in our annual incentive plan at a target rate of 100% of his earned salary, up to a maximum payout of up to 200% of target. Mr. Kanter is also eligible to participate in our long-term incentive plans at a target bonus equal to 170% of his base salary in effect on the effective date of participation. Pursuant to the terms of the LTIP, 50% of any award will be time-based compensation and 50% will be performance-based compensation. Maximum payout of performance-based compensation is 150% of target. Mr. Kanter waived his right to participate in the 2018-2020 LTIP.</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color w:val="auto"/>
        </w:rPr>
        <w:t>In connection with his hiring, Mr. Kanter received a housing allowance of $100,000 in April 2019, $50,000 in April 2020 and $50,000 on April 1,</w:t>
      </w:r>
    </w:p>
    <w:p>
      <w:pPr>
        <w:spacing w:after="0" w:line="35"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2021. Mr. Kanter also received a one-time grant of 720,000 PSUs on February 19, 2019, which will be settled in shares of the Company’s common stock upon vesting. The PSUs vest in three equal installments, if any, when the Company’s 90-day volume-weighted average closing price of its stock reaches $4.00, $6.00 and $8.00. Any performance shares that are unvested at April 1, 2023 will be forfeited. Mr. Kanter also received a one-time grant of 240,000 RSUs, which vests in four equal annual installments beginning April 1, 2020.</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If Mr. Kanter terminates his employment for Good Reason or the Company terminates his employment without Justifiable Cause:</w:t>
      </w:r>
    </w:p>
    <w:p>
      <w:pPr>
        <w:spacing w:after="0" w:line="225" w:lineRule="exact"/>
        <w:rPr>
          <w:sz w:val="20"/>
          <w:szCs w:val="20"/>
          <w:color w:val="auto"/>
        </w:rPr>
      </w:pPr>
    </w:p>
    <w:p>
      <w:pPr>
        <w:ind w:left="1120" w:right="200" w:hanging="748"/>
        <w:spacing w:after="0" w:line="257" w:lineRule="auto"/>
        <w:tabs>
          <w:tab w:leader="none" w:pos="11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During the Initial Term, Mr. Kanter will be eligible to receive, subject to certain requirements described in the Employment Agreement, a severance payment equal to (x) the Base Salary he would have been paid through the end of the Initial Term plus (y) bonuses under the Company’s Annual Incentive Plan for the remaining partial and complete fiscal years in the Initial Term as if Mr. Kanter had remained employed through the end of the Initial Term. Bonuses will be calculated assuming target and any partial year will be prorated. The severance payment will be paid in 24 monthly installments; and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20" w:name="page21"/>
    <w:bookmarkEnd w:id="20"/>
    <w:p>
      <w:pPr>
        <w:ind w:left="1120" w:right="40" w:hanging="748"/>
        <w:spacing w:after="0" w:line="255" w:lineRule="auto"/>
        <w:tabs>
          <w:tab w:leader="none" w:pos="11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During any one-year period that commences after the end of the Initial Term, Mr. Kanter will be eligible to receive a payment equal to (x) his then current Base Salary plus (y) the then value of his target bonus under the Annual Incentive Plan, payable in 24 monthly installments, and,</w:t>
      </w:r>
    </w:p>
    <w:p>
      <w:pPr>
        <w:spacing w:after="0" w:line="2" w:lineRule="exact"/>
        <w:rPr>
          <w:rFonts w:ascii="Arial" w:cs="Arial" w:eastAsia="Arial" w:hAnsi="Arial"/>
          <w:sz w:val="18"/>
          <w:szCs w:val="18"/>
          <w:color w:val="auto"/>
        </w:rPr>
      </w:pPr>
    </w:p>
    <w:p>
      <w:pPr>
        <w:ind w:left="1120" w:right="520" w:hanging="748"/>
        <w:spacing w:after="0" w:line="255" w:lineRule="auto"/>
        <w:tabs>
          <w:tab w:leader="none" w:pos="11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the Company timely elects not to renew the Employment Agreement after the Initial Term, Mr. Kanter will be eligible to receive a payment equal to (i) three months of his then current Base Salary plus (ii) the then value of 25% of his target bonus under the Annual Incentive Plan, payable in 24 monthly installments.</w:t>
      </w:r>
    </w:p>
    <w:p>
      <w:pPr>
        <w:spacing w:after="0" w:line="19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If Mr. Kanter’s employment is terminated by him for Good Reason or by the Company without Justifiable Cause during the one-year period following a Change in Control, then Mr. Kanter will be eligible to receive, subject to certain requirements described in the Employment Agreement, a payment equal to</w:t>
      </w:r>
    </w:p>
    <w:p>
      <w:pPr>
        <w:ind w:right="420" w:firstLine="8"/>
        <w:spacing w:after="0" w:line="260" w:lineRule="auto"/>
        <w:tabs>
          <w:tab w:leader="none" w:pos="21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two times his then current Base Salary plus (ii) the then value of two times his target bonus under the Annual Incentive Plan, generally payable in a lump sum within 60 days of the termination of his employment following a Change in Control.</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Senior Executives</w:t>
      </w:r>
    </w:p>
    <w:p>
      <w:pPr>
        <w:spacing w:after="0" w:line="117"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We also have employment agreements with each of our Senior Executives (the “Sr. Exec. Employment Agreements”). The term of each employment agreement begins on the respective effective date and continues until terminated by either party. Our Senior Executives are eligible to participate in our AIP. For fiscal 2020, Mr. Stratton participated at a target rate of 55%, Mr. Dhoot participated at a blended target rate of 45.9%, as a result of his promotion, Mr. Molloy participated at a target rate of 50% and Mr. Gaeta participated at a target rate of 40%. Senior Executives are also eligible to participate in our LTIPs at 70% of their respective average base salaries, as defined in the plan, depending on our performance (based on long-term performance goals). Each executive is entitled to vacation and to participate in and receive any other benefits customarily provided by us to our Senior Executives.</w:t>
      </w:r>
    </w:p>
    <w:p>
      <w:pPr>
        <w:spacing w:after="0" w:line="16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Sr. Exec. Employment Agreements provide that in the event the executive officer’s employment is terminated by us at any time for any reason other than “justifiable cause” (as defined in the Sr. Exec. Employment Agreements), disability or death, we are required to pay the executive his or her then current base salary for five months after the effective date of such termination. This severance benefit is conditioned upon the Senior Executive’s execution of a general release. The above-listed payments are not made if the Senior Executive is terminated with “justifiable cause,” the Senior Executive resigns, or the Senior Executive dies or becomes disabled. The Senior Executives would also be entitled to additional payments or acceleration of awards under the AIP and LTIP programs, in accordance with the terms of those plans.</w:t>
      </w:r>
    </w:p>
    <w:p>
      <w:pPr>
        <w:spacing w:after="0" w:line="192" w:lineRule="exact"/>
        <w:rPr>
          <w:sz w:val="20"/>
          <w:szCs w:val="20"/>
          <w:color w:val="auto"/>
        </w:rPr>
      </w:pPr>
    </w:p>
    <w:p>
      <w:pPr>
        <w:ind w:right="380"/>
        <w:spacing w:after="0" w:line="255" w:lineRule="auto"/>
        <w:rPr>
          <w:sz w:val="20"/>
          <w:szCs w:val="20"/>
          <w:color w:val="auto"/>
        </w:rPr>
      </w:pPr>
      <w:r>
        <w:rPr>
          <w:rFonts w:ascii="Arial" w:cs="Arial" w:eastAsia="Arial" w:hAnsi="Arial"/>
          <w:sz w:val="18"/>
          <w:szCs w:val="18"/>
          <w:color w:val="auto"/>
        </w:rPr>
        <w:t>In the event the Senior Executive’s employment is terminated at any time within one year following a Change of Control (as defined in the Sr. Exec. Employment Agreement) other than for "justifiable cause," or if the Senior Executive resigns for “good reason,” we shall pay the Senior Executive an amount equal to twelve months of executive’s highest base salary in effect at any time during the six month period ending on the date of the Change of Control. This payment also is conditioned upon the Senior Executive’s execution of a general release. Payments made under this provision are to be reduced if and to the extent necessary to avoid any payments or benefits to Senior Executive being treated as “excess parachute payments” within the meaning of Internal Revenue Code Section 280G(b)(i).</w:t>
      </w:r>
    </w:p>
    <w:p>
      <w:pPr>
        <w:spacing w:after="0" w:line="84"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The Sr. Exec. Employment Agreements contain confidentiality provisions pursuant to which each Senior Executive agrees not to disclose confidential information regarding our Company. The Sr. Exec. Employment Agreements also contain covenants pursuant to which each Senior Executive agrees, during the term of his employment and for a one-year period following the termination of his employment, not to have any connection with any business which is a specialty retailer that primarily distributes, sells or markets so-called “big and tall” apparel of any kind for men or which utilizes the “big and tall” retail or wholesale marketing concept as part of its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Estimated Potential Payments to Named Executive Officers</w:t>
      </w:r>
    </w:p>
    <w:p>
      <w:pPr>
        <w:spacing w:after="0" w:line="117" w:lineRule="exact"/>
        <w:rPr>
          <w:sz w:val="20"/>
          <w:szCs w:val="20"/>
          <w:color w:val="auto"/>
        </w:rPr>
      </w:pPr>
    </w:p>
    <w:p>
      <w:pPr>
        <w:ind w:right="640"/>
        <w:spacing w:after="0" w:line="263" w:lineRule="auto"/>
        <w:rPr>
          <w:sz w:val="20"/>
          <w:szCs w:val="20"/>
          <w:color w:val="auto"/>
        </w:rPr>
      </w:pPr>
      <w:r>
        <w:rPr>
          <w:rFonts w:ascii="Arial" w:cs="Arial" w:eastAsia="Arial" w:hAnsi="Arial"/>
          <w:sz w:val="18"/>
          <w:szCs w:val="18"/>
          <w:color w:val="auto"/>
        </w:rPr>
        <w:t>The following table shows the payments that would be made to our current Named Executive Officers assuming a “termination without cause” or a “resignation for good reason” (each a “Qualifying Termination”) or a Qualifying Termination following a Change in Control, as described in the employment agreements, as of January 30, 2021.</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13"/>
        </w:trPr>
        <w:tc>
          <w:tcPr>
            <w:tcW w:w="4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20" w:type="dxa"/>
            <w:vAlign w:val="bottom"/>
            <w:gridSpan w:val="5"/>
          </w:tcPr>
          <w:p>
            <w:pPr>
              <w:ind w:left="100"/>
              <w:spacing w:after="0"/>
              <w:rPr>
                <w:sz w:val="20"/>
                <w:szCs w:val="20"/>
                <w:color w:val="auto"/>
              </w:rPr>
            </w:pPr>
            <w:r>
              <w:rPr>
                <w:rFonts w:ascii="Arial" w:cs="Arial" w:eastAsia="Arial" w:hAnsi="Arial"/>
                <w:sz w:val="16"/>
                <w:szCs w:val="16"/>
                <w:b w:val="1"/>
                <w:bCs w:val="1"/>
                <w:color w:val="auto"/>
              </w:rPr>
              <w:t>Long-Term Incentive Plan</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2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60" w:type="dxa"/>
            <w:vAlign w:val="bottom"/>
            <w:gridSpan w:val="3"/>
            <w:vMerge w:val="restart"/>
          </w:tcPr>
          <w:p>
            <w:pPr>
              <w:jc w:val="center"/>
              <w:ind w:right="260"/>
              <w:spacing w:after="0"/>
              <w:rPr>
                <w:sz w:val="20"/>
                <w:szCs w:val="20"/>
                <w:color w:val="auto"/>
              </w:rPr>
            </w:pPr>
            <w:r>
              <w:rPr>
                <w:rFonts w:ascii="Arial" w:cs="Arial" w:eastAsia="Arial" w:hAnsi="Arial"/>
                <w:sz w:val="16"/>
                <w:szCs w:val="16"/>
                <w:b w:val="1"/>
                <w:bCs w:val="1"/>
                <w:color w:val="auto"/>
                <w:w w:val="93"/>
              </w:rPr>
              <w:t>Continued</w:t>
            </w:r>
          </w:p>
        </w:tc>
        <w:tc>
          <w:tcPr>
            <w:tcW w:w="120" w:type="dxa"/>
            <w:vAlign w:val="bottom"/>
          </w:tcPr>
          <w:p>
            <w:pPr>
              <w:spacing w:after="0"/>
              <w:rPr>
                <w:sz w:val="17"/>
                <w:szCs w:val="17"/>
                <w:color w:val="auto"/>
              </w:rPr>
            </w:pPr>
          </w:p>
        </w:tc>
        <w:tc>
          <w:tcPr>
            <w:tcW w:w="1060" w:type="dxa"/>
            <w:vAlign w:val="bottom"/>
            <w:gridSpan w:val="2"/>
            <w:vMerge w:val="restart"/>
          </w:tcPr>
          <w:p>
            <w:pPr>
              <w:jc w:val="center"/>
              <w:ind w:right="340"/>
              <w:spacing w:after="0"/>
              <w:rPr>
                <w:sz w:val="20"/>
                <w:szCs w:val="20"/>
                <w:color w:val="auto"/>
              </w:rPr>
            </w:pPr>
            <w:r>
              <w:rPr>
                <w:rFonts w:ascii="Arial" w:cs="Arial" w:eastAsia="Arial" w:hAnsi="Arial"/>
                <w:sz w:val="16"/>
                <w:szCs w:val="16"/>
                <w:b w:val="1"/>
                <w:bCs w:val="1"/>
                <w:color w:val="auto"/>
                <w:w w:val="95"/>
              </w:rPr>
              <w:t>Annual</w:t>
            </w:r>
          </w:p>
        </w:tc>
        <w:tc>
          <w:tcPr>
            <w:tcW w:w="96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w w:val="95"/>
              </w:rPr>
              <w:t>Sign-on and</w:t>
            </w:r>
          </w:p>
        </w:tc>
        <w:tc>
          <w:tcPr>
            <w:tcW w:w="2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vMerge w:val="restart"/>
          </w:tcPr>
          <w:p>
            <w:pPr>
              <w:jc w:val="center"/>
              <w:ind w:right="1"/>
              <w:spacing w:after="0"/>
              <w:rPr>
                <w:sz w:val="20"/>
                <w:szCs w:val="20"/>
                <w:color w:val="auto"/>
              </w:rPr>
            </w:pPr>
            <w:r>
              <w:rPr>
                <w:rFonts w:ascii="Arial" w:cs="Arial" w:eastAsia="Arial" w:hAnsi="Arial"/>
                <w:sz w:val="16"/>
                <w:szCs w:val="16"/>
                <w:b w:val="1"/>
                <w:bCs w:val="1"/>
                <w:color w:val="auto"/>
                <w:w w:val="93"/>
              </w:rPr>
              <w:t>Time-</w:t>
            </w:r>
          </w:p>
        </w:tc>
        <w:tc>
          <w:tcPr>
            <w:tcW w:w="2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1"/>
              </w:rPr>
              <w:t>Performance-</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vMerge w:val="restart"/>
          </w:tcPr>
          <w:p>
            <w:pPr>
              <w:jc w:val="center"/>
              <w:ind w:right="140"/>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162"/>
        </w:trPr>
        <w:tc>
          <w:tcPr>
            <w:tcW w:w="4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6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center"/>
              <w:ind w:right="440"/>
              <w:spacing w:after="0" w:line="162" w:lineRule="exact"/>
              <w:rPr>
                <w:sz w:val="20"/>
                <w:szCs w:val="20"/>
                <w:color w:val="auto"/>
              </w:rPr>
            </w:pPr>
            <w:r>
              <w:rPr>
                <w:rFonts w:ascii="Arial" w:cs="Arial" w:eastAsia="Arial" w:hAnsi="Arial"/>
                <w:sz w:val="16"/>
                <w:szCs w:val="16"/>
                <w:b w:val="1"/>
                <w:bCs w:val="1"/>
                <w:color w:val="auto"/>
                <w:w w:val="87"/>
              </w:rPr>
              <w:t>Based</w:t>
            </w:r>
          </w:p>
        </w:tc>
        <w:tc>
          <w:tcPr>
            <w:tcW w:w="8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2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3"/>
              </w:rPr>
              <w:t>Base</w:t>
            </w:r>
          </w:p>
        </w:tc>
        <w:tc>
          <w:tcPr>
            <w:tcW w:w="120" w:type="dxa"/>
            <w:vAlign w:val="bottom"/>
          </w:tcPr>
          <w:p>
            <w:pPr>
              <w:spacing w:after="0"/>
              <w:rPr>
                <w:sz w:val="17"/>
                <w:szCs w:val="17"/>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2"/>
              </w:rPr>
              <w:t>Incentive</w:t>
            </w:r>
          </w:p>
        </w:tc>
        <w:tc>
          <w:tcPr>
            <w:tcW w:w="960" w:type="dxa"/>
            <w:vAlign w:val="bottom"/>
            <w:gridSpan w:val="2"/>
          </w:tcPr>
          <w:p>
            <w:pPr>
              <w:spacing w:after="0"/>
              <w:rPr>
                <w:sz w:val="20"/>
                <w:szCs w:val="20"/>
                <w:color w:val="auto"/>
              </w:rPr>
            </w:pPr>
            <w:r>
              <w:rPr>
                <w:rFonts w:ascii="Arial" w:cs="Arial" w:eastAsia="Arial" w:hAnsi="Arial"/>
                <w:sz w:val="16"/>
                <w:szCs w:val="16"/>
                <w:b w:val="1"/>
                <w:bCs w:val="1"/>
                <w:color w:val="auto"/>
                <w:w w:val="91"/>
              </w:rPr>
              <w:t>Discretionary</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center"/>
              <w:ind w:right="1"/>
              <w:spacing w:after="0"/>
              <w:rPr>
                <w:sz w:val="20"/>
                <w:szCs w:val="20"/>
                <w:color w:val="auto"/>
              </w:rPr>
            </w:pPr>
            <w:r>
              <w:rPr>
                <w:rFonts w:ascii="Arial" w:cs="Arial" w:eastAsia="Arial" w:hAnsi="Arial"/>
                <w:sz w:val="16"/>
                <w:szCs w:val="16"/>
                <w:b w:val="1"/>
                <w:bCs w:val="1"/>
                <w:color w:val="auto"/>
                <w:w w:val="83"/>
              </w:rPr>
              <w:t>Based</w:t>
            </w:r>
          </w:p>
        </w:tc>
        <w:tc>
          <w:tcPr>
            <w:tcW w:w="220" w:type="dxa"/>
            <w:vAlign w:val="bottom"/>
          </w:tcPr>
          <w:p>
            <w:pPr>
              <w:spacing w:after="0"/>
              <w:rPr>
                <w:sz w:val="17"/>
                <w:szCs w:val="17"/>
                <w:color w:val="auto"/>
              </w:rPr>
            </w:pPr>
          </w:p>
        </w:tc>
        <w:tc>
          <w:tcPr>
            <w:tcW w:w="1260" w:type="dxa"/>
            <w:vAlign w:val="bottom"/>
            <w:gridSpan w:val="3"/>
          </w:tcPr>
          <w:p>
            <w:pPr>
              <w:ind w:left="20"/>
              <w:spacing w:after="0"/>
              <w:rPr>
                <w:sz w:val="20"/>
                <w:szCs w:val="20"/>
                <w:color w:val="auto"/>
              </w:rPr>
            </w:pPr>
            <w:r>
              <w:rPr>
                <w:rFonts w:ascii="Arial" w:cs="Arial" w:eastAsia="Arial" w:hAnsi="Arial"/>
                <w:sz w:val="16"/>
                <w:szCs w:val="16"/>
                <w:b w:val="1"/>
                <w:bCs w:val="1"/>
                <w:color w:val="auto"/>
              </w:rPr>
              <w:t>Compensation</w:t>
            </w:r>
          </w:p>
        </w:tc>
        <w:tc>
          <w:tcPr>
            <w:tcW w:w="80" w:type="dxa"/>
            <w:vAlign w:val="bottom"/>
          </w:tcPr>
          <w:p>
            <w:pPr>
              <w:spacing w:after="0"/>
              <w:rPr>
                <w:sz w:val="17"/>
                <w:szCs w:val="17"/>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1"/>
              </w:rPr>
              <w:t>Potential</w:t>
            </w:r>
          </w:p>
        </w:tc>
        <w:tc>
          <w:tcPr>
            <w:tcW w:w="0" w:type="dxa"/>
            <w:vAlign w:val="bottom"/>
          </w:tcPr>
          <w:p>
            <w:pPr>
              <w:spacing w:after="0"/>
              <w:rPr>
                <w:sz w:val="1"/>
                <w:szCs w:val="1"/>
                <w:color w:val="auto"/>
              </w:rPr>
            </w:pPr>
          </w:p>
        </w:tc>
      </w:tr>
      <w:tr>
        <w:trPr>
          <w:trHeight w:val="175"/>
        </w:trPr>
        <w:tc>
          <w:tcPr>
            <w:tcW w:w="3880" w:type="dxa"/>
            <w:vAlign w:val="bottom"/>
            <w:gridSpan w:val="2"/>
          </w:tcPr>
          <w:p>
            <w:pPr>
              <w:spacing w:after="0" w:line="155" w:lineRule="exact"/>
              <w:rPr>
                <w:sz w:val="20"/>
                <w:szCs w:val="20"/>
                <w:color w:val="auto"/>
              </w:rPr>
            </w:pPr>
            <w:r>
              <w:rPr>
                <w:rFonts w:ascii="Arial" w:cs="Arial" w:eastAsia="Arial" w:hAnsi="Arial"/>
                <w:sz w:val="16"/>
                <w:szCs w:val="16"/>
                <w:b w:val="1"/>
                <w:bCs w:val="1"/>
                <w:color w:val="auto"/>
              </w:rPr>
              <w:t>Name</w:t>
            </w: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center"/>
              <w:ind w:right="380"/>
              <w:spacing w:after="0" w:line="156" w:lineRule="exact"/>
              <w:rPr>
                <w:sz w:val="20"/>
                <w:szCs w:val="20"/>
                <w:color w:val="auto"/>
              </w:rPr>
            </w:pPr>
            <w:r>
              <w:rPr>
                <w:rFonts w:ascii="Arial" w:cs="Arial" w:eastAsia="Arial" w:hAnsi="Arial"/>
                <w:sz w:val="12"/>
                <w:szCs w:val="12"/>
                <w:b w:val="1"/>
                <w:bCs w:val="1"/>
                <w:color w:val="auto"/>
              </w:rPr>
              <w:t>Salary</w:t>
            </w:r>
            <w:r>
              <w:rPr>
                <w:rFonts w:ascii="Arial" w:cs="Arial" w:eastAsia="Arial" w:hAnsi="Arial"/>
                <w:sz w:val="18"/>
                <w:szCs w:val="18"/>
                <w:b w:val="1"/>
                <w:bCs w:val="1"/>
                <w:color w:val="auto"/>
                <w:vertAlign w:val="superscript"/>
              </w:rPr>
              <w:t>(1)</w:t>
            </w:r>
          </w:p>
        </w:tc>
        <w:tc>
          <w:tcPr>
            <w:tcW w:w="120" w:type="dxa"/>
            <w:vAlign w:val="bottom"/>
          </w:tcPr>
          <w:p>
            <w:pPr>
              <w:spacing w:after="0"/>
              <w:rPr>
                <w:sz w:val="15"/>
                <w:szCs w:val="15"/>
                <w:color w:val="auto"/>
              </w:rPr>
            </w:pPr>
          </w:p>
        </w:tc>
        <w:tc>
          <w:tcPr>
            <w:tcW w:w="1060" w:type="dxa"/>
            <w:vAlign w:val="bottom"/>
            <w:gridSpan w:val="2"/>
          </w:tcPr>
          <w:p>
            <w:pPr>
              <w:jc w:val="center"/>
              <w:ind w:right="340"/>
              <w:spacing w:after="0" w:line="156" w:lineRule="exact"/>
              <w:rPr>
                <w:sz w:val="20"/>
                <w:szCs w:val="20"/>
                <w:color w:val="auto"/>
              </w:rPr>
            </w:pPr>
            <w:r>
              <w:rPr>
                <w:rFonts w:ascii="Arial" w:cs="Arial" w:eastAsia="Arial" w:hAnsi="Arial"/>
                <w:sz w:val="12"/>
                <w:szCs w:val="12"/>
                <w:b w:val="1"/>
                <w:bCs w:val="1"/>
                <w:color w:val="auto"/>
              </w:rPr>
              <w:t xml:space="preserve">Plan </w:t>
            </w:r>
            <w:r>
              <w:rPr>
                <w:rFonts w:ascii="Arial" w:cs="Arial" w:eastAsia="Arial" w:hAnsi="Arial"/>
                <w:sz w:val="18"/>
                <w:szCs w:val="18"/>
                <w:b w:val="1"/>
                <w:bCs w:val="1"/>
                <w:color w:val="auto"/>
                <w:vertAlign w:val="superscript"/>
              </w:rPr>
              <w:t>(2)</w:t>
            </w:r>
          </w:p>
        </w:tc>
        <w:tc>
          <w:tcPr>
            <w:tcW w:w="100" w:type="dxa"/>
            <w:vAlign w:val="bottom"/>
          </w:tcPr>
          <w:p>
            <w:pPr>
              <w:spacing w:after="0"/>
              <w:rPr>
                <w:sz w:val="15"/>
                <w:szCs w:val="15"/>
                <w:color w:val="auto"/>
              </w:rPr>
            </w:pPr>
          </w:p>
        </w:tc>
        <w:tc>
          <w:tcPr>
            <w:tcW w:w="860" w:type="dxa"/>
            <w:vAlign w:val="bottom"/>
          </w:tcPr>
          <w:p>
            <w:pPr>
              <w:jc w:val="right"/>
              <w:ind w:right="41"/>
              <w:spacing w:after="0" w:line="156" w:lineRule="exact"/>
              <w:rPr>
                <w:sz w:val="20"/>
                <w:szCs w:val="20"/>
                <w:color w:val="auto"/>
              </w:rPr>
            </w:pPr>
            <w:r>
              <w:rPr>
                <w:rFonts w:ascii="Arial" w:cs="Arial" w:eastAsia="Arial" w:hAnsi="Arial"/>
                <w:sz w:val="12"/>
                <w:szCs w:val="12"/>
                <w:b w:val="1"/>
                <w:bCs w:val="1"/>
                <w:color w:val="auto"/>
              </w:rPr>
              <w:t xml:space="preserve">Awards </w:t>
            </w:r>
            <w:r>
              <w:rPr>
                <w:rFonts w:ascii="Arial" w:cs="Arial" w:eastAsia="Arial" w:hAnsi="Arial"/>
                <w:sz w:val="18"/>
                <w:szCs w:val="18"/>
                <w:b w:val="1"/>
                <w:bCs w:val="1"/>
                <w:color w:val="auto"/>
                <w:vertAlign w:val="superscript"/>
              </w:rPr>
              <w:t>(3)</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jc w:val="center"/>
              <w:ind w:right="1"/>
              <w:spacing w:after="0" w:line="156" w:lineRule="exact"/>
              <w:rPr>
                <w:sz w:val="20"/>
                <w:szCs w:val="20"/>
                <w:color w:val="auto"/>
              </w:rPr>
            </w:pPr>
            <w:r>
              <w:rPr>
                <w:rFonts w:ascii="Arial" w:cs="Arial" w:eastAsia="Arial" w:hAnsi="Arial"/>
                <w:sz w:val="12"/>
                <w:szCs w:val="12"/>
                <w:b w:val="1"/>
                <w:bCs w:val="1"/>
                <w:color w:val="auto"/>
              </w:rPr>
              <w:t xml:space="preserve">Awards </w:t>
            </w:r>
            <w:r>
              <w:rPr>
                <w:rFonts w:ascii="Arial" w:cs="Arial" w:eastAsia="Arial" w:hAnsi="Arial"/>
                <w:sz w:val="18"/>
                <w:szCs w:val="18"/>
                <w:b w:val="1"/>
                <w:bCs w:val="1"/>
                <w:color w:val="auto"/>
                <w:vertAlign w:val="superscript"/>
              </w:rPr>
              <w:t>(4)</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center"/>
              <w:ind w:right="120"/>
              <w:spacing w:after="0" w:line="155" w:lineRule="exact"/>
              <w:rPr>
                <w:sz w:val="20"/>
                <w:szCs w:val="20"/>
                <w:color w:val="auto"/>
              </w:rPr>
            </w:pPr>
            <w:r>
              <w:rPr>
                <w:rFonts w:ascii="Arial" w:cs="Arial" w:eastAsia="Arial" w:hAnsi="Arial"/>
                <w:sz w:val="14"/>
                <w:szCs w:val="14"/>
                <w:b w:val="1"/>
                <w:bCs w:val="1"/>
                <w:color w:val="auto"/>
                <w:w w:val="93"/>
              </w:rPr>
              <w:t>(5)</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tcPr>
          <w:p>
            <w:pPr>
              <w:jc w:val="center"/>
              <w:ind w:right="140"/>
              <w:spacing w:after="0" w:line="155" w:lineRule="exact"/>
              <w:rPr>
                <w:sz w:val="20"/>
                <w:szCs w:val="20"/>
                <w:color w:val="auto"/>
              </w:rPr>
            </w:pPr>
            <w:r>
              <w:rPr>
                <w:rFonts w:ascii="Arial" w:cs="Arial" w:eastAsia="Arial" w:hAnsi="Arial"/>
                <w:sz w:val="16"/>
                <w:szCs w:val="16"/>
                <w:b w:val="1"/>
                <w:bCs w:val="1"/>
                <w:color w:val="auto"/>
                <w:w w:val="89"/>
              </w:rPr>
              <w:t>Payments</w:t>
            </w:r>
          </w:p>
        </w:tc>
        <w:tc>
          <w:tcPr>
            <w:tcW w:w="0" w:type="dxa"/>
            <w:vAlign w:val="bottom"/>
          </w:tcPr>
          <w:p>
            <w:pPr>
              <w:spacing w:after="0"/>
              <w:rPr>
                <w:sz w:val="1"/>
                <w:szCs w:val="1"/>
                <w:color w:val="auto"/>
              </w:rPr>
            </w:pPr>
          </w:p>
        </w:tc>
      </w:tr>
      <w:tr>
        <w:trPr>
          <w:trHeight w:val="21"/>
        </w:trPr>
        <w:tc>
          <w:tcPr>
            <w:tcW w:w="420" w:type="dxa"/>
            <w:vAlign w:val="bottom"/>
            <w:tcBorders>
              <w:top w:val="single" w:sz="8" w:color="auto"/>
              <w:bottom w:val="single" w:sz="8" w:color="CFF0FC"/>
            </w:tcBorders>
          </w:tcPr>
          <w:p>
            <w:pPr>
              <w:spacing w:after="0" w:line="20" w:lineRule="exact"/>
              <w:rPr>
                <w:sz w:val="1"/>
                <w:szCs w:val="1"/>
                <w:color w:val="auto"/>
              </w:rPr>
            </w:pPr>
          </w:p>
        </w:tc>
        <w:tc>
          <w:tcPr>
            <w:tcW w:w="3460" w:type="dxa"/>
            <w:vAlign w:val="bottom"/>
            <w:tcBorders>
              <w:bottom w:val="single" w:sz="8" w:color="CFF0FC"/>
            </w:tcBorders>
          </w:tcPr>
          <w:p>
            <w:pPr>
              <w:spacing w:after="0" w:line="20" w:lineRule="exact"/>
              <w:rPr>
                <w:sz w:val="1"/>
                <w:szCs w:val="1"/>
                <w:color w:val="auto"/>
              </w:rPr>
            </w:pPr>
          </w:p>
        </w:tc>
        <w:tc>
          <w:tcPr>
            <w:tcW w:w="480" w:type="dxa"/>
            <w:vAlign w:val="bottom"/>
            <w:tcBorders>
              <w:bottom w:val="single" w:sz="8" w:color="CFF0FC"/>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FF0FC"/>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FF0FC"/>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FF0F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38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Harvey S. Kanter</w:t>
            </w:r>
          </w:p>
        </w:tc>
        <w:tc>
          <w:tcPr>
            <w:tcW w:w="4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880" w:type="dxa"/>
            <w:vAlign w:val="bottom"/>
            <w:gridSpan w:val="2"/>
          </w:tcPr>
          <w:p>
            <w:pPr>
              <w:ind w:left="260"/>
              <w:spacing w:after="0"/>
              <w:rPr>
                <w:sz w:val="20"/>
                <w:szCs w:val="20"/>
                <w:color w:val="auto"/>
              </w:rPr>
            </w:pPr>
            <w:r>
              <w:rPr>
                <w:rFonts w:ascii="Arial" w:cs="Arial" w:eastAsia="Arial" w:hAnsi="Arial"/>
                <w:sz w:val="16"/>
                <w:szCs w:val="16"/>
                <w:color w:val="auto"/>
              </w:rPr>
              <w:t>Qualifying Termination</w:t>
            </w:r>
          </w:p>
        </w:tc>
        <w:tc>
          <w:tcPr>
            <w:tcW w:w="6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1,715,000</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824,331</w:t>
            </w:r>
          </w:p>
        </w:tc>
        <w:tc>
          <w:tcPr>
            <w:tcW w:w="2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59,445</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139,806</w:t>
            </w:r>
          </w:p>
        </w:tc>
        <w:tc>
          <w:tcPr>
            <w:tcW w:w="42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621,844</w:t>
            </w:r>
          </w:p>
        </w:tc>
        <w:tc>
          <w:tcPr>
            <w:tcW w:w="2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3,360,426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8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Qualifying Termination due to change in control</w:t>
            </w:r>
          </w:p>
        </w:tc>
        <w:tc>
          <w:tcPr>
            <w:tcW w:w="6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2,940,000</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824,331</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59,445</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139,806</w:t>
            </w:r>
          </w:p>
        </w:tc>
        <w:tc>
          <w:tcPr>
            <w:tcW w:w="420" w:type="dxa"/>
            <w:vAlign w:val="bottom"/>
            <w:gridSpan w:val="2"/>
            <w:shd w:val="clear" w:color="auto" w:fill="CFF0FC"/>
          </w:tcPr>
          <w:p>
            <w:pPr>
              <w:ind w:left="2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621,844</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4,585,426</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880" w:type="dxa"/>
            <w:vAlign w:val="bottom"/>
            <w:gridSpan w:val="2"/>
          </w:tcPr>
          <w:p>
            <w:pPr>
              <w:spacing w:after="0"/>
              <w:rPr>
                <w:sz w:val="20"/>
                <w:szCs w:val="20"/>
                <w:color w:val="auto"/>
              </w:rPr>
            </w:pPr>
            <w:r>
              <w:rPr>
                <w:rFonts w:ascii="Arial" w:cs="Arial" w:eastAsia="Arial" w:hAnsi="Arial"/>
                <w:sz w:val="16"/>
                <w:szCs w:val="16"/>
                <w:color w:val="auto"/>
              </w:rPr>
              <w:t>Peter H. Stratton, Jr.</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8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Qualifying Termination</w:t>
            </w:r>
          </w:p>
        </w:tc>
        <w:tc>
          <w:tcPr>
            <w:tcW w:w="6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197,500</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182,741</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40,566</w:t>
            </w:r>
          </w:p>
        </w:tc>
        <w:tc>
          <w:tcPr>
            <w:tcW w:w="420" w:type="dxa"/>
            <w:vAlign w:val="bottom"/>
            <w:gridSpan w:val="2"/>
            <w:shd w:val="clear" w:color="auto" w:fill="CFF0FC"/>
          </w:tcPr>
          <w:p>
            <w:pPr>
              <w:ind w:left="2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138,292</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559,099</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880" w:type="dxa"/>
            <w:vAlign w:val="bottom"/>
            <w:gridSpan w:val="2"/>
          </w:tcPr>
          <w:p>
            <w:pPr>
              <w:ind w:left="260"/>
              <w:spacing w:after="0"/>
              <w:rPr>
                <w:sz w:val="20"/>
                <w:szCs w:val="20"/>
                <w:color w:val="auto"/>
              </w:rPr>
            </w:pPr>
            <w:r>
              <w:rPr>
                <w:rFonts w:ascii="Arial" w:cs="Arial" w:eastAsia="Arial" w:hAnsi="Arial"/>
                <w:sz w:val="16"/>
                <w:szCs w:val="16"/>
                <w:color w:val="auto"/>
              </w:rPr>
              <w:t>Qualifying Termination due to change in control</w:t>
            </w:r>
          </w:p>
        </w:tc>
        <w:tc>
          <w:tcPr>
            <w:tcW w:w="6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395,000</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182,741</w:t>
            </w:r>
          </w:p>
        </w:tc>
        <w:tc>
          <w:tcPr>
            <w:tcW w:w="2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40,566</w:t>
            </w:r>
          </w:p>
        </w:tc>
        <w:tc>
          <w:tcPr>
            <w:tcW w:w="42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138,292</w:t>
            </w:r>
          </w:p>
        </w:tc>
        <w:tc>
          <w:tcPr>
            <w:tcW w:w="2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756,599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80" w:type="dxa"/>
            <w:vAlign w:val="bottom"/>
            <w:gridSpan w:val="2"/>
          </w:tcPr>
          <w:p>
            <w:pPr>
              <w:spacing w:after="0"/>
              <w:rPr>
                <w:sz w:val="20"/>
                <w:szCs w:val="20"/>
                <w:color w:val="auto"/>
              </w:rPr>
            </w:pPr>
            <w:r>
              <w:rPr>
                <w:rFonts w:ascii="Arial" w:cs="Arial" w:eastAsia="Arial" w:hAnsi="Arial"/>
                <w:sz w:val="16"/>
                <w:szCs w:val="16"/>
                <w:color w:val="auto"/>
              </w:rPr>
              <w:t>Ujjwal Dhoot</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88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Qualifying Termination</w:t>
            </w:r>
          </w:p>
        </w:tc>
        <w:tc>
          <w:tcPr>
            <w:tcW w:w="6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192,500</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126,025</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36,044</w:t>
            </w:r>
          </w:p>
        </w:tc>
        <w:tc>
          <w:tcPr>
            <w:tcW w:w="420" w:type="dxa"/>
            <w:vAlign w:val="bottom"/>
            <w:gridSpan w:val="2"/>
            <w:shd w:val="clear" w:color="auto" w:fill="CFF0FC"/>
          </w:tcPr>
          <w:p>
            <w:pPr>
              <w:ind w:left="2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74,511</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429,080</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880" w:type="dxa"/>
            <w:vAlign w:val="bottom"/>
            <w:gridSpan w:val="2"/>
          </w:tcPr>
          <w:p>
            <w:pPr>
              <w:ind w:left="260"/>
              <w:spacing w:after="0"/>
              <w:rPr>
                <w:sz w:val="20"/>
                <w:szCs w:val="20"/>
                <w:color w:val="auto"/>
              </w:rPr>
            </w:pPr>
            <w:r>
              <w:rPr>
                <w:rFonts w:ascii="Arial" w:cs="Arial" w:eastAsia="Arial" w:hAnsi="Arial"/>
                <w:sz w:val="16"/>
                <w:szCs w:val="16"/>
                <w:color w:val="auto"/>
              </w:rPr>
              <w:t>Qualifying Termination due to change in control</w:t>
            </w:r>
          </w:p>
        </w:tc>
        <w:tc>
          <w:tcPr>
            <w:tcW w:w="6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385,000</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126,025</w:t>
            </w:r>
          </w:p>
        </w:tc>
        <w:tc>
          <w:tcPr>
            <w:tcW w:w="2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36,044</w:t>
            </w:r>
          </w:p>
        </w:tc>
        <w:tc>
          <w:tcPr>
            <w:tcW w:w="42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74,511</w:t>
            </w:r>
          </w:p>
        </w:tc>
        <w:tc>
          <w:tcPr>
            <w:tcW w:w="2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621,580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Robert S. Molloy</w:t>
            </w:r>
          </w:p>
        </w:tc>
        <w:tc>
          <w:tcPr>
            <w:tcW w:w="4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880" w:type="dxa"/>
            <w:vAlign w:val="bottom"/>
            <w:gridSpan w:val="2"/>
          </w:tcPr>
          <w:p>
            <w:pPr>
              <w:ind w:left="260"/>
              <w:spacing w:after="0"/>
              <w:rPr>
                <w:sz w:val="20"/>
                <w:szCs w:val="20"/>
                <w:color w:val="auto"/>
              </w:rPr>
            </w:pPr>
            <w:r>
              <w:rPr>
                <w:rFonts w:ascii="Arial" w:cs="Arial" w:eastAsia="Arial" w:hAnsi="Arial"/>
                <w:sz w:val="16"/>
                <w:szCs w:val="16"/>
                <w:color w:val="auto"/>
              </w:rPr>
              <w:t>Qualifying Termination</w:t>
            </w:r>
          </w:p>
        </w:tc>
        <w:tc>
          <w:tcPr>
            <w:tcW w:w="6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187,500</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140,192</w:t>
            </w:r>
          </w:p>
        </w:tc>
        <w:tc>
          <w:tcPr>
            <w:tcW w:w="2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38,513</w:t>
            </w:r>
          </w:p>
        </w:tc>
        <w:tc>
          <w:tcPr>
            <w:tcW w:w="42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131,290</w:t>
            </w:r>
          </w:p>
        </w:tc>
        <w:tc>
          <w:tcPr>
            <w:tcW w:w="2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497,495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8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Qualifying Termination due to change in control</w:t>
            </w:r>
          </w:p>
        </w:tc>
        <w:tc>
          <w:tcPr>
            <w:tcW w:w="6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375,000</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140,192</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38,513</w:t>
            </w:r>
          </w:p>
        </w:tc>
        <w:tc>
          <w:tcPr>
            <w:tcW w:w="420" w:type="dxa"/>
            <w:vAlign w:val="bottom"/>
            <w:gridSpan w:val="2"/>
            <w:shd w:val="clear" w:color="auto" w:fill="CFF0FC"/>
          </w:tcPr>
          <w:p>
            <w:pPr>
              <w:ind w:left="2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131,290</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684,995</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880" w:type="dxa"/>
            <w:vAlign w:val="bottom"/>
            <w:gridSpan w:val="2"/>
          </w:tcPr>
          <w:p>
            <w:pPr>
              <w:spacing w:after="0"/>
              <w:rPr>
                <w:sz w:val="20"/>
                <w:szCs w:val="20"/>
                <w:color w:val="auto"/>
              </w:rPr>
            </w:pPr>
            <w:r>
              <w:rPr>
                <w:rFonts w:ascii="Arial" w:cs="Arial" w:eastAsia="Arial" w:hAnsi="Arial"/>
                <w:sz w:val="16"/>
                <w:szCs w:val="16"/>
                <w:color w:val="auto"/>
              </w:rPr>
              <w:t>Anthony J. Gaeta</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8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Qualifying Termination</w:t>
            </w:r>
          </w:p>
        </w:tc>
        <w:tc>
          <w:tcPr>
            <w:tcW w:w="6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147,500</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99,256</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30,056</w:t>
            </w:r>
          </w:p>
        </w:tc>
        <w:tc>
          <w:tcPr>
            <w:tcW w:w="420" w:type="dxa"/>
            <w:vAlign w:val="bottom"/>
            <w:gridSpan w:val="2"/>
            <w:shd w:val="clear" w:color="auto" w:fill="CFF0FC"/>
          </w:tcPr>
          <w:p>
            <w:pPr>
              <w:ind w:left="2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103,282</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380,094</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880" w:type="dxa"/>
            <w:vAlign w:val="bottom"/>
            <w:gridSpan w:val="2"/>
          </w:tcPr>
          <w:p>
            <w:pPr>
              <w:ind w:left="260"/>
              <w:spacing w:after="0"/>
              <w:rPr>
                <w:sz w:val="20"/>
                <w:szCs w:val="20"/>
                <w:color w:val="auto"/>
              </w:rPr>
            </w:pPr>
            <w:r>
              <w:rPr>
                <w:rFonts w:ascii="Arial" w:cs="Arial" w:eastAsia="Arial" w:hAnsi="Arial"/>
                <w:sz w:val="16"/>
                <w:szCs w:val="16"/>
                <w:color w:val="auto"/>
              </w:rPr>
              <w:t>Qualifying Termination due to change in control</w:t>
            </w:r>
          </w:p>
        </w:tc>
        <w:tc>
          <w:tcPr>
            <w:tcW w:w="6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295,000</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99,256</w:t>
            </w:r>
          </w:p>
        </w:tc>
        <w:tc>
          <w:tcPr>
            <w:tcW w:w="2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30,056</w:t>
            </w:r>
          </w:p>
        </w:tc>
        <w:tc>
          <w:tcPr>
            <w:tcW w:w="42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103,282</w:t>
            </w:r>
          </w:p>
        </w:tc>
        <w:tc>
          <w:tcPr>
            <w:tcW w:w="2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527,594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95" w:lineRule="exact"/>
        <w:rPr>
          <w:sz w:val="20"/>
          <w:szCs w:val="20"/>
          <w:color w:val="auto"/>
        </w:rPr>
      </w:pPr>
    </w:p>
    <w:p>
      <w:pPr>
        <w:ind w:left="740" w:hanging="368"/>
        <w:spacing w:after="0" w:line="231" w:lineRule="auto"/>
        <w:tabs>
          <w:tab w:leader="none" w:pos="7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Because Mr. Kanter is in the Initial Term of his Employment Agreement, for a Qualifying Termination, Mr. Kanter is entitled to receive, as continued base salary, the sum of the remaining base salary and annual incentive payout, assuming target, that he would have received during the Initial Term of his employment. For the other Named Executive Officers, continued base salary for Qualifying Termination assumes six months of salary, which includes one month for notice. Continued base salary for Qualifying Termination due to change in control is the sum of two times base salary plus the then-amount of the annual incentive payout at target for Mr. Kanter and one-year base salary for the other Named Executive Officers.</w:t>
      </w:r>
    </w:p>
    <w:p>
      <w:pPr>
        <w:spacing w:after="0" w:line="75" w:lineRule="exact"/>
        <w:rPr>
          <w:rFonts w:ascii="Arial" w:cs="Arial" w:eastAsia="Arial" w:hAnsi="Arial"/>
          <w:sz w:val="14"/>
          <w:szCs w:val="14"/>
          <w:color w:val="auto"/>
        </w:rPr>
      </w:pPr>
    </w:p>
    <w:p>
      <w:pPr>
        <w:ind w:left="740" w:hanging="368"/>
        <w:spacing w:after="0"/>
        <w:tabs>
          <w:tab w:leader="none" w:pos="7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amounts represent the actual incentive earned for 2020 AIP.</w:t>
      </w:r>
    </w:p>
    <w:p>
      <w:pPr>
        <w:spacing w:after="0" w:line="163" w:lineRule="exact"/>
        <w:rPr>
          <w:rFonts w:ascii="Arial" w:cs="Arial" w:eastAsia="Arial" w:hAnsi="Arial"/>
          <w:sz w:val="14"/>
          <w:szCs w:val="14"/>
          <w:color w:val="auto"/>
        </w:rPr>
      </w:pPr>
    </w:p>
    <w:p>
      <w:pPr>
        <w:ind w:left="740" w:hanging="368"/>
        <w:spacing w:after="0"/>
        <w:tabs>
          <w:tab w:leader="none" w:pos="7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Represents the prorated vesting of Mr. Kanter’s RSUs that were granted to him in connection with his hiring.</w:t>
      </w:r>
    </w:p>
    <w:p>
      <w:pPr>
        <w:spacing w:after="0" w:line="163" w:lineRule="exact"/>
        <w:rPr>
          <w:rFonts w:ascii="Arial" w:cs="Arial" w:eastAsia="Arial" w:hAnsi="Arial"/>
          <w:sz w:val="14"/>
          <w:szCs w:val="14"/>
          <w:color w:val="auto"/>
        </w:rPr>
      </w:pPr>
    </w:p>
    <w:p>
      <w:pPr>
        <w:ind w:left="740" w:right="20" w:hanging="368"/>
        <w:spacing w:after="0" w:line="251" w:lineRule="auto"/>
        <w:tabs>
          <w:tab w:leader="none" w:pos="740" w:val="left"/>
        </w:tabs>
        <w:numPr>
          <w:ilvl w:val="0"/>
          <w:numId w:val="26"/>
        </w:numPr>
        <w:rPr>
          <w:rFonts w:ascii="Arial" w:cs="Arial" w:eastAsia="Arial" w:hAnsi="Arial"/>
          <w:sz w:val="13"/>
          <w:szCs w:val="13"/>
          <w:color w:val="auto"/>
        </w:rPr>
      </w:pPr>
      <w:r>
        <w:rPr>
          <w:rFonts w:ascii="Arial" w:cs="Arial" w:eastAsia="Arial" w:hAnsi="Arial"/>
          <w:sz w:val="13"/>
          <w:szCs w:val="13"/>
          <w:color w:val="auto"/>
        </w:rPr>
        <w:t>Time-based awards under our LTIPs represent time-based RSUs under our 2018-2020 LTIP, 2019-2021 LTIP and 2020-2022 LTIP. Because the respective performance period for the 2018-2020 LTIP is complete, all outstanding awards become fully vested under both a Qualifying Termination and Qualifying Termination due to a change in control. Because the 2019-2021 LTIP will have completed its second year of its performance period and the 2020-2022 LTIP will have completed its first year of its performance period, each participant would vest in shares based on a pro-rata vesting percentage, which is calculated based on the number of effective days of participation over the total number of days in the performance period. Mr. Kanter would also be entitled to receive a pro-rata vesting of his 240,000 RSUs which were granted to him in connection with his hiring.</w:t>
      </w:r>
    </w:p>
    <w:p>
      <w:pPr>
        <w:spacing w:after="0" w:line="68" w:lineRule="exact"/>
        <w:rPr>
          <w:rFonts w:ascii="Arial" w:cs="Arial" w:eastAsia="Arial" w:hAnsi="Arial"/>
          <w:sz w:val="13"/>
          <w:szCs w:val="13"/>
          <w:color w:val="auto"/>
        </w:rPr>
      </w:pPr>
    </w:p>
    <w:p>
      <w:pPr>
        <w:ind w:left="740" w:right="20" w:hanging="368"/>
        <w:spacing w:after="0" w:line="251" w:lineRule="auto"/>
        <w:tabs>
          <w:tab w:leader="none" w:pos="740" w:val="left"/>
        </w:tabs>
        <w:numPr>
          <w:ilvl w:val="0"/>
          <w:numId w:val="26"/>
        </w:numPr>
        <w:rPr>
          <w:rFonts w:ascii="Arial" w:cs="Arial" w:eastAsia="Arial" w:hAnsi="Arial"/>
          <w:sz w:val="13"/>
          <w:szCs w:val="13"/>
          <w:color w:val="auto"/>
        </w:rPr>
      </w:pPr>
      <w:r>
        <w:rPr>
          <w:rFonts w:ascii="Arial" w:cs="Arial" w:eastAsia="Arial" w:hAnsi="Arial"/>
          <w:sz w:val="13"/>
          <w:szCs w:val="13"/>
          <w:color w:val="auto"/>
        </w:rPr>
        <w:t>Because the performance periods for the 2019-2021 LTIP and the 2020-2022 LTIP were not complete as of January 30, 2021, for a Qualifying Termination, each participant would be entitled to receive a pro-rated vesting percentage, at the end of the performance period for each of the respective LTIPs based on the actual performance level achieved. The above table assumes actual performance level achieved is target. For a Qualifying Termination due to a change in control, each participant would be entitled to receive a pro-rated vesting percentage, at the date of the change in control at target. Mr. Kanter’s PSUs would forfeit unexercised unless if, during the following thirty-days after his termination, a performance target is achieved he would be entitled to any unvested PSUs that would have vested if he had not been terminated.</w:t>
      </w:r>
    </w:p>
    <w:p>
      <w:pPr>
        <w:spacing w:after="0" w:line="68" w:lineRule="exact"/>
        <w:rPr>
          <w:rFonts w:ascii="Arial" w:cs="Arial" w:eastAsia="Arial" w:hAnsi="Arial"/>
          <w:sz w:val="13"/>
          <w:szCs w:val="13"/>
          <w:color w:val="auto"/>
        </w:rPr>
      </w:pPr>
    </w:p>
    <w:p>
      <w:pPr>
        <w:ind w:left="740" w:hanging="368"/>
        <w:spacing w:after="0"/>
        <w:tabs>
          <w:tab w:leader="none" w:pos="7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All outstanding time-based awards were valued using the closing stock price of our stock on January 29, 2021 of $0.80 per share.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Clawback Policy</w:t>
      </w:r>
    </w:p>
    <w:p>
      <w:pPr>
        <w:spacing w:after="0" w:line="2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employment agreements contain a “clawback” provision that provides for remedies in the event we learn, after the executive’s termination by us, other than for “justifiable cause,” that his or her termination could have been terminated for “justifiable cause.” Pursuant to the employment agreements, an executive shall be required to pay to the Company all amounts paid to the executive other than such portion of an executive’s base salary and reimbursement of expenses accrued through the date of the termination; all vested and unvested awards, as defined therein, held by the executive shall immediately expire; and the executive shall be required to pay to the Company an amount equal to any gains resulting from the exercise or payment of any awards.</w:t>
      </w:r>
    </w:p>
    <w:p>
      <w:pPr>
        <w:spacing w:after="0" w:line="192"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In addition, in August 2018, our Compensation Committee approved a clawback policy that will require our NEOs to reimburse the Company for bonuses and other incentive compensation and stock sale profits if the Company is required to restate its financial statements, as a result of misconduct, due to material noncompliance with the financial reporting requirements of the securities laws.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2" w:name="page23"/>
    <w:bookmarkEnd w:id="22"/>
    <w:p>
      <w:pPr>
        <w:ind w:right="500"/>
        <w:spacing w:after="0" w:line="277" w:lineRule="auto"/>
        <w:rPr>
          <w:sz w:val="20"/>
          <w:szCs w:val="20"/>
          <w:color w:val="auto"/>
        </w:rPr>
      </w:pPr>
      <w:r>
        <w:rPr>
          <w:rFonts w:ascii="Arial" w:cs="Arial" w:eastAsia="Arial" w:hAnsi="Arial"/>
          <w:sz w:val="18"/>
          <w:szCs w:val="18"/>
          <w:b w:val="1"/>
          <w:bCs w:val="1"/>
          <w:i w:val="1"/>
          <w:iCs w:val="1"/>
          <w:color w:val="auto"/>
        </w:rPr>
        <w:t xml:space="preserve">Grants of Plan-Based Awards. </w:t>
      </w:r>
      <w:r>
        <w:rPr>
          <w:rFonts w:ascii="Arial" w:cs="Arial" w:eastAsia="Arial" w:hAnsi="Arial"/>
          <w:sz w:val="18"/>
          <w:szCs w:val="18"/>
          <w:color w:val="auto"/>
        </w:rPr>
        <w:t>The following table sets forth certain information with respect to plan-based awards granted to the Named Executive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Officers in fiscal 2020.</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8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2"/>
              </w:rPr>
              <w:t>Grant</w:t>
            </w:r>
          </w:p>
        </w:tc>
      </w:tr>
      <w:tr>
        <w:trPr>
          <w:trHeight w:val="135"/>
        </w:trPr>
        <w:tc>
          <w:tcPr>
            <w:tcW w:w="18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4"/>
              </w:rPr>
              <w:t>All Other</w:t>
            </w:r>
          </w:p>
        </w:tc>
        <w:tc>
          <w:tcPr>
            <w:tcW w:w="220" w:type="dxa"/>
            <w:vAlign w:val="bottom"/>
          </w:tcPr>
          <w:p>
            <w:pPr>
              <w:spacing w:after="0"/>
              <w:rPr>
                <w:sz w:val="11"/>
                <w:szCs w:val="11"/>
                <w:color w:val="auto"/>
              </w:rPr>
            </w:pPr>
          </w:p>
        </w:tc>
        <w:tc>
          <w:tcPr>
            <w:tcW w:w="84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4"/>
              </w:rPr>
              <w:t>All Other</w:t>
            </w: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5"/>
              </w:rPr>
              <w:t>Date</w:t>
            </w:r>
          </w:p>
        </w:tc>
      </w:tr>
      <w:tr>
        <w:trPr>
          <w:trHeight w:val="135"/>
        </w:trPr>
        <w:tc>
          <w:tcPr>
            <w:tcW w:w="18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4"/>
              </w:rPr>
              <w:t>Stock</w:t>
            </w:r>
          </w:p>
        </w:tc>
        <w:tc>
          <w:tcPr>
            <w:tcW w:w="220" w:type="dxa"/>
            <w:vAlign w:val="bottom"/>
          </w:tcPr>
          <w:p>
            <w:pPr>
              <w:spacing w:after="0"/>
              <w:rPr>
                <w:sz w:val="11"/>
                <w:szCs w:val="11"/>
                <w:color w:val="auto"/>
              </w:rPr>
            </w:pPr>
          </w:p>
        </w:tc>
        <w:tc>
          <w:tcPr>
            <w:tcW w:w="84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5"/>
              </w:rPr>
              <w:t>Option</w:t>
            </w:r>
          </w:p>
        </w:tc>
        <w:tc>
          <w:tcPr>
            <w:tcW w:w="580" w:type="dxa"/>
            <w:vAlign w:val="bottom"/>
            <w:gridSpan w:val="2"/>
          </w:tcPr>
          <w:p>
            <w:pPr>
              <w:jc w:val="right"/>
              <w:ind w:right="140"/>
              <w:spacing w:after="0" w:line="135" w:lineRule="exact"/>
              <w:rPr>
                <w:sz w:val="20"/>
                <w:szCs w:val="20"/>
                <w:color w:val="auto"/>
              </w:rPr>
            </w:pPr>
            <w:r>
              <w:rPr>
                <w:rFonts w:ascii="Arial" w:cs="Arial" w:eastAsia="Arial" w:hAnsi="Arial"/>
                <w:sz w:val="13"/>
                <w:szCs w:val="13"/>
                <w:b w:val="1"/>
                <w:bCs w:val="1"/>
                <w:color w:val="auto"/>
                <w:w w:val="78"/>
              </w:rPr>
              <w:t>Exercise</w:t>
            </w:r>
          </w:p>
        </w:tc>
        <w:tc>
          <w:tcPr>
            <w:tcW w:w="60" w:type="dxa"/>
            <w:vAlign w:val="bottom"/>
          </w:tcPr>
          <w:p>
            <w:pPr>
              <w:spacing w:after="0"/>
              <w:rPr>
                <w:sz w:val="11"/>
                <w:szCs w:val="11"/>
                <w:color w:val="auto"/>
              </w:rPr>
            </w:pPr>
          </w:p>
        </w:tc>
        <w:tc>
          <w:tcPr>
            <w:tcW w:w="50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rPr>
              <w:t>Fair</w:t>
            </w:r>
          </w:p>
        </w:tc>
      </w:tr>
      <w:tr>
        <w:trPr>
          <w:trHeight w:val="135"/>
        </w:trPr>
        <w:tc>
          <w:tcPr>
            <w:tcW w:w="18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Awards:</w:t>
            </w:r>
          </w:p>
        </w:tc>
        <w:tc>
          <w:tcPr>
            <w:tcW w:w="220" w:type="dxa"/>
            <w:vAlign w:val="bottom"/>
          </w:tcPr>
          <w:p>
            <w:pPr>
              <w:spacing w:after="0"/>
              <w:rPr>
                <w:sz w:val="11"/>
                <w:szCs w:val="11"/>
                <w:color w:val="auto"/>
              </w:rPr>
            </w:pPr>
          </w:p>
        </w:tc>
        <w:tc>
          <w:tcPr>
            <w:tcW w:w="84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5"/>
              </w:rPr>
              <w:t>Awards:</w:t>
            </w:r>
          </w:p>
        </w:tc>
        <w:tc>
          <w:tcPr>
            <w:tcW w:w="58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3"/>
              </w:rPr>
              <w:t>or Base</w:t>
            </w:r>
          </w:p>
        </w:tc>
        <w:tc>
          <w:tcPr>
            <w:tcW w:w="560" w:type="dxa"/>
            <w:vAlign w:val="bottom"/>
            <w:gridSpan w:val="3"/>
          </w:tcPr>
          <w:p>
            <w:pPr>
              <w:jc w:val="center"/>
              <w:ind w:right="80"/>
              <w:spacing w:after="0" w:line="135" w:lineRule="exact"/>
              <w:rPr>
                <w:sz w:val="20"/>
                <w:szCs w:val="20"/>
                <w:color w:val="auto"/>
              </w:rPr>
            </w:pPr>
            <w:r>
              <w:rPr>
                <w:rFonts w:ascii="Arial" w:cs="Arial" w:eastAsia="Arial" w:hAnsi="Arial"/>
                <w:sz w:val="13"/>
                <w:szCs w:val="13"/>
                <w:b w:val="1"/>
                <w:bCs w:val="1"/>
                <w:color w:val="auto"/>
                <w:w w:val="86"/>
              </w:rPr>
              <w:t>Value of</w:t>
            </w:r>
          </w:p>
        </w:tc>
      </w:tr>
      <w:tr>
        <w:trPr>
          <w:trHeight w:val="135"/>
        </w:trPr>
        <w:tc>
          <w:tcPr>
            <w:tcW w:w="18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20" w:type="dxa"/>
            <w:vAlign w:val="bottom"/>
            <w:gridSpan w:val="4"/>
          </w:tcPr>
          <w:p>
            <w:pPr>
              <w:jc w:val="center"/>
              <w:spacing w:after="0" w:line="135" w:lineRule="exact"/>
              <w:rPr>
                <w:sz w:val="20"/>
                <w:szCs w:val="20"/>
                <w:color w:val="auto"/>
              </w:rPr>
            </w:pPr>
            <w:r>
              <w:rPr>
                <w:rFonts w:ascii="Arial" w:cs="Arial" w:eastAsia="Arial" w:hAnsi="Arial"/>
                <w:sz w:val="13"/>
                <w:szCs w:val="13"/>
                <w:b w:val="1"/>
                <w:bCs w:val="1"/>
                <w:color w:val="auto"/>
                <w:w w:val="87"/>
              </w:rPr>
              <w:t>Estimated Future Payouts</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20" w:type="dxa"/>
            <w:vAlign w:val="bottom"/>
            <w:gridSpan w:val="9"/>
          </w:tcPr>
          <w:p>
            <w:pPr>
              <w:jc w:val="center"/>
              <w:ind w:right="320"/>
              <w:spacing w:after="0" w:line="135" w:lineRule="exact"/>
              <w:rPr>
                <w:sz w:val="20"/>
                <w:szCs w:val="20"/>
                <w:color w:val="auto"/>
              </w:rPr>
            </w:pPr>
            <w:r>
              <w:rPr>
                <w:rFonts w:ascii="Arial" w:cs="Arial" w:eastAsia="Arial" w:hAnsi="Arial"/>
                <w:sz w:val="13"/>
                <w:szCs w:val="13"/>
                <w:b w:val="1"/>
                <w:bCs w:val="1"/>
                <w:color w:val="auto"/>
                <w:w w:val="87"/>
              </w:rPr>
              <w:t>Estimated Future Payouts</w:t>
            </w:r>
          </w:p>
        </w:tc>
        <w:tc>
          <w:tcPr>
            <w:tcW w:w="6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Number</w:t>
            </w:r>
          </w:p>
        </w:tc>
        <w:tc>
          <w:tcPr>
            <w:tcW w:w="220" w:type="dxa"/>
            <w:vAlign w:val="bottom"/>
          </w:tcPr>
          <w:p>
            <w:pPr>
              <w:spacing w:after="0"/>
              <w:rPr>
                <w:sz w:val="11"/>
                <w:szCs w:val="11"/>
                <w:color w:val="auto"/>
              </w:rPr>
            </w:pPr>
          </w:p>
        </w:tc>
        <w:tc>
          <w:tcPr>
            <w:tcW w:w="84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2"/>
              </w:rPr>
              <w:t>Number of</w:t>
            </w:r>
          </w:p>
        </w:tc>
        <w:tc>
          <w:tcPr>
            <w:tcW w:w="58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7"/>
              </w:rPr>
              <w:t>Price</w:t>
            </w:r>
          </w:p>
        </w:tc>
        <w:tc>
          <w:tcPr>
            <w:tcW w:w="60" w:type="dxa"/>
            <w:vAlign w:val="bottom"/>
          </w:tcPr>
          <w:p>
            <w:pPr>
              <w:spacing w:after="0"/>
              <w:rPr>
                <w:sz w:val="11"/>
                <w:szCs w:val="11"/>
                <w:color w:val="auto"/>
              </w:rPr>
            </w:pPr>
          </w:p>
        </w:tc>
        <w:tc>
          <w:tcPr>
            <w:tcW w:w="5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4"/>
              </w:rPr>
              <w:t>Stock</w:t>
            </w:r>
          </w:p>
        </w:tc>
      </w:tr>
      <w:tr>
        <w:trPr>
          <w:trHeight w:val="135"/>
        </w:trPr>
        <w:tc>
          <w:tcPr>
            <w:tcW w:w="18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20" w:type="dxa"/>
            <w:vAlign w:val="bottom"/>
            <w:gridSpan w:val="4"/>
          </w:tcPr>
          <w:p>
            <w:pPr>
              <w:jc w:val="center"/>
              <w:spacing w:after="0" w:line="135" w:lineRule="exact"/>
              <w:rPr>
                <w:sz w:val="20"/>
                <w:szCs w:val="20"/>
                <w:color w:val="auto"/>
              </w:rPr>
            </w:pPr>
            <w:r>
              <w:rPr>
                <w:rFonts w:ascii="Arial" w:cs="Arial" w:eastAsia="Arial" w:hAnsi="Arial"/>
                <w:sz w:val="13"/>
                <w:szCs w:val="13"/>
                <w:b w:val="1"/>
                <w:bCs w:val="1"/>
                <w:color w:val="auto"/>
                <w:w w:val="90"/>
              </w:rPr>
              <w:t>Under Non-Equity</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40" w:type="dxa"/>
            <w:vAlign w:val="bottom"/>
            <w:gridSpan w:val="4"/>
          </w:tcPr>
          <w:p>
            <w:pPr>
              <w:jc w:val="center"/>
              <w:spacing w:after="0" w:line="135" w:lineRule="exact"/>
              <w:rPr>
                <w:sz w:val="20"/>
                <w:szCs w:val="20"/>
                <w:color w:val="auto"/>
              </w:rPr>
            </w:pPr>
            <w:r>
              <w:rPr>
                <w:rFonts w:ascii="Arial" w:cs="Arial" w:eastAsia="Arial" w:hAnsi="Arial"/>
                <w:sz w:val="13"/>
                <w:szCs w:val="13"/>
                <w:b w:val="1"/>
                <w:bCs w:val="1"/>
                <w:color w:val="auto"/>
                <w:w w:val="91"/>
              </w:rPr>
              <w:t>Under Equity</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4"/>
              </w:rPr>
              <w:t>of Shares</w:t>
            </w:r>
          </w:p>
        </w:tc>
        <w:tc>
          <w:tcPr>
            <w:tcW w:w="220" w:type="dxa"/>
            <w:vAlign w:val="bottom"/>
          </w:tcPr>
          <w:p>
            <w:pPr>
              <w:spacing w:after="0"/>
              <w:rPr>
                <w:sz w:val="11"/>
                <w:szCs w:val="11"/>
                <w:color w:val="auto"/>
              </w:rPr>
            </w:pPr>
          </w:p>
        </w:tc>
        <w:tc>
          <w:tcPr>
            <w:tcW w:w="84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3"/>
              </w:rPr>
              <w:t>Securities</w:t>
            </w:r>
          </w:p>
        </w:tc>
        <w:tc>
          <w:tcPr>
            <w:tcW w:w="58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97"/>
              </w:rPr>
              <w:t>of</w:t>
            </w:r>
          </w:p>
        </w:tc>
        <w:tc>
          <w:tcPr>
            <w:tcW w:w="60" w:type="dxa"/>
            <w:vAlign w:val="bottom"/>
          </w:tcPr>
          <w:p>
            <w:pPr>
              <w:spacing w:after="0"/>
              <w:rPr>
                <w:sz w:val="11"/>
                <w:szCs w:val="11"/>
                <w:color w:val="auto"/>
              </w:rPr>
            </w:pPr>
          </w:p>
        </w:tc>
        <w:tc>
          <w:tcPr>
            <w:tcW w:w="50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6"/>
              </w:rPr>
              <w:t>and</w:t>
            </w:r>
          </w:p>
        </w:tc>
      </w:tr>
      <w:tr>
        <w:trPr>
          <w:trHeight w:val="153"/>
        </w:trPr>
        <w:tc>
          <w:tcPr>
            <w:tcW w:w="18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2"/>
              </w:rPr>
              <w:t>Service</w:t>
            </w: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86"/>
              </w:rPr>
              <w:t>Incentive Plan Awards</w:t>
            </w:r>
          </w:p>
        </w:tc>
        <w:tc>
          <w:tcPr>
            <w:tcW w:w="1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7"/>
          </w:tcPr>
          <w:p>
            <w:pPr>
              <w:jc w:val="right"/>
              <w:ind w:right="40"/>
              <w:spacing w:after="0"/>
              <w:rPr>
                <w:sz w:val="20"/>
                <w:szCs w:val="20"/>
                <w:color w:val="auto"/>
              </w:rPr>
            </w:pPr>
            <w:r>
              <w:rPr>
                <w:rFonts w:ascii="Arial" w:cs="Arial" w:eastAsia="Arial" w:hAnsi="Arial"/>
                <w:sz w:val="13"/>
                <w:szCs w:val="13"/>
                <w:b w:val="1"/>
                <w:bCs w:val="1"/>
                <w:color w:val="auto"/>
              </w:rPr>
              <w:t>Incentive Plan Awards</w:t>
            </w:r>
          </w:p>
        </w:tc>
        <w:tc>
          <w:tcPr>
            <w:tcW w:w="46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85"/>
              </w:rPr>
              <w:t>of Stock</w:t>
            </w:r>
          </w:p>
        </w:tc>
        <w:tc>
          <w:tcPr>
            <w:tcW w:w="1060" w:type="dxa"/>
            <w:vAlign w:val="bottom"/>
            <w:gridSpan w:val="3"/>
          </w:tcPr>
          <w:p>
            <w:pPr>
              <w:jc w:val="center"/>
              <w:ind w:right="20"/>
              <w:spacing w:after="0"/>
              <w:rPr>
                <w:sz w:val="20"/>
                <w:szCs w:val="20"/>
                <w:color w:val="auto"/>
              </w:rPr>
            </w:pPr>
            <w:r>
              <w:rPr>
                <w:rFonts w:ascii="Arial" w:cs="Arial" w:eastAsia="Arial" w:hAnsi="Arial"/>
                <w:sz w:val="13"/>
                <w:szCs w:val="13"/>
                <w:b w:val="1"/>
                <w:bCs w:val="1"/>
                <w:color w:val="auto"/>
                <w:w w:val="88"/>
              </w:rPr>
              <w:t>Underlying</w:t>
            </w:r>
          </w:p>
        </w:tc>
        <w:tc>
          <w:tcPr>
            <w:tcW w:w="5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0"/>
              </w:rPr>
              <w:t>Option</w:t>
            </w:r>
          </w:p>
        </w:tc>
        <w:tc>
          <w:tcPr>
            <w:tcW w:w="560" w:type="dxa"/>
            <w:vAlign w:val="bottom"/>
            <w:gridSpan w:val="3"/>
          </w:tcPr>
          <w:p>
            <w:pPr>
              <w:jc w:val="center"/>
              <w:ind w:right="60"/>
              <w:spacing w:after="0"/>
              <w:rPr>
                <w:sz w:val="20"/>
                <w:szCs w:val="20"/>
                <w:color w:val="auto"/>
              </w:rPr>
            </w:pPr>
            <w:r>
              <w:rPr>
                <w:rFonts w:ascii="Arial" w:cs="Arial" w:eastAsia="Arial" w:hAnsi="Arial"/>
                <w:sz w:val="13"/>
                <w:szCs w:val="13"/>
                <w:b w:val="1"/>
                <w:bCs w:val="1"/>
                <w:color w:val="auto"/>
                <w:w w:val="90"/>
              </w:rPr>
              <w:t>Option</w:t>
            </w:r>
          </w:p>
        </w:tc>
      </w:tr>
      <w:tr>
        <w:trPr>
          <w:trHeight w:val="137"/>
        </w:trPr>
        <w:tc>
          <w:tcPr>
            <w:tcW w:w="1880" w:type="dxa"/>
            <w:vAlign w:val="bottom"/>
          </w:tcPr>
          <w:p>
            <w:pPr>
              <w:spacing w:after="0"/>
              <w:rPr>
                <w:sz w:val="11"/>
                <w:szCs w:val="11"/>
                <w:color w:val="auto"/>
              </w:rPr>
            </w:pPr>
          </w:p>
        </w:tc>
        <w:tc>
          <w:tcPr>
            <w:tcW w:w="580" w:type="dxa"/>
            <w:vAlign w:val="bottom"/>
          </w:tcPr>
          <w:p>
            <w:pPr>
              <w:jc w:val="right"/>
              <w:ind w:right="57"/>
              <w:spacing w:after="0" w:line="138" w:lineRule="exact"/>
              <w:rPr>
                <w:sz w:val="20"/>
                <w:szCs w:val="20"/>
                <w:color w:val="auto"/>
              </w:rPr>
            </w:pPr>
            <w:r>
              <w:rPr>
                <w:rFonts w:ascii="Arial" w:cs="Arial" w:eastAsia="Arial" w:hAnsi="Arial"/>
                <w:sz w:val="13"/>
                <w:szCs w:val="13"/>
                <w:b w:val="1"/>
                <w:bCs w:val="1"/>
                <w:color w:val="auto"/>
              </w:rPr>
              <w:t>Grant</w:t>
            </w:r>
          </w:p>
        </w:tc>
        <w:tc>
          <w:tcPr>
            <w:tcW w:w="680" w:type="dxa"/>
            <w:vAlign w:val="bottom"/>
            <w:gridSpan w:val="2"/>
          </w:tcPr>
          <w:p>
            <w:pPr>
              <w:jc w:val="center"/>
              <w:ind w:right="100"/>
              <w:spacing w:after="0" w:line="138" w:lineRule="exact"/>
              <w:rPr>
                <w:sz w:val="20"/>
                <w:szCs w:val="20"/>
                <w:color w:val="auto"/>
              </w:rPr>
            </w:pPr>
            <w:r>
              <w:rPr>
                <w:rFonts w:ascii="Arial" w:cs="Arial" w:eastAsia="Arial" w:hAnsi="Arial"/>
                <w:sz w:val="13"/>
                <w:szCs w:val="13"/>
                <w:b w:val="1"/>
                <w:bCs w:val="1"/>
                <w:color w:val="auto"/>
                <w:w w:val="86"/>
              </w:rPr>
              <w:t>Inception</w:t>
            </w:r>
          </w:p>
        </w:tc>
        <w:tc>
          <w:tcPr>
            <w:tcW w:w="600" w:type="dxa"/>
            <w:vAlign w:val="bottom"/>
            <w:gridSpan w:val="2"/>
          </w:tcPr>
          <w:p>
            <w:pPr>
              <w:ind w:left="20"/>
              <w:spacing w:after="0" w:line="138" w:lineRule="exact"/>
              <w:rPr>
                <w:sz w:val="20"/>
                <w:szCs w:val="20"/>
                <w:color w:val="auto"/>
              </w:rPr>
            </w:pPr>
            <w:r>
              <w:rPr>
                <w:rFonts w:ascii="Arial" w:cs="Arial" w:eastAsia="Arial" w:hAnsi="Arial"/>
                <w:sz w:val="13"/>
                <w:szCs w:val="13"/>
                <w:b w:val="1"/>
                <w:bCs w:val="1"/>
                <w:color w:val="auto"/>
                <w:w w:val="89"/>
              </w:rPr>
              <w:t>Threshold</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ind w:left="20"/>
              <w:spacing w:after="0" w:line="138" w:lineRule="exact"/>
              <w:rPr>
                <w:sz w:val="20"/>
                <w:szCs w:val="20"/>
                <w:color w:val="auto"/>
              </w:rPr>
            </w:pPr>
            <w:r>
              <w:rPr>
                <w:rFonts w:ascii="Arial" w:cs="Arial" w:eastAsia="Arial" w:hAnsi="Arial"/>
                <w:sz w:val="13"/>
                <w:szCs w:val="13"/>
                <w:b w:val="1"/>
                <w:bCs w:val="1"/>
                <w:color w:val="auto"/>
              </w:rPr>
              <w:t>Target</w:t>
            </w:r>
          </w:p>
        </w:tc>
        <w:tc>
          <w:tcPr>
            <w:tcW w:w="640" w:type="dxa"/>
            <w:vAlign w:val="bottom"/>
            <w:gridSpan w:val="2"/>
          </w:tcPr>
          <w:p>
            <w:pPr>
              <w:jc w:val="right"/>
              <w:spacing w:after="0" w:line="138" w:lineRule="exact"/>
              <w:rPr>
                <w:sz w:val="20"/>
                <w:szCs w:val="20"/>
                <w:color w:val="auto"/>
              </w:rPr>
            </w:pPr>
            <w:r>
              <w:rPr>
                <w:rFonts w:ascii="Arial" w:cs="Arial" w:eastAsia="Arial" w:hAnsi="Arial"/>
                <w:sz w:val="13"/>
                <w:szCs w:val="13"/>
                <w:b w:val="1"/>
                <w:bCs w:val="1"/>
                <w:color w:val="auto"/>
                <w:w w:val="96"/>
              </w:rPr>
              <w:t>Maximum</w:t>
            </w:r>
          </w:p>
        </w:tc>
        <w:tc>
          <w:tcPr>
            <w:tcW w:w="220" w:type="dxa"/>
            <w:vAlign w:val="bottom"/>
          </w:tcPr>
          <w:p>
            <w:pPr>
              <w:spacing w:after="0"/>
              <w:rPr>
                <w:sz w:val="11"/>
                <w:szCs w:val="11"/>
                <w:color w:val="auto"/>
              </w:rPr>
            </w:pPr>
          </w:p>
        </w:tc>
        <w:tc>
          <w:tcPr>
            <w:tcW w:w="620" w:type="dxa"/>
            <w:vAlign w:val="bottom"/>
            <w:gridSpan w:val="2"/>
          </w:tcPr>
          <w:p>
            <w:pPr>
              <w:jc w:val="right"/>
              <w:spacing w:after="0" w:line="138" w:lineRule="exact"/>
              <w:rPr>
                <w:sz w:val="20"/>
                <w:szCs w:val="20"/>
                <w:color w:val="auto"/>
              </w:rPr>
            </w:pPr>
            <w:r>
              <w:rPr>
                <w:rFonts w:ascii="Arial" w:cs="Arial" w:eastAsia="Arial" w:hAnsi="Arial"/>
                <w:sz w:val="13"/>
                <w:szCs w:val="13"/>
                <w:b w:val="1"/>
                <w:bCs w:val="1"/>
                <w:color w:val="auto"/>
                <w:w w:val="89"/>
              </w:rPr>
              <w:t>Threshold</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tcPr>
          <w:p>
            <w:pPr>
              <w:ind w:left="20"/>
              <w:spacing w:after="0" w:line="138" w:lineRule="exact"/>
              <w:rPr>
                <w:sz w:val="20"/>
                <w:szCs w:val="20"/>
                <w:color w:val="auto"/>
              </w:rPr>
            </w:pPr>
            <w:r>
              <w:rPr>
                <w:rFonts w:ascii="Arial" w:cs="Arial" w:eastAsia="Arial" w:hAnsi="Arial"/>
                <w:sz w:val="13"/>
                <w:szCs w:val="13"/>
                <w:b w:val="1"/>
                <w:bCs w:val="1"/>
                <w:color w:val="auto"/>
              </w:rPr>
              <w:t>Target</w:t>
            </w:r>
          </w:p>
        </w:tc>
        <w:tc>
          <w:tcPr>
            <w:tcW w:w="640" w:type="dxa"/>
            <w:vAlign w:val="bottom"/>
            <w:gridSpan w:val="3"/>
          </w:tcPr>
          <w:p>
            <w:pPr>
              <w:jc w:val="right"/>
              <w:spacing w:after="0" w:line="138" w:lineRule="exact"/>
              <w:rPr>
                <w:sz w:val="20"/>
                <w:szCs w:val="20"/>
                <w:color w:val="auto"/>
              </w:rPr>
            </w:pPr>
            <w:r>
              <w:rPr>
                <w:rFonts w:ascii="Arial" w:cs="Arial" w:eastAsia="Arial" w:hAnsi="Arial"/>
                <w:sz w:val="13"/>
                <w:szCs w:val="13"/>
                <w:b w:val="1"/>
                <w:bCs w:val="1"/>
                <w:color w:val="auto"/>
              </w:rPr>
              <w:t>Maximum</w:t>
            </w:r>
          </w:p>
        </w:tc>
        <w:tc>
          <w:tcPr>
            <w:tcW w:w="220" w:type="dxa"/>
            <w:vAlign w:val="bottom"/>
          </w:tcPr>
          <w:p>
            <w:pPr>
              <w:spacing w:after="0"/>
              <w:rPr>
                <w:sz w:val="11"/>
                <w:szCs w:val="11"/>
                <w:color w:val="auto"/>
              </w:rPr>
            </w:pPr>
          </w:p>
        </w:tc>
        <w:tc>
          <w:tcPr>
            <w:tcW w:w="60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89"/>
              </w:rPr>
              <w:t>or Units</w:t>
            </w:r>
          </w:p>
        </w:tc>
        <w:tc>
          <w:tcPr>
            <w:tcW w:w="220" w:type="dxa"/>
            <w:vAlign w:val="bottom"/>
          </w:tcPr>
          <w:p>
            <w:pPr>
              <w:spacing w:after="0"/>
              <w:rPr>
                <w:sz w:val="11"/>
                <w:szCs w:val="11"/>
                <w:color w:val="auto"/>
              </w:rPr>
            </w:pPr>
          </w:p>
        </w:tc>
        <w:tc>
          <w:tcPr>
            <w:tcW w:w="840" w:type="dxa"/>
            <w:vAlign w:val="bottom"/>
            <w:gridSpan w:val="2"/>
          </w:tcPr>
          <w:p>
            <w:pPr>
              <w:jc w:val="center"/>
              <w:ind w:right="240"/>
              <w:spacing w:after="0" w:line="138" w:lineRule="exact"/>
              <w:rPr>
                <w:sz w:val="20"/>
                <w:szCs w:val="20"/>
                <w:color w:val="auto"/>
              </w:rPr>
            </w:pPr>
            <w:r>
              <w:rPr>
                <w:rFonts w:ascii="Arial" w:cs="Arial" w:eastAsia="Arial" w:hAnsi="Arial"/>
                <w:sz w:val="13"/>
                <w:szCs w:val="13"/>
                <w:b w:val="1"/>
                <w:bCs w:val="1"/>
                <w:color w:val="auto"/>
                <w:w w:val="89"/>
              </w:rPr>
              <w:t>Options</w:t>
            </w:r>
          </w:p>
        </w:tc>
        <w:tc>
          <w:tcPr>
            <w:tcW w:w="580" w:type="dxa"/>
            <w:vAlign w:val="bottom"/>
            <w:gridSpan w:val="2"/>
          </w:tcPr>
          <w:p>
            <w:pPr>
              <w:jc w:val="center"/>
              <w:ind w:right="140"/>
              <w:spacing w:after="0" w:line="138" w:lineRule="exact"/>
              <w:rPr>
                <w:sz w:val="20"/>
                <w:szCs w:val="20"/>
                <w:color w:val="auto"/>
              </w:rPr>
            </w:pPr>
            <w:r>
              <w:rPr>
                <w:rFonts w:ascii="Arial" w:cs="Arial" w:eastAsia="Arial" w:hAnsi="Arial"/>
                <w:sz w:val="13"/>
                <w:szCs w:val="13"/>
                <w:b w:val="1"/>
                <w:bCs w:val="1"/>
                <w:color w:val="auto"/>
                <w:w w:val="85"/>
              </w:rPr>
              <w:t>Awards</w:t>
            </w:r>
          </w:p>
        </w:tc>
        <w:tc>
          <w:tcPr>
            <w:tcW w:w="560" w:type="dxa"/>
            <w:vAlign w:val="bottom"/>
            <w:gridSpan w:val="3"/>
          </w:tcPr>
          <w:p>
            <w:pPr>
              <w:jc w:val="center"/>
              <w:ind w:right="80"/>
              <w:spacing w:after="0" w:line="138" w:lineRule="exact"/>
              <w:rPr>
                <w:sz w:val="20"/>
                <w:szCs w:val="20"/>
                <w:color w:val="auto"/>
              </w:rPr>
            </w:pPr>
            <w:r>
              <w:rPr>
                <w:rFonts w:ascii="Arial" w:cs="Arial" w:eastAsia="Arial" w:hAnsi="Arial"/>
                <w:sz w:val="13"/>
                <w:szCs w:val="13"/>
                <w:b w:val="1"/>
                <w:bCs w:val="1"/>
                <w:color w:val="auto"/>
                <w:w w:val="85"/>
              </w:rPr>
              <w:t>Awards</w:t>
            </w:r>
          </w:p>
        </w:tc>
      </w:tr>
      <w:tr>
        <w:trPr>
          <w:trHeight w:val="153"/>
        </w:trPr>
        <w:tc>
          <w:tcPr>
            <w:tcW w:w="1880" w:type="dxa"/>
            <w:vAlign w:val="bottom"/>
          </w:tcPr>
          <w:p>
            <w:pPr>
              <w:spacing w:after="0"/>
              <w:rPr>
                <w:sz w:val="13"/>
                <w:szCs w:val="13"/>
                <w:color w:val="auto"/>
              </w:rPr>
            </w:pPr>
          </w:p>
        </w:tc>
        <w:tc>
          <w:tcPr>
            <w:tcW w:w="580" w:type="dxa"/>
            <w:vAlign w:val="bottom"/>
          </w:tcPr>
          <w:p>
            <w:pPr>
              <w:jc w:val="right"/>
              <w:ind w:right="97"/>
              <w:spacing w:after="0"/>
              <w:rPr>
                <w:sz w:val="20"/>
                <w:szCs w:val="20"/>
                <w:color w:val="auto"/>
              </w:rPr>
            </w:pPr>
            <w:r>
              <w:rPr>
                <w:rFonts w:ascii="Arial" w:cs="Arial" w:eastAsia="Arial" w:hAnsi="Arial"/>
                <w:sz w:val="13"/>
                <w:szCs w:val="13"/>
                <w:b w:val="1"/>
                <w:bCs w:val="1"/>
                <w:color w:val="auto"/>
              </w:rPr>
              <w:t>Date</w:t>
            </w:r>
          </w:p>
        </w:tc>
        <w:tc>
          <w:tcPr>
            <w:tcW w:w="6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2"/>
              </w:rPr>
              <w:t>Date</w:t>
            </w:r>
          </w:p>
        </w:tc>
        <w:tc>
          <w:tcPr>
            <w:tcW w:w="120" w:type="dxa"/>
            <w:vAlign w:val="bottom"/>
          </w:tcPr>
          <w:p>
            <w:pPr>
              <w:spacing w:after="0"/>
              <w:rPr>
                <w:sz w:val="13"/>
                <w:szCs w:val="13"/>
                <w:color w:val="auto"/>
              </w:rPr>
            </w:pPr>
          </w:p>
        </w:tc>
        <w:tc>
          <w:tcPr>
            <w:tcW w:w="480" w:type="dxa"/>
            <w:vAlign w:val="bottom"/>
          </w:tcPr>
          <w:p>
            <w:pPr>
              <w:jc w:val="right"/>
              <w:ind w:right="177"/>
              <w:spacing w:after="0"/>
              <w:rPr>
                <w:sz w:val="20"/>
                <w:szCs w:val="20"/>
                <w:color w:val="auto"/>
              </w:rPr>
            </w:pPr>
            <w:r>
              <w:rPr>
                <w:rFonts w:ascii="Arial" w:cs="Arial" w:eastAsia="Arial" w:hAnsi="Arial"/>
                <w:sz w:val="13"/>
                <w:szCs w:val="13"/>
                <w:b w:val="1"/>
                <w:bCs w:val="1"/>
                <w:color w:val="auto"/>
              </w:rPr>
              <w:t>($)</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ind w:right="177"/>
              <w:spacing w:after="0"/>
              <w:rPr>
                <w:sz w:val="20"/>
                <w:szCs w:val="20"/>
                <w:color w:val="auto"/>
              </w:rPr>
            </w:pPr>
            <w:r>
              <w:rPr>
                <w:rFonts w:ascii="Arial" w:cs="Arial" w:eastAsia="Arial" w:hAnsi="Arial"/>
                <w:sz w:val="13"/>
                <w:szCs w:val="13"/>
                <w:b w:val="1"/>
                <w:bCs w:val="1"/>
                <w:color w:val="auto"/>
              </w:rPr>
              <w:t>($)</w:t>
            </w: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jc w:val="right"/>
              <w:ind w:right="197"/>
              <w:spacing w:after="0"/>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ind w:right="97"/>
              <w:spacing w:after="0"/>
              <w:rPr>
                <w:sz w:val="20"/>
                <w:szCs w:val="20"/>
                <w:color w:val="auto"/>
              </w:rPr>
            </w:pPr>
            <w:r>
              <w:rPr>
                <w:rFonts w:ascii="Arial" w:cs="Arial" w:eastAsia="Arial" w:hAnsi="Arial"/>
                <w:sz w:val="13"/>
                <w:szCs w:val="13"/>
                <w:b w:val="1"/>
                <w:bCs w:val="1"/>
                <w:color w:val="auto"/>
                <w:w w:val="95"/>
              </w:rPr>
              <w:t>($) (1)</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ind w:right="57"/>
              <w:spacing w:after="0"/>
              <w:rPr>
                <w:sz w:val="20"/>
                <w:szCs w:val="20"/>
                <w:color w:val="auto"/>
              </w:rPr>
            </w:pPr>
            <w:r>
              <w:rPr>
                <w:rFonts w:ascii="Arial" w:cs="Arial" w:eastAsia="Arial" w:hAnsi="Arial"/>
                <w:sz w:val="13"/>
                <w:szCs w:val="13"/>
                <w:b w:val="1"/>
                <w:bCs w:val="1"/>
                <w:color w:val="auto"/>
                <w:w w:val="95"/>
              </w:rPr>
              <w:t>($) (1)</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jc w:val="right"/>
              <w:ind w:right="57"/>
              <w:spacing w:after="0"/>
              <w:rPr>
                <w:sz w:val="20"/>
                <w:szCs w:val="20"/>
                <w:color w:val="auto"/>
              </w:rPr>
            </w:pPr>
            <w:r>
              <w:rPr>
                <w:rFonts w:ascii="Arial" w:cs="Arial" w:eastAsia="Arial" w:hAnsi="Arial"/>
                <w:sz w:val="13"/>
                <w:szCs w:val="13"/>
                <w:b w:val="1"/>
                <w:bCs w:val="1"/>
                <w:color w:val="auto"/>
                <w:w w:val="90"/>
              </w:rPr>
              <w:t>($) (1)</w:t>
            </w:r>
          </w:p>
        </w:tc>
        <w:tc>
          <w:tcPr>
            <w:tcW w:w="22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87"/>
              </w:rPr>
              <w:t>(#)</w:t>
            </w:r>
          </w:p>
        </w:tc>
        <w:tc>
          <w:tcPr>
            <w:tcW w:w="840" w:type="dxa"/>
            <w:vAlign w:val="bottom"/>
            <w:gridSpan w:val="2"/>
          </w:tcPr>
          <w:p>
            <w:pPr>
              <w:jc w:val="center"/>
              <w:ind w:left="137"/>
              <w:spacing w:after="0"/>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3"/>
                <w:szCs w:val="13"/>
                <w:color w:val="auto"/>
              </w:rPr>
            </w:pPr>
          </w:p>
        </w:tc>
        <w:tc>
          <w:tcPr>
            <w:tcW w:w="5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2"/>
              </w:rPr>
              <w:t>($ / Sh)</w:t>
            </w:r>
          </w:p>
        </w:tc>
        <w:tc>
          <w:tcPr>
            <w:tcW w:w="60" w:type="dxa"/>
            <w:vAlign w:val="bottom"/>
          </w:tcPr>
          <w:p>
            <w:pPr>
              <w:spacing w:after="0"/>
              <w:rPr>
                <w:sz w:val="13"/>
                <w:szCs w:val="13"/>
                <w:color w:val="auto"/>
              </w:rPr>
            </w:pPr>
          </w:p>
        </w:tc>
        <w:tc>
          <w:tcPr>
            <w:tcW w:w="440" w:type="dxa"/>
            <w:vAlign w:val="bottom"/>
          </w:tcPr>
          <w:p>
            <w:pPr>
              <w:jc w:val="center"/>
              <w:ind w:right="17"/>
              <w:spacing w:after="0"/>
              <w:rPr>
                <w:sz w:val="20"/>
                <w:szCs w:val="20"/>
                <w:color w:val="auto"/>
              </w:rPr>
            </w:pPr>
            <w:r>
              <w:rPr>
                <w:rFonts w:ascii="Arial" w:cs="Arial" w:eastAsia="Arial" w:hAnsi="Arial"/>
                <w:sz w:val="13"/>
                <w:szCs w:val="13"/>
                <w:b w:val="1"/>
                <w:bCs w:val="1"/>
                <w:color w:val="auto"/>
              </w:rPr>
              <w:t>($)</w:t>
            </w:r>
          </w:p>
        </w:tc>
        <w:tc>
          <w:tcPr>
            <w:tcW w:w="60" w:type="dxa"/>
            <w:vAlign w:val="bottom"/>
          </w:tcPr>
          <w:p>
            <w:pPr>
              <w:spacing w:after="0"/>
              <w:rPr>
                <w:sz w:val="13"/>
                <w:szCs w:val="13"/>
                <w:color w:val="auto"/>
              </w:rPr>
            </w:pPr>
          </w:p>
        </w:tc>
      </w:tr>
      <w:tr>
        <w:trPr>
          <w:trHeight w:val="142"/>
        </w:trPr>
        <w:tc>
          <w:tcPr>
            <w:tcW w:w="1880" w:type="dxa"/>
            <w:vAlign w:val="bottom"/>
            <w:tcBorders>
              <w:top w:val="single" w:sz="8" w:color="CFF0FC"/>
            </w:tcBorders>
            <w:shd w:val="clear" w:color="auto" w:fill="CFF0FC"/>
          </w:tcPr>
          <w:p>
            <w:pPr>
              <w:spacing w:after="0" w:line="142" w:lineRule="exact"/>
              <w:rPr>
                <w:sz w:val="20"/>
                <w:szCs w:val="20"/>
                <w:color w:val="auto"/>
              </w:rPr>
            </w:pPr>
            <w:r>
              <w:rPr>
                <w:rFonts w:ascii="Arial" w:cs="Arial" w:eastAsia="Arial" w:hAnsi="Arial"/>
                <w:sz w:val="13"/>
                <w:szCs w:val="13"/>
                <w:color w:val="auto"/>
              </w:rPr>
              <w:t>Harvey S. Kanter</w:t>
            </w:r>
          </w:p>
        </w:tc>
        <w:tc>
          <w:tcPr>
            <w:tcW w:w="580" w:type="dxa"/>
            <w:vAlign w:val="bottom"/>
            <w:tcBorders>
              <w:top w:val="single" w:sz="8" w:color="auto"/>
            </w:tcBorders>
            <w:shd w:val="clear" w:color="auto" w:fill="CFF0FC"/>
          </w:tcPr>
          <w:p>
            <w:pPr>
              <w:spacing w:after="0"/>
              <w:rPr>
                <w:sz w:val="12"/>
                <w:szCs w:val="12"/>
                <w:color w:val="auto"/>
              </w:rPr>
            </w:pPr>
          </w:p>
        </w:tc>
        <w:tc>
          <w:tcPr>
            <w:tcW w:w="58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480" w:type="dxa"/>
            <w:vAlign w:val="bottom"/>
            <w:tcBorders>
              <w:top w:val="single" w:sz="8" w:color="auto"/>
            </w:tcBorders>
            <w:shd w:val="clear" w:color="auto" w:fill="CFF0FC"/>
          </w:tcPr>
          <w:p>
            <w:pPr>
              <w:spacing w:after="0"/>
              <w:rPr>
                <w:sz w:val="12"/>
                <w:szCs w:val="12"/>
                <w:color w:val="auto"/>
              </w:rPr>
            </w:pPr>
          </w:p>
        </w:tc>
        <w:tc>
          <w:tcPr>
            <w:tcW w:w="38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520" w:type="dxa"/>
            <w:vAlign w:val="bottom"/>
            <w:tcBorders>
              <w:top w:val="single" w:sz="8" w:color="auto"/>
            </w:tcBorders>
            <w:shd w:val="clear" w:color="auto" w:fill="CFF0FC"/>
          </w:tcPr>
          <w:p>
            <w:pPr>
              <w:spacing w:after="0"/>
              <w:rPr>
                <w:sz w:val="12"/>
                <w:szCs w:val="12"/>
                <w:color w:val="auto"/>
              </w:rPr>
            </w:pPr>
          </w:p>
        </w:tc>
        <w:tc>
          <w:tcPr>
            <w:tcW w:w="42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50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52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48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46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60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62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46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tcBorders>
            <w:shd w:val="clear" w:color="auto" w:fill="CFF0FC"/>
          </w:tcPr>
          <w:p>
            <w:pPr>
              <w:spacing w:after="0"/>
              <w:rPr>
                <w:sz w:val="12"/>
                <w:szCs w:val="12"/>
                <w:color w:val="auto"/>
              </w:rPr>
            </w:pPr>
          </w:p>
        </w:tc>
        <w:tc>
          <w:tcPr>
            <w:tcW w:w="440" w:type="dxa"/>
            <w:vAlign w:val="bottom"/>
            <w:tcBorders>
              <w:top w:val="single" w:sz="8" w:color="auto"/>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r>
      <w:tr>
        <w:trPr>
          <w:trHeight w:val="148"/>
        </w:trPr>
        <w:tc>
          <w:tcPr>
            <w:tcW w:w="1880" w:type="dxa"/>
            <w:vAlign w:val="bottom"/>
            <w:shd w:val="clear" w:color="auto" w:fill="CFF0FC"/>
          </w:tcPr>
          <w:p>
            <w:pPr>
              <w:ind w:left="180"/>
              <w:spacing w:after="0"/>
              <w:rPr>
                <w:sz w:val="20"/>
                <w:szCs w:val="20"/>
                <w:color w:val="auto"/>
              </w:rPr>
            </w:pPr>
            <w:r>
              <w:rPr>
                <w:rFonts w:ascii="Arial" w:cs="Arial" w:eastAsia="Arial" w:hAnsi="Arial"/>
                <w:sz w:val="13"/>
                <w:szCs w:val="13"/>
                <w:color w:val="auto"/>
              </w:rPr>
              <w:t>-Discretionary grant</w:t>
            </w: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6"/>
              </w:rPr>
              <w:t>6/10/2020</w:t>
            </w:r>
          </w:p>
        </w:tc>
        <w:tc>
          <w:tcPr>
            <w:tcW w:w="5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3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4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600" w:type="dxa"/>
            <w:vAlign w:val="bottom"/>
            <w:shd w:val="clear" w:color="auto" w:fill="CFF0FC"/>
          </w:tcPr>
          <w:p>
            <w:pPr>
              <w:ind w:left="460"/>
              <w:spacing w:after="0"/>
              <w:rPr>
                <w:sz w:val="20"/>
                <w:szCs w:val="20"/>
                <w:color w:val="auto"/>
              </w:rPr>
            </w:pPr>
            <w:r>
              <w:rPr>
                <w:rFonts w:ascii="Arial" w:cs="Arial" w:eastAsia="Arial" w:hAnsi="Arial"/>
                <w:sz w:val="13"/>
                <w:szCs w:val="13"/>
                <w:color w:val="auto"/>
                <w:w w:val="91"/>
              </w:rPr>
              <w:t>—</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450,000</w:t>
            </w:r>
          </w:p>
        </w:tc>
        <w:tc>
          <w:tcPr>
            <w:tcW w:w="220" w:type="dxa"/>
            <w:vAlign w:val="bottom"/>
            <w:shd w:val="clear" w:color="auto" w:fill="CFF0FC"/>
          </w:tcPr>
          <w:p>
            <w:pPr>
              <w:spacing w:after="0"/>
              <w:rPr>
                <w:sz w:val="12"/>
                <w:szCs w:val="12"/>
                <w:color w:val="auto"/>
              </w:rPr>
            </w:pPr>
          </w:p>
        </w:tc>
        <w:tc>
          <w:tcPr>
            <w:tcW w:w="5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9"/>
              </w:rPr>
              <w:t>159,605</w:t>
            </w:r>
          </w:p>
        </w:tc>
        <w:tc>
          <w:tcPr>
            <w:tcW w:w="60" w:type="dxa"/>
            <w:vAlign w:val="bottom"/>
            <w:shd w:val="clear" w:color="auto" w:fill="CFF0FC"/>
          </w:tcPr>
          <w:p>
            <w:pPr>
              <w:spacing w:after="0"/>
              <w:rPr>
                <w:sz w:val="12"/>
                <w:szCs w:val="12"/>
                <w:color w:val="auto"/>
              </w:rPr>
            </w:pPr>
          </w:p>
        </w:tc>
      </w:tr>
      <w:tr>
        <w:trPr>
          <w:trHeight w:val="148"/>
        </w:trPr>
        <w:tc>
          <w:tcPr>
            <w:tcW w:w="1880" w:type="dxa"/>
            <w:vAlign w:val="bottom"/>
            <w:shd w:val="clear" w:color="auto" w:fill="CFF0FC"/>
          </w:tcPr>
          <w:p>
            <w:pPr>
              <w:ind w:left="180"/>
              <w:spacing w:after="0"/>
              <w:rPr>
                <w:sz w:val="20"/>
                <w:szCs w:val="20"/>
                <w:color w:val="auto"/>
              </w:rPr>
            </w:pPr>
            <w:r>
              <w:rPr>
                <w:rFonts w:ascii="Arial" w:cs="Arial" w:eastAsia="Arial" w:hAnsi="Arial"/>
                <w:sz w:val="13"/>
                <w:szCs w:val="13"/>
                <w:color w:val="auto"/>
              </w:rPr>
              <w:t xml:space="preserve">-2020 AIP </w:t>
            </w:r>
            <w:r>
              <w:rPr>
                <w:rFonts w:ascii="Arial" w:cs="Arial" w:eastAsia="Arial" w:hAnsi="Arial"/>
                <w:sz w:val="10"/>
                <w:szCs w:val="10"/>
                <w:color w:val="auto"/>
              </w:rPr>
              <w:t>(2)</w:t>
            </w:r>
          </w:p>
        </w:tc>
        <w:tc>
          <w:tcPr>
            <w:tcW w:w="58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6"/>
              </w:rPr>
              <w:t>6/23/2020</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3"/>
              </w:rPr>
              <w:t>147,000</w:t>
            </w:r>
          </w:p>
        </w:tc>
        <w:tc>
          <w:tcPr>
            <w:tcW w:w="48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735,000</w:t>
            </w:r>
          </w:p>
        </w:tc>
        <w:tc>
          <w:tcPr>
            <w:tcW w:w="42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w w:val="87"/>
              </w:rPr>
              <w:t>$ 1,470,000</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600" w:type="dxa"/>
            <w:vAlign w:val="bottom"/>
            <w:shd w:val="clear" w:color="auto" w:fill="CFF0FC"/>
          </w:tcPr>
          <w:p>
            <w:pPr>
              <w:ind w:left="460"/>
              <w:spacing w:after="0"/>
              <w:rPr>
                <w:sz w:val="20"/>
                <w:szCs w:val="20"/>
                <w:color w:val="auto"/>
              </w:rPr>
            </w:pPr>
            <w:r>
              <w:rPr>
                <w:rFonts w:ascii="Arial" w:cs="Arial" w:eastAsia="Arial" w:hAnsi="Arial"/>
                <w:sz w:val="13"/>
                <w:szCs w:val="13"/>
                <w:color w:val="auto"/>
                <w:w w:val="91"/>
              </w:rPr>
              <w:t>—</w:t>
            </w:r>
          </w:p>
        </w:tc>
        <w:tc>
          <w:tcPr>
            <w:tcW w:w="22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5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w:t>
            </w:r>
          </w:p>
        </w:tc>
      </w:tr>
      <w:tr>
        <w:trPr>
          <w:trHeight w:val="148"/>
        </w:trPr>
        <w:tc>
          <w:tcPr>
            <w:tcW w:w="1880" w:type="dxa"/>
            <w:vAlign w:val="bottom"/>
            <w:shd w:val="clear" w:color="auto" w:fill="CFF0FC"/>
          </w:tcPr>
          <w:p>
            <w:pPr>
              <w:ind w:left="180"/>
              <w:spacing w:after="0"/>
              <w:rPr>
                <w:sz w:val="20"/>
                <w:szCs w:val="20"/>
                <w:color w:val="auto"/>
              </w:rPr>
            </w:pPr>
            <w:r>
              <w:rPr>
                <w:rFonts w:ascii="Arial" w:cs="Arial" w:eastAsia="Arial" w:hAnsi="Arial"/>
                <w:sz w:val="13"/>
                <w:szCs w:val="13"/>
                <w:color w:val="auto"/>
                <w:w w:val="88"/>
              </w:rPr>
              <w:t xml:space="preserve">-2020-2022 LTIP, Time-Based </w:t>
            </w:r>
            <w:r>
              <w:rPr>
                <w:rFonts w:ascii="Arial" w:cs="Arial" w:eastAsia="Arial" w:hAnsi="Arial"/>
                <w:sz w:val="10"/>
                <w:szCs w:val="10"/>
                <w:color w:val="auto"/>
                <w:w w:val="88"/>
              </w:rPr>
              <w:t>(3)</w:t>
            </w: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6"/>
              </w:rPr>
              <w:t>6/11/2020</w:t>
            </w: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2/2/2020</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312,375</w:t>
            </w:r>
          </w:p>
        </w:tc>
        <w:tc>
          <w:tcPr>
            <w:tcW w:w="4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600" w:type="dxa"/>
            <w:vAlign w:val="bottom"/>
            <w:shd w:val="clear" w:color="auto" w:fill="CFF0FC"/>
          </w:tcPr>
          <w:p>
            <w:pPr>
              <w:ind w:left="460"/>
              <w:spacing w:after="0"/>
              <w:rPr>
                <w:sz w:val="20"/>
                <w:szCs w:val="20"/>
                <w:color w:val="auto"/>
              </w:rPr>
            </w:pPr>
            <w:r>
              <w:rPr>
                <w:rFonts w:ascii="Arial" w:cs="Arial" w:eastAsia="Arial" w:hAnsi="Arial"/>
                <w:sz w:val="13"/>
                <w:szCs w:val="13"/>
                <w:color w:val="auto"/>
                <w:w w:val="91"/>
              </w:rPr>
              <w:t>—</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884,080</w:t>
            </w:r>
          </w:p>
        </w:tc>
        <w:tc>
          <w:tcPr>
            <w:tcW w:w="220" w:type="dxa"/>
            <w:vAlign w:val="bottom"/>
            <w:shd w:val="clear" w:color="auto" w:fill="CFF0FC"/>
          </w:tcPr>
          <w:p>
            <w:pPr>
              <w:spacing w:after="0"/>
              <w:rPr>
                <w:sz w:val="12"/>
                <w:szCs w:val="12"/>
                <w:color w:val="auto"/>
              </w:rPr>
            </w:pPr>
          </w:p>
        </w:tc>
        <w:tc>
          <w:tcPr>
            <w:tcW w:w="5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9"/>
              </w:rPr>
              <w:t>277,247</w:t>
            </w:r>
          </w:p>
        </w:tc>
        <w:tc>
          <w:tcPr>
            <w:tcW w:w="60" w:type="dxa"/>
            <w:vAlign w:val="bottom"/>
            <w:shd w:val="clear" w:color="auto" w:fill="CFF0FC"/>
          </w:tcPr>
          <w:p>
            <w:pPr>
              <w:spacing w:after="0"/>
              <w:rPr>
                <w:sz w:val="12"/>
                <w:szCs w:val="12"/>
                <w:color w:val="auto"/>
              </w:rPr>
            </w:pPr>
          </w:p>
        </w:tc>
      </w:tr>
      <w:tr>
        <w:trPr>
          <w:trHeight w:val="134"/>
        </w:trPr>
        <w:tc>
          <w:tcPr>
            <w:tcW w:w="1880" w:type="dxa"/>
            <w:vAlign w:val="bottom"/>
            <w:shd w:val="clear" w:color="auto" w:fill="CFF0FC"/>
          </w:tcPr>
          <w:p>
            <w:pPr>
              <w:ind w:left="180"/>
              <w:spacing w:after="0" w:line="134" w:lineRule="exact"/>
              <w:rPr>
                <w:sz w:val="20"/>
                <w:szCs w:val="20"/>
                <w:color w:val="auto"/>
              </w:rPr>
            </w:pPr>
            <w:r>
              <w:rPr>
                <w:rFonts w:ascii="Arial" w:cs="Arial" w:eastAsia="Arial" w:hAnsi="Arial"/>
                <w:sz w:val="13"/>
                <w:szCs w:val="13"/>
                <w:color w:val="auto"/>
                <w:w w:val="91"/>
              </w:rPr>
              <w:t>-2020-2022 LTIP, Performance-</w:t>
            </w:r>
          </w:p>
        </w:tc>
        <w:tc>
          <w:tcPr>
            <w:tcW w:w="5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r>
      <w:tr>
        <w:trPr>
          <w:trHeight w:val="149"/>
        </w:trPr>
        <w:tc>
          <w:tcPr>
            <w:tcW w:w="1880" w:type="dxa"/>
            <w:vAlign w:val="bottom"/>
            <w:shd w:val="clear" w:color="auto" w:fill="CFF0FC"/>
          </w:tcPr>
          <w:p>
            <w:pPr>
              <w:ind w:left="180"/>
              <w:spacing w:after="0"/>
              <w:rPr>
                <w:sz w:val="20"/>
                <w:szCs w:val="20"/>
                <w:color w:val="auto"/>
              </w:rPr>
            </w:pPr>
            <w:r>
              <w:rPr>
                <w:rFonts w:ascii="Arial" w:cs="Arial" w:eastAsia="Arial" w:hAnsi="Arial"/>
                <w:sz w:val="13"/>
                <w:szCs w:val="13"/>
                <w:color w:val="auto"/>
              </w:rPr>
              <w:t xml:space="preserve">Based </w:t>
            </w:r>
            <w:r>
              <w:rPr>
                <w:rFonts w:ascii="Arial" w:cs="Arial" w:eastAsia="Arial" w:hAnsi="Arial"/>
                <w:sz w:val="10"/>
                <w:szCs w:val="10"/>
                <w:color w:val="auto"/>
              </w:rPr>
              <w:t>(3)</w:t>
            </w: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6"/>
              </w:rPr>
              <w:t>6/11/2020</w:t>
            </w: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2/2/2020</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78,094</w:t>
            </w:r>
          </w:p>
        </w:tc>
        <w:tc>
          <w:tcPr>
            <w:tcW w:w="48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312,375</w:t>
            </w:r>
          </w:p>
        </w:tc>
        <w:tc>
          <w:tcPr>
            <w:tcW w:w="420" w:type="dxa"/>
            <w:vAlign w:val="bottom"/>
            <w:shd w:val="clear" w:color="auto" w:fill="CFF0FC"/>
          </w:tcPr>
          <w:p>
            <w:pPr>
              <w:spacing w:after="0"/>
              <w:rPr>
                <w:sz w:val="12"/>
                <w:szCs w:val="12"/>
                <w:color w:val="auto"/>
              </w:rPr>
            </w:pPr>
          </w:p>
        </w:tc>
        <w:tc>
          <w:tcPr>
            <w:tcW w:w="140" w:type="dxa"/>
            <w:vAlign w:val="bottom"/>
            <w:shd w:val="clear" w:color="auto" w:fill="CFF0FC"/>
          </w:tcPr>
          <w:p>
            <w:pPr>
              <w:jc w:val="right"/>
              <w:ind w:right="26"/>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7"/>
              </w:rPr>
              <w:t>468,563</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78,094</w:t>
            </w:r>
          </w:p>
        </w:tc>
        <w:tc>
          <w:tcPr>
            <w:tcW w:w="32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7"/>
              </w:rPr>
              <w:t>312,375</w:t>
            </w:r>
          </w:p>
        </w:tc>
        <w:tc>
          <w:tcPr>
            <w:tcW w:w="140" w:type="dxa"/>
            <w:vAlign w:val="bottom"/>
            <w:shd w:val="clear" w:color="auto" w:fill="CFF0FC"/>
          </w:tcPr>
          <w:p>
            <w:pPr>
              <w:spacing w:after="0"/>
              <w:rPr>
                <w:sz w:val="12"/>
                <w:szCs w:val="12"/>
                <w:color w:val="auto"/>
              </w:rPr>
            </w:pPr>
          </w:p>
        </w:tc>
        <w:tc>
          <w:tcPr>
            <w:tcW w:w="18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3"/>
              </w:rPr>
              <w:t>468,563</w:t>
            </w:r>
          </w:p>
        </w:tc>
        <w:tc>
          <w:tcPr>
            <w:tcW w:w="220" w:type="dxa"/>
            <w:vAlign w:val="bottom"/>
            <w:shd w:val="clear" w:color="auto" w:fill="CFF0FC"/>
          </w:tcPr>
          <w:p>
            <w:pPr>
              <w:spacing w:after="0"/>
              <w:rPr>
                <w:sz w:val="12"/>
                <w:szCs w:val="12"/>
                <w:color w:val="auto"/>
              </w:rPr>
            </w:pPr>
          </w:p>
        </w:tc>
        <w:tc>
          <w:tcPr>
            <w:tcW w:w="600" w:type="dxa"/>
            <w:vAlign w:val="bottom"/>
            <w:shd w:val="clear" w:color="auto" w:fill="CFF0FC"/>
          </w:tcPr>
          <w:p>
            <w:pPr>
              <w:ind w:left="460"/>
              <w:spacing w:after="0"/>
              <w:rPr>
                <w:sz w:val="20"/>
                <w:szCs w:val="20"/>
                <w:color w:val="auto"/>
              </w:rPr>
            </w:pPr>
            <w:r>
              <w:rPr>
                <w:rFonts w:ascii="Arial" w:cs="Arial" w:eastAsia="Arial" w:hAnsi="Arial"/>
                <w:sz w:val="13"/>
                <w:szCs w:val="13"/>
                <w:color w:val="auto"/>
                <w:w w:val="91"/>
              </w:rPr>
              <w:t>—</w:t>
            </w:r>
          </w:p>
        </w:tc>
        <w:tc>
          <w:tcPr>
            <w:tcW w:w="22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5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w:t>
            </w:r>
          </w:p>
        </w:tc>
      </w:tr>
      <w:tr>
        <w:trPr>
          <w:trHeight w:val="148"/>
        </w:trPr>
        <w:tc>
          <w:tcPr>
            <w:tcW w:w="1880" w:type="dxa"/>
            <w:vAlign w:val="bottom"/>
          </w:tcPr>
          <w:p>
            <w:pPr>
              <w:spacing w:after="0" w:line="148" w:lineRule="exact"/>
              <w:rPr>
                <w:sz w:val="20"/>
                <w:szCs w:val="20"/>
                <w:color w:val="auto"/>
              </w:rPr>
            </w:pPr>
            <w:r>
              <w:rPr>
                <w:rFonts w:ascii="Arial" w:cs="Arial" w:eastAsia="Arial" w:hAnsi="Arial"/>
                <w:sz w:val="13"/>
                <w:szCs w:val="13"/>
                <w:color w:val="auto"/>
              </w:rPr>
              <w:t>Peter H. Stratton, Jr.</w:t>
            </w: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8"/>
        </w:trPr>
        <w:tc>
          <w:tcPr>
            <w:tcW w:w="1880" w:type="dxa"/>
            <w:vAlign w:val="bottom"/>
          </w:tcPr>
          <w:p>
            <w:pPr>
              <w:ind w:left="180"/>
              <w:spacing w:after="0"/>
              <w:rPr>
                <w:sz w:val="20"/>
                <w:szCs w:val="20"/>
                <w:color w:val="auto"/>
              </w:rPr>
            </w:pPr>
            <w:r>
              <w:rPr>
                <w:rFonts w:ascii="Arial" w:cs="Arial" w:eastAsia="Arial" w:hAnsi="Arial"/>
                <w:sz w:val="13"/>
                <w:szCs w:val="13"/>
                <w:color w:val="auto"/>
              </w:rPr>
              <w:t xml:space="preserve">-2020 AIP </w:t>
            </w:r>
            <w:r>
              <w:rPr>
                <w:rFonts w:ascii="Arial" w:cs="Arial" w:eastAsia="Arial" w:hAnsi="Arial"/>
                <w:sz w:val="10"/>
                <w:szCs w:val="10"/>
                <w:color w:val="auto"/>
              </w:rPr>
              <w:t>(2)</w:t>
            </w:r>
          </w:p>
        </w:tc>
        <w:tc>
          <w:tcPr>
            <w:tcW w:w="5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w w:val="96"/>
              </w:rPr>
              <w:t>6/23/2020</w:t>
            </w:r>
          </w:p>
        </w:tc>
        <w:tc>
          <w:tcPr>
            <w:tcW w:w="100" w:type="dxa"/>
            <w:vAlign w:val="bottom"/>
          </w:tcPr>
          <w:p>
            <w:pPr>
              <w:spacing w:after="0"/>
              <w:rPr>
                <w:sz w:val="12"/>
                <w:szCs w:val="12"/>
                <w:color w:val="auto"/>
              </w:rPr>
            </w:pPr>
          </w:p>
        </w:tc>
        <w:tc>
          <w:tcPr>
            <w:tcW w:w="120" w:type="dxa"/>
            <w:vAlign w:val="bottom"/>
          </w:tcPr>
          <w:p>
            <w:pPr>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43,450</w:t>
            </w: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217,250</w:t>
            </w:r>
          </w:p>
        </w:tc>
        <w:tc>
          <w:tcPr>
            <w:tcW w:w="420" w:type="dxa"/>
            <w:vAlign w:val="bottom"/>
          </w:tcPr>
          <w:p>
            <w:pPr>
              <w:spacing w:after="0"/>
              <w:rPr>
                <w:sz w:val="12"/>
                <w:szCs w:val="12"/>
                <w:color w:val="auto"/>
              </w:rPr>
            </w:pPr>
          </w:p>
        </w:tc>
        <w:tc>
          <w:tcPr>
            <w:tcW w:w="140" w:type="dxa"/>
            <w:vAlign w:val="bottom"/>
          </w:tcPr>
          <w:p>
            <w:pPr>
              <w:jc w:val="right"/>
              <w:ind w:right="26"/>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rPr>
                <w:sz w:val="20"/>
                <w:szCs w:val="20"/>
                <w:color w:val="auto"/>
              </w:rPr>
            </w:pPr>
            <w:r>
              <w:rPr>
                <w:rFonts w:ascii="Arial" w:cs="Arial" w:eastAsia="Arial" w:hAnsi="Arial"/>
                <w:sz w:val="13"/>
                <w:szCs w:val="13"/>
                <w:color w:val="auto"/>
                <w:w w:val="97"/>
              </w:rPr>
              <w:t>325,875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00" w:type="dxa"/>
            <w:vAlign w:val="bottom"/>
          </w:tcPr>
          <w:p>
            <w:pPr>
              <w:ind w:left="460"/>
              <w:spacing w:after="0"/>
              <w:rPr>
                <w:sz w:val="20"/>
                <w:szCs w:val="20"/>
                <w:color w:val="auto"/>
              </w:rPr>
            </w:pPr>
            <w:r>
              <w:rPr>
                <w:rFonts w:ascii="Arial" w:cs="Arial" w:eastAsia="Arial" w:hAnsi="Arial"/>
                <w:sz w:val="13"/>
                <w:szCs w:val="13"/>
                <w:color w:val="auto"/>
                <w:w w:val="91"/>
              </w:rPr>
              <w:t>—</w:t>
            </w:r>
          </w:p>
        </w:tc>
        <w:tc>
          <w:tcPr>
            <w:tcW w:w="220" w:type="dxa"/>
            <w:vAlign w:val="bottom"/>
          </w:tcPr>
          <w:p>
            <w:pPr>
              <w:spacing w:after="0"/>
              <w:rPr>
                <w:sz w:val="12"/>
                <w:szCs w:val="1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r>
      <w:tr>
        <w:trPr>
          <w:trHeight w:val="149"/>
        </w:trPr>
        <w:tc>
          <w:tcPr>
            <w:tcW w:w="1880" w:type="dxa"/>
            <w:vAlign w:val="bottom"/>
          </w:tcPr>
          <w:p>
            <w:pPr>
              <w:ind w:left="180"/>
              <w:spacing w:after="0"/>
              <w:rPr>
                <w:sz w:val="20"/>
                <w:szCs w:val="20"/>
                <w:color w:val="auto"/>
              </w:rPr>
            </w:pPr>
            <w:r>
              <w:rPr>
                <w:rFonts w:ascii="Arial" w:cs="Arial" w:eastAsia="Arial" w:hAnsi="Arial"/>
                <w:sz w:val="13"/>
                <w:szCs w:val="13"/>
                <w:color w:val="auto"/>
                <w:w w:val="88"/>
              </w:rPr>
              <w:t xml:space="preserve">-2020-2022 LTIP, Time-Based </w:t>
            </w:r>
            <w:r>
              <w:rPr>
                <w:rFonts w:ascii="Arial" w:cs="Arial" w:eastAsia="Arial" w:hAnsi="Arial"/>
                <w:sz w:val="10"/>
                <w:szCs w:val="10"/>
                <w:color w:val="auto"/>
                <w:w w:val="88"/>
              </w:rPr>
              <w:t>(3)</w:t>
            </w:r>
          </w:p>
        </w:tc>
        <w:tc>
          <w:tcPr>
            <w:tcW w:w="580" w:type="dxa"/>
            <w:vAlign w:val="bottom"/>
          </w:tcPr>
          <w:p>
            <w:pPr>
              <w:jc w:val="right"/>
              <w:spacing w:after="0"/>
              <w:rPr>
                <w:sz w:val="20"/>
                <w:szCs w:val="20"/>
                <w:color w:val="auto"/>
              </w:rPr>
            </w:pPr>
            <w:r>
              <w:rPr>
                <w:rFonts w:ascii="Arial" w:cs="Arial" w:eastAsia="Arial" w:hAnsi="Arial"/>
                <w:sz w:val="13"/>
                <w:szCs w:val="13"/>
                <w:color w:val="auto"/>
                <w:w w:val="96"/>
              </w:rPr>
              <w:t>6/11/2020</w:t>
            </w:r>
          </w:p>
        </w:tc>
        <w:tc>
          <w:tcPr>
            <w:tcW w:w="580" w:type="dxa"/>
            <w:vAlign w:val="bottom"/>
          </w:tcPr>
          <w:p>
            <w:pPr>
              <w:jc w:val="right"/>
              <w:spacing w:after="0"/>
              <w:rPr>
                <w:sz w:val="20"/>
                <w:szCs w:val="20"/>
                <w:color w:val="auto"/>
              </w:rPr>
            </w:pPr>
            <w:r>
              <w:rPr>
                <w:rFonts w:ascii="Arial" w:cs="Arial" w:eastAsia="Arial" w:hAnsi="Arial"/>
                <w:sz w:val="13"/>
                <w:szCs w:val="13"/>
                <w:color w:val="auto"/>
              </w:rPr>
              <w:t>2/2/2020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69,125</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00" w:type="dxa"/>
            <w:vAlign w:val="bottom"/>
          </w:tcPr>
          <w:p>
            <w:pPr>
              <w:ind w:left="460"/>
              <w:spacing w:after="0"/>
              <w:rPr>
                <w:sz w:val="20"/>
                <w:szCs w:val="20"/>
                <w:color w:val="auto"/>
              </w:rPr>
            </w:pPr>
            <w:r>
              <w:rPr>
                <w:rFonts w:ascii="Arial" w:cs="Arial" w:eastAsia="Arial" w:hAnsi="Arial"/>
                <w:sz w:val="13"/>
                <w:szCs w:val="13"/>
                <w:color w:val="auto"/>
                <w:w w:val="91"/>
              </w:rPr>
              <w:t>—</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195,636</w:t>
            </w:r>
          </w:p>
        </w:tc>
        <w:tc>
          <w:tcPr>
            <w:tcW w:w="220" w:type="dxa"/>
            <w:vAlign w:val="bottom"/>
          </w:tcPr>
          <w:p>
            <w:pPr>
              <w:spacing w:after="0"/>
              <w:rPr>
                <w:sz w:val="12"/>
                <w:szCs w:val="12"/>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61,351</w:t>
            </w:r>
          </w:p>
        </w:tc>
        <w:tc>
          <w:tcPr>
            <w:tcW w:w="60" w:type="dxa"/>
            <w:vAlign w:val="bottom"/>
          </w:tcPr>
          <w:p>
            <w:pPr>
              <w:spacing w:after="0"/>
              <w:rPr>
                <w:sz w:val="12"/>
                <w:szCs w:val="12"/>
                <w:color w:val="auto"/>
              </w:rPr>
            </w:pPr>
          </w:p>
        </w:tc>
      </w:tr>
      <w:tr>
        <w:trPr>
          <w:trHeight w:val="135"/>
        </w:trPr>
        <w:tc>
          <w:tcPr>
            <w:tcW w:w="1880" w:type="dxa"/>
            <w:vAlign w:val="bottom"/>
          </w:tcPr>
          <w:p>
            <w:pPr>
              <w:ind w:left="180"/>
              <w:spacing w:after="0" w:line="135" w:lineRule="exact"/>
              <w:rPr>
                <w:sz w:val="20"/>
                <w:szCs w:val="20"/>
                <w:color w:val="auto"/>
              </w:rPr>
            </w:pPr>
            <w:r>
              <w:rPr>
                <w:rFonts w:ascii="Arial" w:cs="Arial" w:eastAsia="Arial" w:hAnsi="Arial"/>
                <w:sz w:val="13"/>
                <w:szCs w:val="13"/>
                <w:color w:val="auto"/>
                <w:w w:val="91"/>
              </w:rPr>
              <w:t>-2020-2022 LTIP, Performance-</w:t>
            </w: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49"/>
        </w:trPr>
        <w:tc>
          <w:tcPr>
            <w:tcW w:w="1880" w:type="dxa"/>
            <w:vAlign w:val="bottom"/>
          </w:tcPr>
          <w:p>
            <w:pPr>
              <w:ind w:left="180"/>
              <w:spacing w:after="0"/>
              <w:rPr>
                <w:sz w:val="20"/>
                <w:szCs w:val="20"/>
                <w:color w:val="auto"/>
              </w:rPr>
            </w:pPr>
            <w:r>
              <w:rPr>
                <w:rFonts w:ascii="Arial" w:cs="Arial" w:eastAsia="Arial" w:hAnsi="Arial"/>
                <w:sz w:val="13"/>
                <w:szCs w:val="13"/>
                <w:color w:val="auto"/>
              </w:rPr>
              <w:t xml:space="preserve">Based </w:t>
            </w:r>
            <w:r>
              <w:rPr>
                <w:rFonts w:ascii="Arial" w:cs="Arial" w:eastAsia="Arial" w:hAnsi="Arial"/>
                <w:sz w:val="10"/>
                <w:szCs w:val="10"/>
                <w:color w:val="auto"/>
              </w:rPr>
              <w:t>(3)</w:t>
            </w:r>
          </w:p>
        </w:tc>
        <w:tc>
          <w:tcPr>
            <w:tcW w:w="580" w:type="dxa"/>
            <w:vAlign w:val="bottom"/>
          </w:tcPr>
          <w:p>
            <w:pPr>
              <w:jc w:val="right"/>
              <w:spacing w:after="0"/>
              <w:rPr>
                <w:sz w:val="20"/>
                <w:szCs w:val="20"/>
                <w:color w:val="auto"/>
              </w:rPr>
            </w:pPr>
            <w:r>
              <w:rPr>
                <w:rFonts w:ascii="Arial" w:cs="Arial" w:eastAsia="Arial" w:hAnsi="Arial"/>
                <w:sz w:val="13"/>
                <w:szCs w:val="13"/>
                <w:color w:val="auto"/>
                <w:w w:val="96"/>
              </w:rPr>
              <w:t>6/11/2020</w:t>
            </w:r>
          </w:p>
        </w:tc>
        <w:tc>
          <w:tcPr>
            <w:tcW w:w="580" w:type="dxa"/>
            <w:vAlign w:val="bottom"/>
          </w:tcPr>
          <w:p>
            <w:pPr>
              <w:jc w:val="right"/>
              <w:spacing w:after="0"/>
              <w:rPr>
                <w:sz w:val="20"/>
                <w:szCs w:val="20"/>
                <w:color w:val="auto"/>
              </w:rPr>
            </w:pPr>
            <w:r>
              <w:rPr>
                <w:rFonts w:ascii="Arial" w:cs="Arial" w:eastAsia="Arial" w:hAnsi="Arial"/>
                <w:sz w:val="13"/>
                <w:szCs w:val="13"/>
                <w:color w:val="auto"/>
              </w:rPr>
              <w:t>2/2/2020</w:t>
            </w:r>
          </w:p>
        </w:tc>
        <w:tc>
          <w:tcPr>
            <w:tcW w:w="100" w:type="dxa"/>
            <w:vAlign w:val="bottom"/>
          </w:tcPr>
          <w:p>
            <w:pPr>
              <w:spacing w:after="0"/>
              <w:rPr>
                <w:sz w:val="12"/>
                <w:szCs w:val="12"/>
                <w:color w:val="auto"/>
              </w:rPr>
            </w:pPr>
          </w:p>
        </w:tc>
        <w:tc>
          <w:tcPr>
            <w:tcW w:w="120" w:type="dxa"/>
            <w:vAlign w:val="bottom"/>
          </w:tcPr>
          <w:p>
            <w:pPr>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17,281</w:t>
            </w: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69,125</w:t>
            </w:r>
          </w:p>
        </w:tc>
        <w:tc>
          <w:tcPr>
            <w:tcW w:w="420" w:type="dxa"/>
            <w:vAlign w:val="bottom"/>
          </w:tcPr>
          <w:p>
            <w:pPr>
              <w:spacing w:after="0"/>
              <w:rPr>
                <w:sz w:val="12"/>
                <w:szCs w:val="12"/>
                <w:color w:val="auto"/>
              </w:rPr>
            </w:pPr>
          </w:p>
        </w:tc>
        <w:tc>
          <w:tcPr>
            <w:tcW w:w="140" w:type="dxa"/>
            <w:vAlign w:val="bottom"/>
          </w:tcPr>
          <w:p>
            <w:pPr>
              <w:jc w:val="right"/>
              <w:ind w:right="26"/>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rPr>
                <w:sz w:val="20"/>
                <w:szCs w:val="20"/>
                <w:color w:val="auto"/>
              </w:rPr>
            </w:pPr>
            <w:r>
              <w:rPr>
                <w:rFonts w:ascii="Arial" w:cs="Arial" w:eastAsia="Arial" w:hAnsi="Arial"/>
                <w:sz w:val="13"/>
                <w:szCs w:val="13"/>
                <w:color w:val="auto"/>
                <w:w w:val="97"/>
              </w:rPr>
              <w:t>103,688</w:t>
            </w:r>
          </w:p>
        </w:tc>
        <w:tc>
          <w:tcPr>
            <w:tcW w:w="3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17,281</w:t>
            </w:r>
          </w:p>
        </w:tc>
        <w:tc>
          <w:tcPr>
            <w:tcW w:w="3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69,125</w:t>
            </w:r>
          </w:p>
        </w:tc>
        <w:tc>
          <w:tcPr>
            <w:tcW w:w="140" w:type="dxa"/>
            <w:vAlign w:val="bottom"/>
          </w:tcPr>
          <w:p>
            <w:pPr>
              <w:spacing w:after="0"/>
              <w:rPr>
                <w:sz w:val="12"/>
                <w:szCs w:val="12"/>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w w:val="93"/>
              </w:rPr>
              <w:t>103,688</w:t>
            </w:r>
          </w:p>
        </w:tc>
        <w:tc>
          <w:tcPr>
            <w:tcW w:w="220" w:type="dxa"/>
            <w:vAlign w:val="bottom"/>
          </w:tcPr>
          <w:p>
            <w:pPr>
              <w:spacing w:after="0"/>
              <w:rPr>
                <w:sz w:val="12"/>
                <w:szCs w:val="12"/>
                <w:color w:val="auto"/>
              </w:rPr>
            </w:pPr>
          </w:p>
        </w:tc>
        <w:tc>
          <w:tcPr>
            <w:tcW w:w="600" w:type="dxa"/>
            <w:vAlign w:val="bottom"/>
          </w:tcPr>
          <w:p>
            <w:pPr>
              <w:ind w:left="460"/>
              <w:spacing w:after="0"/>
              <w:rPr>
                <w:sz w:val="20"/>
                <w:szCs w:val="20"/>
                <w:color w:val="auto"/>
              </w:rPr>
            </w:pPr>
            <w:r>
              <w:rPr>
                <w:rFonts w:ascii="Arial" w:cs="Arial" w:eastAsia="Arial" w:hAnsi="Arial"/>
                <w:sz w:val="13"/>
                <w:szCs w:val="13"/>
                <w:color w:val="auto"/>
                <w:w w:val="91"/>
              </w:rPr>
              <w:t>—</w:t>
            </w:r>
          </w:p>
        </w:tc>
        <w:tc>
          <w:tcPr>
            <w:tcW w:w="220" w:type="dxa"/>
            <w:vAlign w:val="bottom"/>
          </w:tcPr>
          <w:p>
            <w:pPr>
              <w:spacing w:after="0"/>
              <w:rPr>
                <w:sz w:val="12"/>
                <w:szCs w:val="1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r>
      <w:tr>
        <w:trPr>
          <w:trHeight w:val="149"/>
        </w:trPr>
        <w:tc>
          <w:tcPr>
            <w:tcW w:w="1880" w:type="dxa"/>
            <w:vAlign w:val="bottom"/>
            <w:shd w:val="clear" w:color="auto" w:fill="CFF0FC"/>
          </w:tcPr>
          <w:p>
            <w:pPr>
              <w:spacing w:after="0"/>
              <w:rPr>
                <w:sz w:val="20"/>
                <w:szCs w:val="20"/>
                <w:color w:val="auto"/>
              </w:rPr>
            </w:pPr>
            <w:r>
              <w:rPr>
                <w:rFonts w:ascii="Arial" w:cs="Arial" w:eastAsia="Arial" w:hAnsi="Arial"/>
                <w:sz w:val="13"/>
                <w:szCs w:val="13"/>
                <w:color w:val="auto"/>
              </w:rPr>
              <w:t>Ujjwal Dhoot</w:t>
            </w:r>
          </w:p>
        </w:tc>
        <w:tc>
          <w:tcPr>
            <w:tcW w:w="5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r>
      <w:tr>
        <w:trPr>
          <w:trHeight w:val="148"/>
        </w:trPr>
        <w:tc>
          <w:tcPr>
            <w:tcW w:w="1880" w:type="dxa"/>
            <w:vAlign w:val="bottom"/>
            <w:shd w:val="clear" w:color="auto" w:fill="CFF0FC"/>
          </w:tcPr>
          <w:p>
            <w:pPr>
              <w:ind w:left="180"/>
              <w:spacing w:after="0"/>
              <w:rPr>
                <w:sz w:val="20"/>
                <w:szCs w:val="20"/>
                <w:color w:val="auto"/>
              </w:rPr>
            </w:pPr>
            <w:r>
              <w:rPr>
                <w:rFonts w:ascii="Arial" w:cs="Arial" w:eastAsia="Arial" w:hAnsi="Arial"/>
                <w:sz w:val="13"/>
                <w:szCs w:val="13"/>
                <w:color w:val="auto"/>
              </w:rPr>
              <w:t xml:space="preserve">-2020 AIP </w:t>
            </w:r>
            <w:r>
              <w:rPr>
                <w:rFonts w:ascii="Arial" w:cs="Arial" w:eastAsia="Arial" w:hAnsi="Arial"/>
                <w:sz w:val="10"/>
                <w:szCs w:val="10"/>
                <w:color w:val="auto"/>
              </w:rPr>
              <w:t>(2)</w:t>
            </w:r>
          </w:p>
        </w:tc>
        <w:tc>
          <w:tcPr>
            <w:tcW w:w="58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6"/>
              </w:rPr>
              <w:t>6/23/2020</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29,653</w:t>
            </w:r>
          </w:p>
        </w:tc>
        <w:tc>
          <w:tcPr>
            <w:tcW w:w="48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148,264</w:t>
            </w:r>
          </w:p>
        </w:tc>
        <w:tc>
          <w:tcPr>
            <w:tcW w:w="420" w:type="dxa"/>
            <w:vAlign w:val="bottom"/>
            <w:shd w:val="clear" w:color="auto" w:fill="CFF0FC"/>
          </w:tcPr>
          <w:p>
            <w:pPr>
              <w:spacing w:after="0"/>
              <w:rPr>
                <w:sz w:val="12"/>
                <w:szCs w:val="12"/>
                <w:color w:val="auto"/>
              </w:rPr>
            </w:pPr>
          </w:p>
        </w:tc>
        <w:tc>
          <w:tcPr>
            <w:tcW w:w="140" w:type="dxa"/>
            <w:vAlign w:val="bottom"/>
            <w:shd w:val="clear" w:color="auto" w:fill="CFF0FC"/>
          </w:tcPr>
          <w:p>
            <w:pPr>
              <w:jc w:val="right"/>
              <w:ind w:right="26"/>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7"/>
              </w:rPr>
              <w:t>222,396</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600" w:type="dxa"/>
            <w:vAlign w:val="bottom"/>
            <w:shd w:val="clear" w:color="auto" w:fill="CFF0FC"/>
          </w:tcPr>
          <w:p>
            <w:pPr>
              <w:ind w:left="460"/>
              <w:spacing w:after="0"/>
              <w:rPr>
                <w:sz w:val="20"/>
                <w:szCs w:val="20"/>
                <w:color w:val="auto"/>
              </w:rPr>
            </w:pPr>
            <w:r>
              <w:rPr>
                <w:rFonts w:ascii="Arial" w:cs="Arial" w:eastAsia="Arial" w:hAnsi="Arial"/>
                <w:sz w:val="13"/>
                <w:szCs w:val="13"/>
                <w:color w:val="auto"/>
                <w:w w:val="91"/>
              </w:rPr>
              <w:t>—</w:t>
            </w:r>
          </w:p>
        </w:tc>
        <w:tc>
          <w:tcPr>
            <w:tcW w:w="22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5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w:t>
            </w:r>
          </w:p>
        </w:tc>
      </w:tr>
      <w:tr>
        <w:trPr>
          <w:trHeight w:val="148"/>
        </w:trPr>
        <w:tc>
          <w:tcPr>
            <w:tcW w:w="1880" w:type="dxa"/>
            <w:vAlign w:val="bottom"/>
            <w:shd w:val="clear" w:color="auto" w:fill="CFF0FC"/>
          </w:tcPr>
          <w:p>
            <w:pPr>
              <w:ind w:left="180"/>
              <w:spacing w:after="0"/>
              <w:rPr>
                <w:sz w:val="20"/>
                <w:szCs w:val="20"/>
                <w:color w:val="auto"/>
              </w:rPr>
            </w:pPr>
            <w:r>
              <w:rPr>
                <w:rFonts w:ascii="Arial" w:cs="Arial" w:eastAsia="Arial" w:hAnsi="Arial"/>
                <w:sz w:val="13"/>
                <w:szCs w:val="13"/>
                <w:color w:val="auto"/>
                <w:w w:val="88"/>
              </w:rPr>
              <w:t xml:space="preserve">-2020-2022 LTIP, Time-Based </w:t>
            </w:r>
            <w:r>
              <w:rPr>
                <w:rFonts w:ascii="Arial" w:cs="Arial" w:eastAsia="Arial" w:hAnsi="Arial"/>
                <w:sz w:val="10"/>
                <w:szCs w:val="10"/>
                <w:color w:val="auto"/>
                <w:w w:val="88"/>
              </w:rPr>
              <w:t>(3)</w:t>
            </w: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6"/>
              </w:rPr>
              <w:t>6/11/2020</w:t>
            </w: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2/2/2020</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52,500</w:t>
            </w:r>
          </w:p>
        </w:tc>
        <w:tc>
          <w:tcPr>
            <w:tcW w:w="4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600" w:type="dxa"/>
            <w:vAlign w:val="bottom"/>
            <w:shd w:val="clear" w:color="auto" w:fill="CFF0FC"/>
          </w:tcPr>
          <w:p>
            <w:pPr>
              <w:ind w:left="460"/>
              <w:spacing w:after="0"/>
              <w:rPr>
                <w:sz w:val="20"/>
                <w:szCs w:val="20"/>
                <w:color w:val="auto"/>
              </w:rPr>
            </w:pPr>
            <w:r>
              <w:rPr>
                <w:rFonts w:ascii="Arial" w:cs="Arial" w:eastAsia="Arial" w:hAnsi="Arial"/>
                <w:sz w:val="13"/>
                <w:szCs w:val="13"/>
                <w:color w:val="auto"/>
                <w:w w:val="91"/>
              </w:rPr>
              <w:t>—</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148,584</w:t>
            </w:r>
          </w:p>
        </w:tc>
        <w:tc>
          <w:tcPr>
            <w:tcW w:w="220" w:type="dxa"/>
            <w:vAlign w:val="bottom"/>
            <w:shd w:val="clear" w:color="auto" w:fill="CFF0FC"/>
          </w:tcPr>
          <w:p>
            <w:pPr>
              <w:spacing w:after="0"/>
              <w:rPr>
                <w:sz w:val="12"/>
                <w:szCs w:val="12"/>
                <w:color w:val="auto"/>
              </w:rPr>
            </w:pPr>
          </w:p>
        </w:tc>
        <w:tc>
          <w:tcPr>
            <w:tcW w:w="5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46,596</w:t>
            </w:r>
          </w:p>
        </w:tc>
        <w:tc>
          <w:tcPr>
            <w:tcW w:w="60" w:type="dxa"/>
            <w:vAlign w:val="bottom"/>
            <w:shd w:val="clear" w:color="auto" w:fill="CFF0FC"/>
          </w:tcPr>
          <w:p>
            <w:pPr>
              <w:spacing w:after="0"/>
              <w:rPr>
                <w:sz w:val="12"/>
                <w:szCs w:val="12"/>
                <w:color w:val="auto"/>
              </w:rPr>
            </w:pPr>
          </w:p>
        </w:tc>
      </w:tr>
      <w:tr>
        <w:trPr>
          <w:trHeight w:val="134"/>
        </w:trPr>
        <w:tc>
          <w:tcPr>
            <w:tcW w:w="1880" w:type="dxa"/>
            <w:vAlign w:val="bottom"/>
            <w:shd w:val="clear" w:color="auto" w:fill="CFF0FC"/>
          </w:tcPr>
          <w:p>
            <w:pPr>
              <w:ind w:left="180"/>
              <w:spacing w:after="0" w:line="134" w:lineRule="exact"/>
              <w:rPr>
                <w:sz w:val="20"/>
                <w:szCs w:val="20"/>
                <w:color w:val="auto"/>
              </w:rPr>
            </w:pPr>
            <w:r>
              <w:rPr>
                <w:rFonts w:ascii="Arial" w:cs="Arial" w:eastAsia="Arial" w:hAnsi="Arial"/>
                <w:sz w:val="13"/>
                <w:szCs w:val="13"/>
                <w:color w:val="auto"/>
                <w:w w:val="91"/>
              </w:rPr>
              <w:t>-2020-2022 LTIP, Performance-</w:t>
            </w:r>
          </w:p>
        </w:tc>
        <w:tc>
          <w:tcPr>
            <w:tcW w:w="5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r>
      <w:tr>
        <w:trPr>
          <w:trHeight w:val="149"/>
        </w:trPr>
        <w:tc>
          <w:tcPr>
            <w:tcW w:w="1880" w:type="dxa"/>
            <w:vAlign w:val="bottom"/>
            <w:shd w:val="clear" w:color="auto" w:fill="CFF0FC"/>
          </w:tcPr>
          <w:p>
            <w:pPr>
              <w:ind w:left="180"/>
              <w:spacing w:after="0"/>
              <w:rPr>
                <w:sz w:val="20"/>
                <w:szCs w:val="20"/>
                <w:color w:val="auto"/>
              </w:rPr>
            </w:pPr>
            <w:r>
              <w:rPr>
                <w:rFonts w:ascii="Arial" w:cs="Arial" w:eastAsia="Arial" w:hAnsi="Arial"/>
                <w:sz w:val="13"/>
                <w:szCs w:val="13"/>
                <w:color w:val="auto"/>
              </w:rPr>
              <w:t xml:space="preserve">Based </w:t>
            </w:r>
            <w:r>
              <w:rPr>
                <w:rFonts w:ascii="Arial" w:cs="Arial" w:eastAsia="Arial" w:hAnsi="Arial"/>
                <w:sz w:val="10"/>
                <w:szCs w:val="10"/>
                <w:color w:val="auto"/>
              </w:rPr>
              <w:t>(3)</w:t>
            </w: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6"/>
              </w:rPr>
              <w:t>6/11/2020</w:t>
            </w: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2/2/2020</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13,125</w:t>
            </w:r>
          </w:p>
        </w:tc>
        <w:tc>
          <w:tcPr>
            <w:tcW w:w="48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52,500</w:t>
            </w:r>
          </w:p>
        </w:tc>
        <w:tc>
          <w:tcPr>
            <w:tcW w:w="420" w:type="dxa"/>
            <w:vAlign w:val="bottom"/>
            <w:shd w:val="clear" w:color="auto" w:fill="CFF0FC"/>
          </w:tcPr>
          <w:p>
            <w:pPr>
              <w:spacing w:after="0"/>
              <w:rPr>
                <w:sz w:val="12"/>
                <w:szCs w:val="12"/>
                <w:color w:val="auto"/>
              </w:rPr>
            </w:pPr>
          </w:p>
        </w:tc>
        <w:tc>
          <w:tcPr>
            <w:tcW w:w="140" w:type="dxa"/>
            <w:vAlign w:val="bottom"/>
            <w:shd w:val="clear" w:color="auto" w:fill="CFF0FC"/>
          </w:tcPr>
          <w:p>
            <w:pPr>
              <w:jc w:val="right"/>
              <w:ind w:right="26"/>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78,750</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13,125</w:t>
            </w:r>
          </w:p>
        </w:tc>
        <w:tc>
          <w:tcPr>
            <w:tcW w:w="32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52,500</w:t>
            </w:r>
          </w:p>
        </w:tc>
        <w:tc>
          <w:tcPr>
            <w:tcW w:w="140" w:type="dxa"/>
            <w:vAlign w:val="bottom"/>
            <w:shd w:val="clear" w:color="auto" w:fill="CFF0FC"/>
          </w:tcPr>
          <w:p>
            <w:pPr>
              <w:spacing w:after="0"/>
              <w:rPr>
                <w:sz w:val="12"/>
                <w:szCs w:val="12"/>
                <w:color w:val="auto"/>
              </w:rPr>
            </w:pPr>
          </w:p>
        </w:tc>
        <w:tc>
          <w:tcPr>
            <w:tcW w:w="18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78,750</w:t>
            </w:r>
          </w:p>
        </w:tc>
        <w:tc>
          <w:tcPr>
            <w:tcW w:w="220" w:type="dxa"/>
            <w:vAlign w:val="bottom"/>
            <w:shd w:val="clear" w:color="auto" w:fill="CFF0FC"/>
          </w:tcPr>
          <w:p>
            <w:pPr>
              <w:spacing w:after="0"/>
              <w:rPr>
                <w:sz w:val="12"/>
                <w:szCs w:val="12"/>
                <w:color w:val="auto"/>
              </w:rPr>
            </w:pPr>
          </w:p>
        </w:tc>
        <w:tc>
          <w:tcPr>
            <w:tcW w:w="600" w:type="dxa"/>
            <w:vAlign w:val="bottom"/>
            <w:shd w:val="clear" w:color="auto" w:fill="CFF0FC"/>
          </w:tcPr>
          <w:p>
            <w:pPr>
              <w:ind w:left="460"/>
              <w:spacing w:after="0"/>
              <w:rPr>
                <w:sz w:val="20"/>
                <w:szCs w:val="20"/>
                <w:color w:val="auto"/>
              </w:rPr>
            </w:pPr>
            <w:r>
              <w:rPr>
                <w:rFonts w:ascii="Arial" w:cs="Arial" w:eastAsia="Arial" w:hAnsi="Arial"/>
                <w:sz w:val="13"/>
                <w:szCs w:val="13"/>
                <w:color w:val="auto"/>
                <w:w w:val="91"/>
              </w:rPr>
              <w:t>—</w:t>
            </w:r>
          </w:p>
        </w:tc>
        <w:tc>
          <w:tcPr>
            <w:tcW w:w="22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5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w:t>
            </w:r>
          </w:p>
        </w:tc>
      </w:tr>
      <w:tr>
        <w:trPr>
          <w:trHeight w:val="148"/>
        </w:trPr>
        <w:tc>
          <w:tcPr>
            <w:tcW w:w="1880" w:type="dxa"/>
            <w:vAlign w:val="bottom"/>
          </w:tcPr>
          <w:p>
            <w:pPr>
              <w:spacing w:after="0" w:line="148" w:lineRule="exact"/>
              <w:rPr>
                <w:sz w:val="20"/>
                <w:szCs w:val="20"/>
                <w:color w:val="auto"/>
              </w:rPr>
            </w:pPr>
            <w:r>
              <w:rPr>
                <w:rFonts w:ascii="Arial" w:cs="Arial" w:eastAsia="Arial" w:hAnsi="Arial"/>
                <w:sz w:val="13"/>
                <w:szCs w:val="13"/>
                <w:color w:val="auto"/>
              </w:rPr>
              <w:t>Robert S. Molloy</w:t>
            </w: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8"/>
        </w:trPr>
        <w:tc>
          <w:tcPr>
            <w:tcW w:w="1880" w:type="dxa"/>
            <w:vAlign w:val="bottom"/>
          </w:tcPr>
          <w:p>
            <w:pPr>
              <w:ind w:left="180"/>
              <w:spacing w:after="0"/>
              <w:rPr>
                <w:sz w:val="20"/>
                <w:szCs w:val="20"/>
                <w:color w:val="auto"/>
              </w:rPr>
            </w:pPr>
            <w:r>
              <w:rPr>
                <w:rFonts w:ascii="Arial" w:cs="Arial" w:eastAsia="Arial" w:hAnsi="Arial"/>
                <w:sz w:val="13"/>
                <w:szCs w:val="13"/>
                <w:color w:val="auto"/>
              </w:rPr>
              <w:t xml:space="preserve">-2020 AIP </w:t>
            </w:r>
            <w:r>
              <w:rPr>
                <w:rFonts w:ascii="Arial" w:cs="Arial" w:eastAsia="Arial" w:hAnsi="Arial"/>
                <w:sz w:val="10"/>
                <w:szCs w:val="10"/>
                <w:color w:val="auto"/>
              </w:rPr>
              <w:t>(2)</w:t>
            </w:r>
          </w:p>
        </w:tc>
        <w:tc>
          <w:tcPr>
            <w:tcW w:w="5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w w:val="96"/>
              </w:rPr>
              <w:t>6/23/2020</w:t>
            </w:r>
          </w:p>
        </w:tc>
        <w:tc>
          <w:tcPr>
            <w:tcW w:w="100" w:type="dxa"/>
            <w:vAlign w:val="bottom"/>
          </w:tcPr>
          <w:p>
            <w:pPr>
              <w:spacing w:after="0"/>
              <w:rPr>
                <w:sz w:val="12"/>
                <w:szCs w:val="12"/>
                <w:color w:val="auto"/>
              </w:rPr>
            </w:pPr>
          </w:p>
        </w:tc>
        <w:tc>
          <w:tcPr>
            <w:tcW w:w="120" w:type="dxa"/>
            <w:vAlign w:val="bottom"/>
          </w:tcPr>
          <w:p>
            <w:pPr>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37,500</w:t>
            </w: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187,500</w:t>
            </w:r>
          </w:p>
        </w:tc>
        <w:tc>
          <w:tcPr>
            <w:tcW w:w="420" w:type="dxa"/>
            <w:vAlign w:val="bottom"/>
          </w:tcPr>
          <w:p>
            <w:pPr>
              <w:spacing w:after="0"/>
              <w:rPr>
                <w:sz w:val="12"/>
                <w:szCs w:val="12"/>
                <w:color w:val="auto"/>
              </w:rPr>
            </w:pPr>
          </w:p>
        </w:tc>
        <w:tc>
          <w:tcPr>
            <w:tcW w:w="140" w:type="dxa"/>
            <w:vAlign w:val="bottom"/>
          </w:tcPr>
          <w:p>
            <w:pPr>
              <w:jc w:val="right"/>
              <w:ind w:right="26"/>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rPr>
                <w:sz w:val="20"/>
                <w:szCs w:val="20"/>
                <w:color w:val="auto"/>
              </w:rPr>
            </w:pPr>
            <w:r>
              <w:rPr>
                <w:rFonts w:ascii="Arial" w:cs="Arial" w:eastAsia="Arial" w:hAnsi="Arial"/>
                <w:sz w:val="13"/>
                <w:szCs w:val="13"/>
                <w:color w:val="auto"/>
                <w:w w:val="97"/>
              </w:rPr>
              <w:t>281,250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00" w:type="dxa"/>
            <w:vAlign w:val="bottom"/>
          </w:tcPr>
          <w:p>
            <w:pPr>
              <w:ind w:left="460"/>
              <w:spacing w:after="0"/>
              <w:rPr>
                <w:sz w:val="20"/>
                <w:szCs w:val="20"/>
                <w:color w:val="auto"/>
              </w:rPr>
            </w:pPr>
            <w:r>
              <w:rPr>
                <w:rFonts w:ascii="Arial" w:cs="Arial" w:eastAsia="Arial" w:hAnsi="Arial"/>
                <w:sz w:val="13"/>
                <w:szCs w:val="13"/>
                <w:color w:val="auto"/>
                <w:w w:val="91"/>
              </w:rPr>
              <w:t>—</w:t>
            </w:r>
          </w:p>
        </w:tc>
        <w:tc>
          <w:tcPr>
            <w:tcW w:w="220" w:type="dxa"/>
            <w:vAlign w:val="bottom"/>
          </w:tcPr>
          <w:p>
            <w:pPr>
              <w:spacing w:after="0"/>
              <w:rPr>
                <w:sz w:val="12"/>
                <w:szCs w:val="1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r>
      <w:tr>
        <w:trPr>
          <w:trHeight w:val="148"/>
        </w:trPr>
        <w:tc>
          <w:tcPr>
            <w:tcW w:w="1880" w:type="dxa"/>
            <w:vAlign w:val="bottom"/>
          </w:tcPr>
          <w:p>
            <w:pPr>
              <w:ind w:left="180"/>
              <w:spacing w:after="0"/>
              <w:rPr>
                <w:sz w:val="20"/>
                <w:szCs w:val="20"/>
                <w:color w:val="auto"/>
              </w:rPr>
            </w:pPr>
            <w:r>
              <w:rPr>
                <w:rFonts w:ascii="Arial" w:cs="Arial" w:eastAsia="Arial" w:hAnsi="Arial"/>
                <w:sz w:val="13"/>
                <w:szCs w:val="13"/>
                <w:color w:val="auto"/>
                <w:w w:val="88"/>
              </w:rPr>
              <w:t xml:space="preserve">-2020-2022 LTIP, Time-Based </w:t>
            </w:r>
            <w:r>
              <w:rPr>
                <w:rFonts w:ascii="Arial" w:cs="Arial" w:eastAsia="Arial" w:hAnsi="Arial"/>
                <w:sz w:val="10"/>
                <w:szCs w:val="10"/>
                <w:color w:val="auto"/>
                <w:w w:val="88"/>
              </w:rPr>
              <w:t>(3)</w:t>
            </w:r>
          </w:p>
        </w:tc>
        <w:tc>
          <w:tcPr>
            <w:tcW w:w="580" w:type="dxa"/>
            <w:vAlign w:val="bottom"/>
          </w:tcPr>
          <w:p>
            <w:pPr>
              <w:jc w:val="right"/>
              <w:spacing w:after="0"/>
              <w:rPr>
                <w:sz w:val="20"/>
                <w:szCs w:val="20"/>
                <w:color w:val="auto"/>
              </w:rPr>
            </w:pPr>
            <w:r>
              <w:rPr>
                <w:rFonts w:ascii="Arial" w:cs="Arial" w:eastAsia="Arial" w:hAnsi="Arial"/>
                <w:sz w:val="13"/>
                <w:szCs w:val="13"/>
                <w:color w:val="auto"/>
                <w:w w:val="96"/>
              </w:rPr>
              <w:t>6/11/2020</w:t>
            </w:r>
          </w:p>
        </w:tc>
        <w:tc>
          <w:tcPr>
            <w:tcW w:w="580" w:type="dxa"/>
            <w:vAlign w:val="bottom"/>
          </w:tcPr>
          <w:p>
            <w:pPr>
              <w:jc w:val="right"/>
              <w:spacing w:after="0"/>
              <w:rPr>
                <w:sz w:val="20"/>
                <w:szCs w:val="20"/>
                <w:color w:val="auto"/>
              </w:rPr>
            </w:pPr>
            <w:r>
              <w:rPr>
                <w:rFonts w:ascii="Arial" w:cs="Arial" w:eastAsia="Arial" w:hAnsi="Arial"/>
                <w:sz w:val="13"/>
                <w:szCs w:val="13"/>
                <w:color w:val="auto"/>
              </w:rPr>
              <w:t>2/2/2020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65,625</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00" w:type="dxa"/>
            <w:vAlign w:val="bottom"/>
          </w:tcPr>
          <w:p>
            <w:pPr>
              <w:ind w:left="460"/>
              <w:spacing w:after="0"/>
              <w:rPr>
                <w:sz w:val="20"/>
                <w:szCs w:val="20"/>
                <w:color w:val="auto"/>
              </w:rPr>
            </w:pPr>
            <w:r>
              <w:rPr>
                <w:rFonts w:ascii="Arial" w:cs="Arial" w:eastAsia="Arial" w:hAnsi="Arial"/>
                <w:sz w:val="13"/>
                <w:szCs w:val="13"/>
                <w:color w:val="auto"/>
                <w:w w:val="91"/>
              </w:rPr>
              <w:t>—</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185,731</w:t>
            </w:r>
          </w:p>
        </w:tc>
        <w:tc>
          <w:tcPr>
            <w:tcW w:w="220" w:type="dxa"/>
            <w:vAlign w:val="bottom"/>
          </w:tcPr>
          <w:p>
            <w:pPr>
              <w:spacing w:after="0"/>
              <w:rPr>
                <w:sz w:val="12"/>
                <w:szCs w:val="12"/>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58,245</w:t>
            </w:r>
          </w:p>
        </w:tc>
        <w:tc>
          <w:tcPr>
            <w:tcW w:w="60" w:type="dxa"/>
            <w:vAlign w:val="bottom"/>
          </w:tcPr>
          <w:p>
            <w:pPr>
              <w:spacing w:after="0"/>
              <w:rPr>
                <w:sz w:val="12"/>
                <w:szCs w:val="12"/>
                <w:color w:val="auto"/>
              </w:rPr>
            </w:pPr>
          </w:p>
        </w:tc>
      </w:tr>
      <w:tr>
        <w:trPr>
          <w:trHeight w:val="135"/>
        </w:trPr>
        <w:tc>
          <w:tcPr>
            <w:tcW w:w="1880" w:type="dxa"/>
            <w:vAlign w:val="bottom"/>
          </w:tcPr>
          <w:p>
            <w:pPr>
              <w:ind w:left="180"/>
              <w:spacing w:after="0" w:line="135" w:lineRule="exact"/>
              <w:rPr>
                <w:sz w:val="20"/>
                <w:szCs w:val="20"/>
                <w:color w:val="auto"/>
              </w:rPr>
            </w:pPr>
            <w:r>
              <w:rPr>
                <w:rFonts w:ascii="Arial" w:cs="Arial" w:eastAsia="Arial" w:hAnsi="Arial"/>
                <w:sz w:val="13"/>
                <w:szCs w:val="13"/>
                <w:color w:val="auto"/>
                <w:w w:val="91"/>
              </w:rPr>
              <w:t>-2020-2022 LTIP, Performance-</w:t>
            </w: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49"/>
        </w:trPr>
        <w:tc>
          <w:tcPr>
            <w:tcW w:w="1880" w:type="dxa"/>
            <w:vAlign w:val="bottom"/>
          </w:tcPr>
          <w:p>
            <w:pPr>
              <w:ind w:left="180"/>
              <w:spacing w:after="0"/>
              <w:rPr>
                <w:sz w:val="20"/>
                <w:szCs w:val="20"/>
                <w:color w:val="auto"/>
              </w:rPr>
            </w:pPr>
            <w:r>
              <w:rPr>
                <w:rFonts w:ascii="Arial" w:cs="Arial" w:eastAsia="Arial" w:hAnsi="Arial"/>
                <w:sz w:val="13"/>
                <w:szCs w:val="13"/>
                <w:color w:val="auto"/>
              </w:rPr>
              <w:t xml:space="preserve">Based </w:t>
            </w:r>
            <w:r>
              <w:rPr>
                <w:rFonts w:ascii="Arial" w:cs="Arial" w:eastAsia="Arial" w:hAnsi="Arial"/>
                <w:sz w:val="10"/>
                <w:szCs w:val="10"/>
                <w:color w:val="auto"/>
              </w:rPr>
              <w:t>(3)</w:t>
            </w:r>
          </w:p>
        </w:tc>
        <w:tc>
          <w:tcPr>
            <w:tcW w:w="580" w:type="dxa"/>
            <w:vAlign w:val="bottom"/>
          </w:tcPr>
          <w:p>
            <w:pPr>
              <w:jc w:val="right"/>
              <w:spacing w:after="0"/>
              <w:rPr>
                <w:sz w:val="20"/>
                <w:szCs w:val="20"/>
                <w:color w:val="auto"/>
              </w:rPr>
            </w:pPr>
            <w:r>
              <w:rPr>
                <w:rFonts w:ascii="Arial" w:cs="Arial" w:eastAsia="Arial" w:hAnsi="Arial"/>
                <w:sz w:val="13"/>
                <w:szCs w:val="13"/>
                <w:color w:val="auto"/>
                <w:w w:val="96"/>
              </w:rPr>
              <w:t>6/11/2020</w:t>
            </w:r>
          </w:p>
        </w:tc>
        <w:tc>
          <w:tcPr>
            <w:tcW w:w="580" w:type="dxa"/>
            <w:vAlign w:val="bottom"/>
          </w:tcPr>
          <w:p>
            <w:pPr>
              <w:jc w:val="right"/>
              <w:spacing w:after="0"/>
              <w:rPr>
                <w:sz w:val="20"/>
                <w:szCs w:val="20"/>
                <w:color w:val="auto"/>
              </w:rPr>
            </w:pPr>
            <w:r>
              <w:rPr>
                <w:rFonts w:ascii="Arial" w:cs="Arial" w:eastAsia="Arial" w:hAnsi="Arial"/>
                <w:sz w:val="13"/>
                <w:szCs w:val="13"/>
                <w:color w:val="auto"/>
              </w:rPr>
              <w:t>2/2/2020</w:t>
            </w:r>
          </w:p>
        </w:tc>
        <w:tc>
          <w:tcPr>
            <w:tcW w:w="100" w:type="dxa"/>
            <w:vAlign w:val="bottom"/>
          </w:tcPr>
          <w:p>
            <w:pPr>
              <w:spacing w:after="0"/>
              <w:rPr>
                <w:sz w:val="12"/>
                <w:szCs w:val="12"/>
                <w:color w:val="auto"/>
              </w:rPr>
            </w:pPr>
          </w:p>
        </w:tc>
        <w:tc>
          <w:tcPr>
            <w:tcW w:w="120" w:type="dxa"/>
            <w:vAlign w:val="bottom"/>
          </w:tcPr>
          <w:p>
            <w:pPr>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16,406</w:t>
            </w: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65,625</w:t>
            </w:r>
          </w:p>
        </w:tc>
        <w:tc>
          <w:tcPr>
            <w:tcW w:w="420" w:type="dxa"/>
            <w:vAlign w:val="bottom"/>
          </w:tcPr>
          <w:p>
            <w:pPr>
              <w:spacing w:after="0"/>
              <w:rPr>
                <w:sz w:val="12"/>
                <w:szCs w:val="12"/>
                <w:color w:val="auto"/>
              </w:rPr>
            </w:pPr>
          </w:p>
        </w:tc>
        <w:tc>
          <w:tcPr>
            <w:tcW w:w="140" w:type="dxa"/>
            <w:vAlign w:val="bottom"/>
          </w:tcPr>
          <w:p>
            <w:pPr>
              <w:jc w:val="right"/>
              <w:ind w:right="26"/>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98,438</w:t>
            </w:r>
          </w:p>
        </w:tc>
        <w:tc>
          <w:tcPr>
            <w:tcW w:w="3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16,406</w:t>
            </w:r>
          </w:p>
        </w:tc>
        <w:tc>
          <w:tcPr>
            <w:tcW w:w="3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65,625</w:t>
            </w:r>
          </w:p>
        </w:tc>
        <w:tc>
          <w:tcPr>
            <w:tcW w:w="140" w:type="dxa"/>
            <w:vAlign w:val="bottom"/>
          </w:tcPr>
          <w:p>
            <w:pPr>
              <w:spacing w:after="0"/>
              <w:rPr>
                <w:sz w:val="12"/>
                <w:szCs w:val="12"/>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98,438</w:t>
            </w:r>
          </w:p>
        </w:tc>
        <w:tc>
          <w:tcPr>
            <w:tcW w:w="220" w:type="dxa"/>
            <w:vAlign w:val="bottom"/>
          </w:tcPr>
          <w:p>
            <w:pPr>
              <w:spacing w:after="0"/>
              <w:rPr>
                <w:sz w:val="12"/>
                <w:szCs w:val="12"/>
                <w:color w:val="auto"/>
              </w:rPr>
            </w:pPr>
          </w:p>
        </w:tc>
        <w:tc>
          <w:tcPr>
            <w:tcW w:w="600" w:type="dxa"/>
            <w:vAlign w:val="bottom"/>
          </w:tcPr>
          <w:p>
            <w:pPr>
              <w:ind w:left="460"/>
              <w:spacing w:after="0"/>
              <w:rPr>
                <w:sz w:val="20"/>
                <w:szCs w:val="20"/>
                <w:color w:val="auto"/>
              </w:rPr>
            </w:pPr>
            <w:r>
              <w:rPr>
                <w:rFonts w:ascii="Arial" w:cs="Arial" w:eastAsia="Arial" w:hAnsi="Arial"/>
                <w:sz w:val="13"/>
                <w:szCs w:val="13"/>
                <w:color w:val="auto"/>
                <w:w w:val="91"/>
              </w:rPr>
              <w:t>—</w:t>
            </w:r>
          </w:p>
        </w:tc>
        <w:tc>
          <w:tcPr>
            <w:tcW w:w="220" w:type="dxa"/>
            <w:vAlign w:val="bottom"/>
          </w:tcPr>
          <w:p>
            <w:pPr>
              <w:spacing w:after="0"/>
              <w:rPr>
                <w:sz w:val="12"/>
                <w:szCs w:val="1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r>
      <w:tr>
        <w:trPr>
          <w:trHeight w:val="148"/>
        </w:trPr>
        <w:tc>
          <w:tcPr>
            <w:tcW w:w="1880" w:type="dxa"/>
            <w:vAlign w:val="bottom"/>
            <w:shd w:val="clear" w:color="auto" w:fill="CFF0FC"/>
          </w:tcPr>
          <w:p>
            <w:pPr>
              <w:spacing w:after="0"/>
              <w:rPr>
                <w:sz w:val="20"/>
                <w:szCs w:val="20"/>
                <w:color w:val="auto"/>
              </w:rPr>
            </w:pPr>
            <w:r>
              <w:rPr>
                <w:rFonts w:ascii="Arial" w:cs="Arial" w:eastAsia="Arial" w:hAnsi="Arial"/>
                <w:sz w:val="13"/>
                <w:szCs w:val="13"/>
                <w:color w:val="auto"/>
              </w:rPr>
              <w:t>Anthony J. Gaeta</w:t>
            </w:r>
          </w:p>
        </w:tc>
        <w:tc>
          <w:tcPr>
            <w:tcW w:w="5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r>
      <w:tr>
        <w:trPr>
          <w:trHeight w:val="148"/>
        </w:trPr>
        <w:tc>
          <w:tcPr>
            <w:tcW w:w="1880" w:type="dxa"/>
            <w:vAlign w:val="bottom"/>
            <w:shd w:val="clear" w:color="auto" w:fill="CFF0FC"/>
          </w:tcPr>
          <w:p>
            <w:pPr>
              <w:ind w:left="180"/>
              <w:spacing w:after="0"/>
              <w:rPr>
                <w:sz w:val="20"/>
                <w:szCs w:val="20"/>
                <w:color w:val="auto"/>
              </w:rPr>
            </w:pPr>
            <w:r>
              <w:rPr>
                <w:rFonts w:ascii="Arial" w:cs="Arial" w:eastAsia="Arial" w:hAnsi="Arial"/>
                <w:sz w:val="13"/>
                <w:szCs w:val="13"/>
                <w:color w:val="auto"/>
              </w:rPr>
              <w:t xml:space="preserve">-2020 AIP </w:t>
            </w:r>
            <w:r>
              <w:rPr>
                <w:rFonts w:ascii="Arial" w:cs="Arial" w:eastAsia="Arial" w:hAnsi="Arial"/>
                <w:sz w:val="10"/>
                <w:szCs w:val="10"/>
                <w:color w:val="auto"/>
              </w:rPr>
              <w:t>(2)</w:t>
            </w:r>
          </w:p>
        </w:tc>
        <w:tc>
          <w:tcPr>
            <w:tcW w:w="58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6"/>
              </w:rPr>
              <w:t>6/23/2020</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23,600</w:t>
            </w:r>
          </w:p>
        </w:tc>
        <w:tc>
          <w:tcPr>
            <w:tcW w:w="48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118,000</w:t>
            </w:r>
          </w:p>
        </w:tc>
        <w:tc>
          <w:tcPr>
            <w:tcW w:w="420" w:type="dxa"/>
            <w:vAlign w:val="bottom"/>
            <w:shd w:val="clear" w:color="auto" w:fill="CFF0FC"/>
          </w:tcPr>
          <w:p>
            <w:pPr>
              <w:spacing w:after="0"/>
              <w:rPr>
                <w:sz w:val="12"/>
                <w:szCs w:val="12"/>
                <w:color w:val="auto"/>
              </w:rPr>
            </w:pPr>
          </w:p>
        </w:tc>
        <w:tc>
          <w:tcPr>
            <w:tcW w:w="140" w:type="dxa"/>
            <w:vAlign w:val="bottom"/>
            <w:shd w:val="clear" w:color="auto" w:fill="CFF0FC"/>
          </w:tcPr>
          <w:p>
            <w:pPr>
              <w:jc w:val="right"/>
              <w:ind w:right="26"/>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7"/>
              </w:rPr>
              <w:t>177,000</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600" w:type="dxa"/>
            <w:vAlign w:val="bottom"/>
            <w:shd w:val="clear" w:color="auto" w:fill="CFF0FC"/>
          </w:tcPr>
          <w:p>
            <w:pPr>
              <w:ind w:left="460"/>
              <w:spacing w:after="0"/>
              <w:rPr>
                <w:sz w:val="20"/>
                <w:szCs w:val="20"/>
                <w:color w:val="auto"/>
              </w:rPr>
            </w:pPr>
            <w:r>
              <w:rPr>
                <w:rFonts w:ascii="Arial" w:cs="Arial" w:eastAsia="Arial" w:hAnsi="Arial"/>
                <w:sz w:val="13"/>
                <w:szCs w:val="13"/>
                <w:color w:val="auto"/>
                <w:w w:val="91"/>
              </w:rPr>
              <w:t>—</w:t>
            </w:r>
          </w:p>
        </w:tc>
        <w:tc>
          <w:tcPr>
            <w:tcW w:w="22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5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w:t>
            </w:r>
          </w:p>
        </w:tc>
      </w:tr>
      <w:tr>
        <w:trPr>
          <w:trHeight w:val="148"/>
        </w:trPr>
        <w:tc>
          <w:tcPr>
            <w:tcW w:w="1880" w:type="dxa"/>
            <w:vAlign w:val="bottom"/>
            <w:shd w:val="clear" w:color="auto" w:fill="CFF0FC"/>
          </w:tcPr>
          <w:p>
            <w:pPr>
              <w:ind w:left="180"/>
              <w:spacing w:after="0"/>
              <w:rPr>
                <w:sz w:val="20"/>
                <w:szCs w:val="20"/>
                <w:color w:val="auto"/>
              </w:rPr>
            </w:pPr>
            <w:r>
              <w:rPr>
                <w:rFonts w:ascii="Arial" w:cs="Arial" w:eastAsia="Arial" w:hAnsi="Arial"/>
                <w:sz w:val="13"/>
                <w:szCs w:val="13"/>
                <w:color w:val="auto"/>
                <w:w w:val="88"/>
              </w:rPr>
              <w:t xml:space="preserve">-2020-2022 LTIP, Time-Based </w:t>
            </w:r>
            <w:r>
              <w:rPr>
                <w:rFonts w:ascii="Arial" w:cs="Arial" w:eastAsia="Arial" w:hAnsi="Arial"/>
                <w:sz w:val="10"/>
                <w:szCs w:val="10"/>
                <w:color w:val="auto"/>
                <w:w w:val="88"/>
              </w:rPr>
              <w:t>(3)</w:t>
            </w: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6"/>
              </w:rPr>
              <w:t>6/11/2020</w:t>
            </w: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2/2/2020</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51,625</w:t>
            </w:r>
          </w:p>
        </w:tc>
        <w:tc>
          <w:tcPr>
            <w:tcW w:w="4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600" w:type="dxa"/>
            <w:vAlign w:val="bottom"/>
            <w:shd w:val="clear" w:color="auto" w:fill="CFF0FC"/>
          </w:tcPr>
          <w:p>
            <w:pPr>
              <w:ind w:left="460"/>
              <w:spacing w:after="0"/>
              <w:rPr>
                <w:sz w:val="20"/>
                <w:szCs w:val="20"/>
                <w:color w:val="auto"/>
              </w:rPr>
            </w:pPr>
            <w:r>
              <w:rPr>
                <w:rFonts w:ascii="Arial" w:cs="Arial" w:eastAsia="Arial" w:hAnsi="Arial"/>
                <w:sz w:val="13"/>
                <w:szCs w:val="13"/>
                <w:color w:val="auto"/>
                <w:w w:val="91"/>
              </w:rPr>
              <w:t>—</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146,108</w:t>
            </w:r>
          </w:p>
        </w:tc>
        <w:tc>
          <w:tcPr>
            <w:tcW w:w="220" w:type="dxa"/>
            <w:vAlign w:val="bottom"/>
            <w:shd w:val="clear" w:color="auto" w:fill="CFF0FC"/>
          </w:tcPr>
          <w:p>
            <w:pPr>
              <w:spacing w:after="0"/>
              <w:rPr>
                <w:sz w:val="12"/>
                <w:szCs w:val="12"/>
                <w:color w:val="auto"/>
              </w:rPr>
            </w:pPr>
          </w:p>
        </w:tc>
        <w:tc>
          <w:tcPr>
            <w:tcW w:w="5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45,819</w:t>
            </w:r>
          </w:p>
        </w:tc>
        <w:tc>
          <w:tcPr>
            <w:tcW w:w="60" w:type="dxa"/>
            <w:vAlign w:val="bottom"/>
            <w:shd w:val="clear" w:color="auto" w:fill="CFF0FC"/>
          </w:tcPr>
          <w:p>
            <w:pPr>
              <w:spacing w:after="0"/>
              <w:rPr>
                <w:sz w:val="12"/>
                <w:szCs w:val="12"/>
                <w:color w:val="auto"/>
              </w:rPr>
            </w:pPr>
          </w:p>
        </w:tc>
      </w:tr>
      <w:tr>
        <w:trPr>
          <w:trHeight w:val="134"/>
        </w:trPr>
        <w:tc>
          <w:tcPr>
            <w:tcW w:w="1880" w:type="dxa"/>
            <w:vAlign w:val="bottom"/>
            <w:shd w:val="clear" w:color="auto" w:fill="CFF0FC"/>
          </w:tcPr>
          <w:p>
            <w:pPr>
              <w:ind w:left="180"/>
              <w:spacing w:after="0" w:line="134" w:lineRule="exact"/>
              <w:rPr>
                <w:sz w:val="20"/>
                <w:szCs w:val="20"/>
                <w:color w:val="auto"/>
              </w:rPr>
            </w:pPr>
            <w:r>
              <w:rPr>
                <w:rFonts w:ascii="Arial" w:cs="Arial" w:eastAsia="Arial" w:hAnsi="Arial"/>
                <w:sz w:val="13"/>
                <w:szCs w:val="13"/>
                <w:color w:val="auto"/>
                <w:w w:val="91"/>
              </w:rPr>
              <w:t>-2020-2022 LTIP, Performance-</w:t>
            </w:r>
          </w:p>
        </w:tc>
        <w:tc>
          <w:tcPr>
            <w:tcW w:w="5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r>
      <w:tr>
        <w:trPr>
          <w:trHeight w:val="149"/>
        </w:trPr>
        <w:tc>
          <w:tcPr>
            <w:tcW w:w="1880" w:type="dxa"/>
            <w:vAlign w:val="bottom"/>
            <w:shd w:val="clear" w:color="auto" w:fill="CFF0FC"/>
          </w:tcPr>
          <w:p>
            <w:pPr>
              <w:ind w:left="180"/>
              <w:spacing w:after="0"/>
              <w:rPr>
                <w:sz w:val="20"/>
                <w:szCs w:val="20"/>
                <w:color w:val="auto"/>
              </w:rPr>
            </w:pPr>
            <w:r>
              <w:rPr>
                <w:rFonts w:ascii="Arial" w:cs="Arial" w:eastAsia="Arial" w:hAnsi="Arial"/>
                <w:sz w:val="13"/>
                <w:szCs w:val="13"/>
                <w:color w:val="auto"/>
              </w:rPr>
              <w:t xml:space="preserve">Based </w:t>
            </w:r>
            <w:r>
              <w:rPr>
                <w:rFonts w:ascii="Arial" w:cs="Arial" w:eastAsia="Arial" w:hAnsi="Arial"/>
                <w:sz w:val="10"/>
                <w:szCs w:val="10"/>
                <w:color w:val="auto"/>
              </w:rPr>
              <w:t>(3)</w:t>
            </w: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6"/>
              </w:rPr>
              <w:t>6/11/2020</w:t>
            </w: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2/2/2020</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12,906</w:t>
            </w:r>
          </w:p>
        </w:tc>
        <w:tc>
          <w:tcPr>
            <w:tcW w:w="48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51,625</w:t>
            </w:r>
          </w:p>
        </w:tc>
        <w:tc>
          <w:tcPr>
            <w:tcW w:w="420" w:type="dxa"/>
            <w:vAlign w:val="bottom"/>
            <w:shd w:val="clear" w:color="auto" w:fill="CFF0FC"/>
          </w:tcPr>
          <w:p>
            <w:pPr>
              <w:spacing w:after="0"/>
              <w:rPr>
                <w:sz w:val="12"/>
                <w:szCs w:val="12"/>
                <w:color w:val="auto"/>
              </w:rPr>
            </w:pPr>
          </w:p>
        </w:tc>
        <w:tc>
          <w:tcPr>
            <w:tcW w:w="140" w:type="dxa"/>
            <w:vAlign w:val="bottom"/>
            <w:shd w:val="clear" w:color="auto" w:fill="CFF0FC"/>
          </w:tcPr>
          <w:p>
            <w:pPr>
              <w:jc w:val="right"/>
              <w:ind w:right="26"/>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77,438</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12,906</w:t>
            </w:r>
          </w:p>
        </w:tc>
        <w:tc>
          <w:tcPr>
            <w:tcW w:w="32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51,625</w:t>
            </w:r>
          </w:p>
        </w:tc>
        <w:tc>
          <w:tcPr>
            <w:tcW w:w="140" w:type="dxa"/>
            <w:vAlign w:val="bottom"/>
            <w:shd w:val="clear" w:color="auto" w:fill="CFF0FC"/>
          </w:tcPr>
          <w:p>
            <w:pPr>
              <w:spacing w:after="0"/>
              <w:rPr>
                <w:sz w:val="12"/>
                <w:szCs w:val="12"/>
                <w:color w:val="auto"/>
              </w:rPr>
            </w:pPr>
          </w:p>
        </w:tc>
        <w:tc>
          <w:tcPr>
            <w:tcW w:w="18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77,438</w:t>
            </w:r>
          </w:p>
        </w:tc>
        <w:tc>
          <w:tcPr>
            <w:tcW w:w="220" w:type="dxa"/>
            <w:vAlign w:val="bottom"/>
            <w:shd w:val="clear" w:color="auto" w:fill="CFF0FC"/>
          </w:tcPr>
          <w:p>
            <w:pPr>
              <w:spacing w:after="0"/>
              <w:rPr>
                <w:sz w:val="12"/>
                <w:szCs w:val="12"/>
                <w:color w:val="auto"/>
              </w:rPr>
            </w:pPr>
          </w:p>
        </w:tc>
        <w:tc>
          <w:tcPr>
            <w:tcW w:w="600" w:type="dxa"/>
            <w:vAlign w:val="bottom"/>
            <w:shd w:val="clear" w:color="auto" w:fill="CFF0FC"/>
          </w:tcPr>
          <w:p>
            <w:pPr>
              <w:ind w:left="460"/>
              <w:spacing w:after="0"/>
              <w:rPr>
                <w:sz w:val="20"/>
                <w:szCs w:val="20"/>
                <w:color w:val="auto"/>
              </w:rPr>
            </w:pPr>
            <w:r>
              <w:rPr>
                <w:rFonts w:ascii="Arial" w:cs="Arial" w:eastAsia="Arial" w:hAnsi="Arial"/>
                <w:sz w:val="13"/>
                <w:szCs w:val="13"/>
                <w:color w:val="auto"/>
                <w:w w:val="91"/>
              </w:rPr>
              <w:t>—</w:t>
            </w:r>
          </w:p>
        </w:tc>
        <w:tc>
          <w:tcPr>
            <w:tcW w:w="22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5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w:t>
            </w:r>
          </w:p>
        </w:tc>
      </w:tr>
    </w:tbl>
    <w:p>
      <w:pPr>
        <w:spacing w:after="0" w:line="202" w:lineRule="exact"/>
        <w:rPr>
          <w:sz w:val="20"/>
          <w:szCs w:val="20"/>
          <w:color w:val="auto"/>
        </w:rPr>
      </w:pPr>
    </w:p>
    <w:p>
      <w:pPr>
        <w:ind w:left="740" w:right="100" w:hanging="368"/>
        <w:spacing w:after="0" w:line="274" w:lineRule="auto"/>
        <w:tabs>
          <w:tab w:leader="none" w:pos="7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Performance-based awards under the LTIP plans are denominated in dollars at the service inception date. The actual grant date of equity awards will occur only if the performance targets are achieved. See footnote 3 below for additional information on the 2020-2022 LTIP.</w:t>
      </w:r>
    </w:p>
    <w:p>
      <w:pPr>
        <w:ind w:left="740" w:right="20" w:hanging="368"/>
        <w:spacing w:after="0" w:line="265" w:lineRule="auto"/>
        <w:tabs>
          <w:tab w:leader="none" w:pos="7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threshold payout for each executive assumes the achievement of only the individual personal goals, target payout assumes 100%, and the maximum payout assumes 150% of the payout targets under the 2020 AIP, with the exception of the maximum payout for Mr. Kanter which is 200%. See “</w:t>
      </w:r>
      <w:r>
        <w:rPr>
          <w:rFonts w:ascii="Arial" w:cs="Arial" w:eastAsia="Arial" w:hAnsi="Arial"/>
          <w:sz w:val="17"/>
          <w:szCs w:val="17"/>
          <w:i w:val="1"/>
          <w:iCs w:val="1"/>
          <w:color w:val="auto"/>
        </w:rPr>
        <w:t>Compensation Components and Fiscal 2020 Compensation Decisions - Performance-based annual incentive plan – 2020 AIP</w:t>
      </w:r>
      <w:r>
        <w:rPr>
          <w:rFonts w:ascii="Arial" w:cs="Arial" w:eastAsia="Arial" w:hAnsi="Arial"/>
          <w:sz w:val="17"/>
          <w:szCs w:val="17"/>
          <w:color w:val="auto"/>
        </w:rPr>
        <w:t>” for more information on the targets set under the 2020 AIP. The respective actual cash payment made to each of the Named Executive Officers under the 2020 AIP is included in the “</w:t>
      </w:r>
      <w:r>
        <w:rPr>
          <w:rFonts w:ascii="Arial" w:cs="Arial" w:eastAsia="Arial" w:hAnsi="Arial"/>
          <w:sz w:val="17"/>
          <w:szCs w:val="17"/>
          <w:i w:val="1"/>
          <w:iCs w:val="1"/>
          <w:color w:val="auto"/>
        </w:rPr>
        <w:t>Summary Compensation Table</w:t>
      </w:r>
      <w:r>
        <w:rPr>
          <w:rFonts w:ascii="Arial" w:cs="Arial" w:eastAsia="Arial" w:hAnsi="Arial"/>
          <w:sz w:val="17"/>
          <w:szCs w:val="17"/>
          <w:color w:val="auto"/>
        </w:rPr>
        <w:t>” for fiscal 2020.</w:t>
      </w:r>
    </w:p>
    <w:p>
      <w:pPr>
        <w:ind w:left="740" w:hanging="368"/>
        <w:spacing w:after="0" w:line="286" w:lineRule="auto"/>
        <w:tabs>
          <w:tab w:leader="none" w:pos="7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On June 11, 2020, the Compensation Committee approved the performance target for the 2020-2022 LTIP. The performance-based awards represent 50% of the total potential payout under the 2020-2022 LTIP, and assumes that 50% is payable in cash and 50% payable in equity. The amounts in the above table represent the dollar value of any future grant of cash and equity assuming a potential payout at threshold, target and maximum for each executive estimated based on achieving 50%, 100% and 150%, respectively, of the payout targets set by the Compensation Committee. The actual grant of equity will occur only if the performance targets are achieved. The remaining 50% represents time-based awards, which were granted 50% cash and 50% in stock options. The above table reflects the cash award and the stock options that were granted on June 11, 2020. The cash award and the stock options vest in four equal tranches, with the first tranche vesting on June 11, 2021 and the remaining tranches vesting on April 1, 2022, April 1, 2023 and April 1, 2024. See “</w:t>
      </w:r>
      <w:r>
        <w:rPr>
          <w:rFonts w:ascii="Arial" w:cs="Arial" w:eastAsia="Arial" w:hAnsi="Arial"/>
          <w:sz w:val="16"/>
          <w:szCs w:val="16"/>
          <w:i w:val="1"/>
          <w:iCs w:val="1"/>
          <w:color w:val="auto"/>
        </w:rPr>
        <w:t>Compensation Components and Fiscal 2020 Compensation Decisions -</w:t>
      </w:r>
      <w:r>
        <w:rPr>
          <w:rFonts w:ascii="Arial" w:cs="Arial" w:eastAsia="Arial" w:hAnsi="Arial"/>
          <w:sz w:val="16"/>
          <w:szCs w:val="16"/>
          <w:color w:val="auto"/>
        </w:rPr>
        <w:t xml:space="preserve"> </w:t>
      </w:r>
      <w:r>
        <w:rPr>
          <w:rFonts w:ascii="Arial" w:cs="Arial" w:eastAsia="Arial" w:hAnsi="Arial"/>
          <w:sz w:val="16"/>
          <w:szCs w:val="16"/>
          <w:i w:val="1"/>
          <w:iCs w:val="1"/>
          <w:color w:val="auto"/>
        </w:rPr>
        <w:t>Long-term incentive plans - 2020-2022 Performance Period</w:t>
      </w:r>
      <w:r>
        <w:rPr>
          <w:rFonts w:ascii="Arial" w:cs="Arial" w:eastAsia="Arial" w:hAnsi="Arial"/>
          <w:sz w:val="16"/>
          <w:szCs w:val="16"/>
          <w:color w:val="auto"/>
        </w:rPr>
        <w:t>” above for more information on the targets.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3" w:name="page24"/>
    <w:bookmarkEnd w:id="23"/>
    <w:p>
      <w:pPr>
        <w:ind w:right="180"/>
        <w:spacing w:after="0" w:line="277" w:lineRule="auto"/>
        <w:rPr>
          <w:sz w:val="20"/>
          <w:szCs w:val="20"/>
          <w:color w:val="auto"/>
        </w:rPr>
      </w:pPr>
      <w:r>
        <w:rPr>
          <w:rFonts w:ascii="Arial" w:cs="Arial" w:eastAsia="Arial" w:hAnsi="Arial"/>
          <w:sz w:val="18"/>
          <w:szCs w:val="18"/>
          <w:b w:val="1"/>
          <w:bCs w:val="1"/>
          <w:i w:val="1"/>
          <w:iCs w:val="1"/>
          <w:color w:val="auto"/>
        </w:rPr>
        <w:t>Outstanding Equity Awards at Fiscal Year-End</w:t>
      </w:r>
      <w:r>
        <w:rPr>
          <w:rFonts w:ascii="Arial" w:cs="Arial" w:eastAsia="Arial" w:hAnsi="Arial"/>
          <w:sz w:val="18"/>
          <w:szCs w:val="18"/>
          <w:color w:val="auto"/>
        </w:rPr>
        <w:t>. The following table sets forth certain information with respect to outstanding equity awards held by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Named Executive Officers at the end of fiscal 2020.</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2020 OUTSTANDING EQUITY AWARDS AT FISCAL YEAR-END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3"/>
                <w:szCs w:val="13"/>
                <w:b w:val="1"/>
                <w:bCs w:val="1"/>
                <w:color w:val="auto"/>
                <w:w w:val="97"/>
              </w:rPr>
              <w:t>Option Awards</w:t>
            </w:r>
          </w:p>
        </w:tc>
        <w:tc>
          <w:tcPr>
            <w:tcW w:w="3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3"/>
          </w:tcPr>
          <w:p>
            <w:pPr>
              <w:jc w:val="right"/>
              <w:ind w:right="610"/>
              <w:spacing w:after="0"/>
              <w:rPr>
                <w:sz w:val="20"/>
                <w:szCs w:val="20"/>
                <w:color w:val="auto"/>
              </w:rPr>
            </w:pPr>
            <w:r>
              <w:rPr>
                <w:rFonts w:ascii="Arial" w:cs="Arial" w:eastAsia="Arial" w:hAnsi="Arial"/>
                <w:sz w:val="13"/>
                <w:szCs w:val="13"/>
                <w:b w:val="1"/>
                <w:bCs w:val="1"/>
                <w:color w:val="auto"/>
              </w:rPr>
              <w:t>Stock Awards</w:t>
            </w:r>
          </w:p>
        </w:tc>
        <w:tc>
          <w:tcPr>
            <w:tcW w:w="4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gridSpan w:val="2"/>
          </w:tcPr>
          <w:p>
            <w:pPr>
              <w:jc w:val="center"/>
              <w:ind w:right="80"/>
              <w:spacing w:after="0" w:line="143" w:lineRule="exact"/>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2"/>
              </w:rPr>
              <w:t>Incentive</w:t>
            </w:r>
          </w:p>
        </w:tc>
        <w:tc>
          <w:tcPr>
            <w:tcW w:w="0" w:type="dxa"/>
            <w:vAlign w:val="bottom"/>
          </w:tcPr>
          <w:p>
            <w:pPr>
              <w:spacing w:after="0"/>
              <w:rPr>
                <w:sz w:val="1"/>
                <w:szCs w:val="1"/>
                <w:color w:val="auto"/>
              </w:rPr>
            </w:pPr>
          </w:p>
        </w:tc>
      </w:tr>
      <w:tr>
        <w:trPr>
          <w:trHeight w:val="149"/>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4"/>
              </w:rPr>
              <w:t>Plan</w:t>
            </w: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3"/>
              </w:rPr>
              <w:t>Awards:</w:t>
            </w: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auto"/>
                <w:w w:val="95"/>
              </w:rPr>
              <w:t>Equity</w:t>
            </w:r>
          </w:p>
        </w:tc>
        <w:tc>
          <w:tcPr>
            <w:tcW w:w="460" w:type="dxa"/>
            <w:vAlign w:val="bottom"/>
          </w:tcPr>
          <w:p>
            <w:pPr>
              <w:spacing w:after="0"/>
              <w:rPr>
                <w:sz w:val="12"/>
                <w:szCs w:val="12"/>
                <w:color w:val="auto"/>
              </w:rPr>
            </w:pPr>
          </w:p>
        </w:tc>
        <w:tc>
          <w:tcPr>
            <w:tcW w:w="7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rPr>
              <w:t>Market or</w:t>
            </w: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rPr>
              <w:t>Equity</w:t>
            </w: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auto"/>
                <w:w w:val="95"/>
              </w:rPr>
              <w:t>Incentive</w:t>
            </w:r>
          </w:p>
        </w:tc>
        <w:tc>
          <w:tcPr>
            <w:tcW w:w="460" w:type="dxa"/>
            <w:vAlign w:val="bottom"/>
          </w:tcPr>
          <w:p>
            <w:pPr>
              <w:spacing w:after="0"/>
              <w:rPr>
                <w:sz w:val="12"/>
                <w:szCs w:val="12"/>
                <w:color w:val="auto"/>
              </w:rPr>
            </w:pPr>
          </w:p>
        </w:tc>
        <w:tc>
          <w:tcPr>
            <w:tcW w:w="7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2"/>
              </w:rPr>
              <w:t>Payout</w:t>
            </w: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5"/>
              </w:rPr>
              <w:t>Incentive</w:t>
            </w: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auto"/>
                <w:w w:val="94"/>
              </w:rPr>
              <w:t>Plan</w:t>
            </w:r>
          </w:p>
        </w:tc>
        <w:tc>
          <w:tcPr>
            <w:tcW w:w="460" w:type="dxa"/>
            <w:vAlign w:val="bottom"/>
          </w:tcPr>
          <w:p>
            <w:pPr>
              <w:spacing w:after="0"/>
              <w:rPr>
                <w:sz w:val="12"/>
                <w:szCs w:val="12"/>
                <w:color w:val="auto"/>
              </w:rPr>
            </w:pPr>
          </w:p>
        </w:tc>
        <w:tc>
          <w:tcPr>
            <w:tcW w:w="7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4"/>
              </w:rPr>
              <w:t>Value of</w:t>
            </w: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4"/>
              </w:rPr>
              <w:t>Plan</w:t>
            </w: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center"/>
              <w:ind w:right="29"/>
              <w:spacing w:after="0"/>
              <w:rPr>
                <w:sz w:val="20"/>
                <w:szCs w:val="20"/>
                <w:color w:val="auto"/>
              </w:rPr>
            </w:pPr>
            <w:r>
              <w:rPr>
                <w:rFonts w:ascii="Arial" w:cs="Arial" w:eastAsia="Arial" w:hAnsi="Arial"/>
                <w:sz w:val="13"/>
                <w:szCs w:val="13"/>
                <w:b w:val="1"/>
                <w:bCs w:val="1"/>
                <w:color w:val="auto"/>
              </w:rPr>
              <w:t>Market</w:t>
            </w:r>
          </w:p>
        </w:tc>
        <w:tc>
          <w:tcPr>
            <w:tcW w:w="22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auto"/>
                <w:w w:val="97"/>
              </w:rPr>
              <w:t>Awards:</w:t>
            </w:r>
          </w:p>
        </w:tc>
        <w:tc>
          <w:tcPr>
            <w:tcW w:w="460" w:type="dxa"/>
            <w:vAlign w:val="bottom"/>
          </w:tcPr>
          <w:p>
            <w:pPr>
              <w:spacing w:after="0"/>
              <w:rPr>
                <w:sz w:val="12"/>
                <w:szCs w:val="12"/>
                <w:color w:val="auto"/>
              </w:rPr>
            </w:pPr>
          </w:p>
        </w:tc>
        <w:tc>
          <w:tcPr>
            <w:tcW w:w="7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3"/>
              </w:rPr>
              <w:t>Unearned</w:t>
            </w:r>
          </w:p>
        </w:tc>
        <w:tc>
          <w:tcPr>
            <w:tcW w:w="0" w:type="dxa"/>
            <w:vAlign w:val="bottom"/>
          </w:tcPr>
          <w:p>
            <w:pPr>
              <w:spacing w:after="0"/>
              <w:rPr>
                <w:sz w:val="1"/>
                <w:szCs w:val="1"/>
                <w:color w:val="auto"/>
              </w:rPr>
            </w:pPr>
          </w:p>
        </w:tc>
      </w:tr>
      <w:tr>
        <w:trPr>
          <w:trHeight w:val="149"/>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3"/>
              </w:rPr>
              <w:t>Awards:</w:t>
            </w: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5"/>
              </w:rPr>
              <w:t>Number of</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center"/>
              <w:ind w:right="29"/>
              <w:spacing w:after="0"/>
              <w:rPr>
                <w:sz w:val="20"/>
                <w:szCs w:val="20"/>
                <w:color w:val="auto"/>
              </w:rPr>
            </w:pPr>
            <w:r>
              <w:rPr>
                <w:rFonts w:ascii="Arial" w:cs="Arial" w:eastAsia="Arial" w:hAnsi="Arial"/>
                <w:sz w:val="13"/>
                <w:szCs w:val="13"/>
                <w:b w:val="1"/>
                <w:bCs w:val="1"/>
                <w:color w:val="auto"/>
                <w:w w:val="94"/>
              </w:rPr>
              <w:t>Value of</w:t>
            </w:r>
          </w:p>
        </w:tc>
        <w:tc>
          <w:tcPr>
            <w:tcW w:w="22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auto"/>
                <w:w w:val="95"/>
              </w:rPr>
              <w:t>Number of</w:t>
            </w:r>
          </w:p>
        </w:tc>
        <w:tc>
          <w:tcPr>
            <w:tcW w:w="460" w:type="dxa"/>
            <w:vAlign w:val="bottom"/>
          </w:tcPr>
          <w:p>
            <w:pPr>
              <w:spacing w:after="0"/>
              <w:rPr>
                <w:sz w:val="12"/>
                <w:szCs w:val="12"/>
                <w:color w:val="auto"/>
              </w:rPr>
            </w:pPr>
          </w:p>
        </w:tc>
        <w:tc>
          <w:tcPr>
            <w:tcW w:w="76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89"/>
              </w:rPr>
              <w:t>Shares,</w:t>
            </w: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95"/>
              </w:rPr>
              <w:t>Number of</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5"/>
              </w:rPr>
              <w:t>Number of</w:t>
            </w: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89"/>
              </w:rPr>
              <w:t>Shares or</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center"/>
              <w:ind w:right="9"/>
              <w:spacing w:after="0"/>
              <w:rPr>
                <w:sz w:val="20"/>
                <w:szCs w:val="20"/>
                <w:color w:val="auto"/>
              </w:rPr>
            </w:pPr>
            <w:r>
              <w:rPr>
                <w:rFonts w:ascii="Arial" w:cs="Arial" w:eastAsia="Arial" w:hAnsi="Arial"/>
                <w:sz w:val="13"/>
                <w:szCs w:val="13"/>
                <w:b w:val="1"/>
                <w:bCs w:val="1"/>
                <w:color w:val="auto"/>
                <w:w w:val="87"/>
              </w:rPr>
              <w:t>Shares</w:t>
            </w:r>
          </w:p>
        </w:tc>
        <w:tc>
          <w:tcPr>
            <w:tcW w:w="1260" w:type="dxa"/>
            <w:vAlign w:val="bottom"/>
            <w:gridSpan w:val="2"/>
          </w:tcPr>
          <w:p>
            <w:pPr>
              <w:jc w:val="center"/>
              <w:ind w:left="153"/>
              <w:spacing w:after="0"/>
              <w:rPr>
                <w:sz w:val="20"/>
                <w:szCs w:val="20"/>
                <w:color w:val="auto"/>
              </w:rPr>
            </w:pPr>
            <w:r>
              <w:rPr>
                <w:rFonts w:ascii="Arial" w:cs="Arial" w:eastAsia="Arial" w:hAnsi="Arial"/>
                <w:sz w:val="13"/>
                <w:szCs w:val="13"/>
                <w:b w:val="1"/>
                <w:bCs w:val="1"/>
                <w:color w:val="auto"/>
                <w:w w:val="94"/>
              </w:rPr>
              <w:t>Unearned Shares,</w:t>
            </w:r>
          </w:p>
        </w:tc>
        <w:tc>
          <w:tcPr>
            <w:tcW w:w="460" w:type="dxa"/>
            <w:vAlign w:val="bottom"/>
          </w:tcPr>
          <w:p>
            <w:pPr>
              <w:spacing w:after="0"/>
              <w:rPr>
                <w:sz w:val="12"/>
                <w:szCs w:val="12"/>
                <w:color w:val="auto"/>
              </w:rPr>
            </w:pPr>
          </w:p>
        </w:tc>
        <w:tc>
          <w:tcPr>
            <w:tcW w:w="7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7"/>
              </w:rPr>
              <w:t>Units or</w:t>
            </w: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93"/>
              </w:rPr>
              <w:t>Securities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95"/>
              </w:rPr>
              <w:t>Number of</w:t>
            </w:r>
          </w:p>
        </w:tc>
        <w:tc>
          <w:tcPr>
            <w:tcW w:w="24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0"/>
              </w:rPr>
              <w:t>Securities</w:t>
            </w: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4"/>
              </w:rPr>
              <w:t>Units of</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center"/>
              <w:ind w:right="9"/>
              <w:spacing w:after="0"/>
              <w:rPr>
                <w:sz w:val="20"/>
                <w:szCs w:val="20"/>
                <w:color w:val="auto"/>
              </w:rPr>
            </w:pPr>
            <w:r>
              <w:rPr>
                <w:rFonts w:ascii="Arial" w:cs="Arial" w:eastAsia="Arial" w:hAnsi="Arial"/>
                <w:sz w:val="13"/>
                <w:szCs w:val="13"/>
                <w:b w:val="1"/>
                <w:bCs w:val="1"/>
                <w:color w:val="auto"/>
                <w:w w:val="93"/>
              </w:rPr>
              <w:t>or Units</w:t>
            </w:r>
          </w:p>
        </w:tc>
        <w:tc>
          <w:tcPr>
            <w:tcW w:w="22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auto"/>
                <w:w w:val="93"/>
              </w:rPr>
              <w:t>Units or</w:t>
            </w:r>
          </w:p>
        </w:tc>
        <w:tc>
          <w:tcPr>
            <w:tcW w:w="460" w:type="dxa"/>
            <w:vAlign w:val="bottom"/>
          </w:tcPr>
          <w:p>
            <w:pPr>
              <w:spacing w:after="0"/>
              <w:rPr>
                <w:sz w:val="12"/>
                <w:szCs w:val="12"/>
                <w:color w:val="auto"/>
              </w:rPr>
            </w:pPr>
          </w:p>
        </w:tc>
        <w:tc>
          <w:tcPr>
            <w:tcW w:w="7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rPr>
              <w:t>Other</w:t>
            </w: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97"/>
              </w:rPr>
              <w:t>Underlying</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90"/>
              </w:rPr>
              <w:t>Securities</w:t>
            </w:r>
          </w:p>
        </w:tc>
        <w:tc>
          <w:tcPr>
            <w:tcW w:w="24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7"/>
              </w:rPr>
              <w:t>Underlying</w:t>
            </w: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5"/>
              </w:rPr>
              <w:t>Stock</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center"/>
              <w:ind w:right="9"/>
              <w:spacing w:after="0"/>
              <w:rPr>
                <w:sz w:val="20"/>
                <w:szCs w:val="20"/>
                <w:color w:val="auto"/>
              </w:rPr>
            </w:pPr>
            <w:r>
              <w:rPr>
                <w:rFonts w:ascii="Arial" w:cs="Arial" w:eastAsia="Arial" w:hAnsi="Arial"/>
                <w:sz w:val="13"/>
                <w:szCs w:val="13"/>
                <w:b w:val="1"/>
                <w:bCs w:val="1"/>
                <w:color w:val="auto"/>
                <w:w w:val="89"/>
              </w:rPr>
              <w:t>of Stock</w:t>
            </w:r>
          </w:p>
        </w:tc>
        <w:tc>
          <w:tcPr>
            <w:tcW w:w="22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auto"/>
                <w:w w:val="97"/>
              </w:rPr>
              <w:t>Other</w:t>
            </w:r>
          </w:p>
        </w:tc>
        <w:tc>
          <w:tcPr>
            <w:tcW w:w="460" w:type="dxa"/>
            <w:vAlign w:val="bottom"/>
          </w:tcPr>
          <w:p>
            <w:pPr>
              <w:spacing w:after="0"/>
              <w:rPr>
                <w:sz w:val="12"/>
                <w:szCs w:val="12"/>
                <w:color w:val="auto"/>
              </w:rPr>
            </w:pPr>
          </w:p>
        </w:tc>
        <w:tc>
          <w:tcPr>
            <w:tcW w:w="7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8"/>
              </w:rPr>
              <w:t>Rights</w:t>
            </w: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90"/>
              </w:rPr>
              <w:t>Unexercised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97"/>
              </w:rPr>
              <w:t>Underlying</w:t>
            </w:r>
          </w:p>
        </w:tc>
        <w:tc>
          <w:tcPr>
            <w:tcW w:w="24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0"/>
              </w:rPr>
              <w:t>Unexercised</w:t>
            </w:r>
          </w:p>
        </w:tc>
        <w:tc>
          <w:tcPr>
            <w:tcW w:w="300" w:type="dxa"/>
            <w:vAlign w:val="bottom"/>
          </w:tcPr>
          <w:p>
            <w:pPr>
              <w:spacing w:after="0"/>
              <w:rPr>
                <w:sz w:val="12"/>
                <w:szCs w:val="12"/>
                <w:color w:val="auto"/>
              </w:rPr>
            </w:pPr>
          </w:p>
        </w:tc>
        <w:tc>
          <w:tcPr>
            <w:tcW w:w="88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rPr>
              <w:t>Option</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4"/>
              </w:rPr>
              <w:t>That</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ind w:left="160"/>
              <w:spacing w:after="0"/>
              <w:rPr>
                <w:sz w:val="20"/>
                <w:szCs w:val="20"/>
                <w:color w:val="auto"/>
              </w:rPr>
            </w:pPr>
            <w:r>
              <w:rPr>
                <w:rFonts w:ascii="Arial" w:cs="Arial" w:eastAsia="Arial" w:hAnsi="Arial"/>
                <w:sz w:val="13"/>
                <w:szCs w:val="13"/>
                <w:b w:val="1"/>
                <w:bCs w:val="1"/>
                <w:color w:val="auto"/>
              </w:rPr>
              <w:t>That</w:t>
            </w:r>
          </w:p>
        </w:tc>
        <w:tc>
          <w:tcPr>
            <w:tcW w:w="22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auto"/>
                <w:w w:val="97"/>
              </w:rPr>
              <w:t>Rights That</w:t>
            </w:r>
          </w:p>
        </w:tc>
        <w:tc>
          <w:tcPr>
            <w:tcW w:w="460" w:type="dxa"/>
            <w:vAlign w:val="bottom"/>
          </w:tcPr>
          <w:p>
            <w:pPr>
              <w:spacing w:after="0"/>
              <w:rPr>
                <w:sz w:val="12"/>
                <w:szCs w:val="12"/>
                <w:color w:val="auto"/>
              </w:rPr>
            </w:pPr>
          </w:p>
        </w:tc>
        <w:tc>
          <w:tcPr>
            <w:tcW w:w="7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6"/>
              </w:rPr>
              <w:t>That Have</w:t>
            </w:r>
          </w:p>
        </w:tc>
        <w:tc>
          <w:tcPr>
            <w:tcW w:w="0" w:type="dxa"/>
            <w:vAlign w:val="bottom"/>
          </w:tcPr>
          <w:p>
            <w:pPr>
              <w:spacing w:after="0"/>
              <w:rPr>
                <w:sz w:val="1"/>
                <w:szCs w:val="1"/>
                <w:color w:val="auto"/>
              </w:rPr>
            </w:pPr>
          </w:p>
        </w:tc>
      </w:tr>
      <w:tr>
        <w:trPr>
          <w:trHeight w:val="149"/>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93"/>
              </w:rPr>
              <w:t>Options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90"/>
              </w:rPr>
              <w:t>Unexercised</w:t>
            </w:r>
          </w:p>
        </w:tc>
        <w:tc>
          <w:tcPr>
            <w:tcW w:w="24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3"/>
              </w:rPr>
              <w:t>Unearned</w:t>
            </w:r>
          </w:p>
        </w:tc>
        <w:tc>
          <w:tcPr>
            <w:tcW w:w="300" w:type="dxa"/>
            <w:vAlign w:val="bottom"/>
          </w:tcPr>
          <w:p>
            <w:pPr>
              <w:spacing w:after="0"/>
              <w:rPr>
                <w:sz w:val="12"/>
                <w:szCs w:val="12"/>
                <w:color w:val="auto"/>
              </w:rPr>
            </w:pPr>
          </w:p>
        </w:tc>
        <w:tc>
          <w:tcPr>
            <w:tcW w:w="88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93"/>
              </w:rPr>
              <w:t>Exercise</w:t>
            </w:r>
          </w:p>
        </w:tc>
        <w:tc>
          <w:tcPr>
            <w:tcW w:w="7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rPr>
              <w:t>Option</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5"/>
              </w:rPr>
              <w:t>Have Not</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ind w:left="160"/>
              <w:spacing w:after="0"/>
              <w:rPr>
                <w:sz w:val="20"/>
                <w:szCs w:val="20"/>
                <w:color w:val="auto"/>
              </w:rPr>
            </w:pPr>
            <w:r>
              <w:rPr>
                <w:rFonts w:ascii="Arial" w:cs="Arial" w:eastAsia="Arial" w:hAnsi="Arial"/>
                <w:sz w:val="13"/>
                <w:szCs w:val="13"/>
                <w:b w:val="1"/>
                <w:bCs w:val="1"/>
                <w:color w:val="auto"/>
              </w:rPr>
              <w:t>Have</w:t>
            </w:r>
          </w:p>
        </w:tc>
        <w:tc>
          <w:tcPr>
            <w:tcW w:w="22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auto"/>
                <w:w w:val="95"/>
              </w:rPr>
              <w:t>Have Not</w:t>
            </w:r>
          </w:p>
        </w:tc>
        <w:tc>
          <w:tcPr>
            <w:tcW w:w="460" w:type="dxa"/>
            <w:vAlign w:val="bottom"/>
          </w:tcPr>
          <w:p>
            <w:pPr>
              <w:spacing w:after="0"/>
              <w:rPr>
                <w:sz w:val="12"/>
                <w:szCs w:val="12"/>
                <w:color w:val="auto"/>
              </w:rPr>
            </w:pPr>
          </w:p>
        </w:tc>
        <w:tc>
          <w:tcPr>
            <w:tcW w:w="7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2"/>
              </w:rPr>
              <w:t>Not</w:t>
            </w:r>
          </w:p>
        </w:tc>
        <w:tc>
          <w:tcPr>
            <w:tcW w:w="0" w:type="dxa"/>
            <w:vAlign w:val="bottom"/>
          </w:tcPr>
          <w:p>
            <w:pPr>
              <w:spacing w:after="0"/>
              <w:rPr>
                <w:sz w:val="1"/>
                <w:szCs w:val="1"/>
                <w:color w:val="auto"/>
              </w:rPr>
            </w:pPr>
          </w:p>
        </w:tc>
      </w:tr>
      <w:tr>
        <w:trPr>
          <w:trHeight w:val="161"/>
        </w:trPr>
        <w:tc>
          <w:tcPr>
            <w:tcW w:w="1700" w:type="dxa"/>
            <w:vAlign w:val="bottom"/>
          </w:tcPr>
          <w:p>
            <w:pPr>
              <w:spacing w:after="0"/>
              <w:rPr>
                <w:sz w:val="14"/>
                <w:szCs w:val="14"/>
                <w:color w:val="auto"/>
              </w:rPr>
            </w:pPr>
          </w:p>
        </w:tc>
        <w:tc>
          <w:tcPr>
            <w:tcW w:w="960" w:type="dxa"/>
            <w:vAlign w:val="bottom"/>
            <w:gridSpan w:val="2"/>
          </w:tcPr>
          <w:p>
            <w:pPr>
              <w:jc w:val="center"/>
              <w:ind w:left="29"/>
              <w:spacing w:after="0"/>
              <w:rPr>
                <w:sz w:val="20"/>
                <w:szCs w:val="20"/>
                <w:color w:val="auto"/>
              </w:rPr>
            </w:pPr>
            <w:r>
              <w:rPr>
                <w:rFonts w:ascii="Arial" w:cs="Arial" w:eastAsia="Arial" w:hAnsi="Arial"/>
                <w:sz w:val="13"/>
                <w:szCs w:val="13"/>
                <w:b w:val="1"/>
                <w:bCs w:val="1"/>
                <w:color w:val="auto"/>
                <w:w w:val="87"/>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93"/>
              </w:rPr>
              <w:t>Options (#)</w:t>
            </w:r>
          </w:p>
        </w:tc>
        <w:tc>
          <w:tcPr>
            <w:tcW w:w="24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3"/>
              </w:rPr>
              <w:t>Options</w:t>
            </w:r>
          </w:p>
        </w:tc>
        <w:tc>
          <w:tcPr>
            <w:tcW w:w="300" w:type="dxa"/>
            <w:vAlign w:val="bottom"/>
          </w:tcPr>
          <w:p>
            <w:pPr>
              <w:spacing w:after="0"/>
              <w:rPr>
                <w:sz w:val="14"/>
                <w:szCs w:val="14"/>
                <w:color w:val="auto"/>
              </w:rPr>
            </w:pPr>
          </w:p>
        </w:tc>
        <w:tc>
          <w:tcPr>
            <w:tcW w:w="88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94"/>
              </w:rPr>
              <w:t>Price</w:t>
            </w:r>
          </w:p>
        </w:tc>
        <w:tc>
          <w:tcPr>
            <w:tcW w:w="7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7"/>
              </w:rPr>
              <w:t>Expiration</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89"/>
              </w:rPr>
              <w:t>Vested</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center"/>
              <w:ind w:right="9"/>
              <w:spacing w:after="0"/>
              <w:rPr>
                <w:sz w:val="20"/>
                <w:szCs w:val="20"/>
                <w:color w:val="auto"/>
              </w:rPr>
            </w:pPr>
            <w:r>
              <w:rPr>
                <w:rFonts w:ascii="Arial" w:cs="Arial" w:eastAsia="Arial" w:hAnsi="Arial"/>
                <w:sz w:val="13"/>
                <w:szCs w:val="13"/>
                <w:b w:val="1"/>
                <w:bCs w:val="1"/>
                <w:color w:val="auto"/>
                <w:w w:val="91"/>
              </w:rPr>
              <w:t>Not Vested</w:t>
            </w:r>
          </w:p>
        </w:tc>
        <w:tc>
          <w:tcPr>
            <w:tcW w:w="22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auto"/>
                <w:w w:val="89"/>
              </w:rPr>
              <w:t>Vested</w:t>
            </w:r>
          </w:p>
        </w:tc>
        <w:tc>
          <w:tcPr>
            <w:tcW w:w="460" w:type="dxa"/>
            <w:vAlign w:val="bottom"/>
          </w:tcPr>
          <w:p>
            <w:pPr>
              <w:spacing w:after="0"/>
              <w:rPr>
                <w:sz w:val="14"/>
                <w:szCs w:val="14"/>
                <w:color w:val="auto"/>
              </w:rPr>
            </w:pPr>
          </w:p>
        </w:tc>
        <w:tc>
          <w:tcPr>
            <w:tcW w:w="76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89"/>
              </w:rPr>
              <w:t>Vested</w:t>
            </w:r>
          </w:p>
        </w:tc>
        <w:tc>
          <w:tcPr>
            <w:tcW w:w="0" w:type="dxa"/>
            <w:vAlign w:val="bottom"/>
          </w:tcPr>
          <w:p>
            <w:pPr>
              <w:spacing w:after="0"/>
              <w:rPr>
                <w:sz w:val="1"/>
                <w:szCs w:val="1"/>
                <w:color w:val="auto"/>
              </w:rPr>
            </w:pPr>
          </w:p>
        </w:tc>
      </w:tr>
      <w:tr>
        <w:trPr>
          <w:trHeight w:val="156"/>
        </w:trPr>
        <w:tc>
          <w:tcPr>
            <w:tcW w:w="1700" w:type="dxa"/>
            <w:vAlign w:val="bottom"/>
          </w:tcPr>
          <w:p>
            <w:pPr>
              <w:spacing w:after="0"/>
              <w:rPr>
                <w:sz w:val="20"/>
                <w:szCs w:val="20"/>
                <w:color w:val="auto"/>
              </w:rPr>
            </w:pPr>
            <w:r>
              <w:rPr>
                <w:rFonts w:ascii="Arial" w:cs="Arial" w:eastAsia="Arial" w:hAnsi="Arial"/>
                <w:sz w:val="13"/>
                <w:szCs w:val="13"/>
                <w:b w:val="1"/>
                <w:bCs w:val="1"/>
                <w:color w:val="auto"/>
              </w:rPr>
              <w:t>Name</w:t>
            </w:r>
          </w:p>
        </w:tc>
        <w:tc>
          <w:tcPr>
            <w:tcW w:w="120" w:type="dxa"/>
            <w:vAlign w:val="bottom"/>
          </w:tcPr>
          <w:p>
            <w:pPr>
              <w:spacing w:after="0"/>
              <w:rPr>
                <w:sz w:val="13"/>
                <w:szCs w:val="13"/>
                <w:color w:val="auto"/>
              </w:rPr>
            </w:pPr>
          </w:p>
        </w:tc>
        <w:tc>
          <w:tcPr>
            <w:tcW w:w="84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Exercisable</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Unexercisable</w:t>
            </w:r>
          </w:p>
        </w:tc>
        <w:tc>
          <w:tcPr>
            <w:tcW w:w="1040" w:type="dxa"/>
            <w:vAlign w:val="bottom"/>
            <w:gridSpan w:val="2"/>
          </w:tcPr>
          <w:p>
            <w:pPr>
              <w:jc w:val="center"/>
              <w:ind w:left="169"/>
              <w:spacing w:after="0"/>
              <w:rPr>
                <w:sz w:val="20"/>
                <w:szCs w:val="20"/>
                <w:color w:val="auto"/>
              </w:rPr>
            </w:pPr>
            <w:r>
              <w:rPr>
                <w:rFonts w:ascii="Arial" w:cs="Arial" w:eastAsia="Arial" w:hAnsi="Arial"/>
                <w:sz w:val="13"/>
                <w:szCs w:val="13"/>
                <w:b w:val="1"/>
                <w:bCs w:val="1"/>
                <w:color w:val="auto"/>
              </w:rPr>
              <w:t>(#)</w:t>
            </w:r>
          </w:p>
        </w:tc>
        <w:tc>
          <w:tcPr>
            <w:tcW w:w="30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320" w:type="dxa"/>
            <w:vAlign w:val="bottom"/>
          </w:tcPr>
          <w:p>
            <w:pPr>
              <w:jc w:val="right"/>
              <w:ind w:right="211"/>
              <w:spacing w:after="0"/>
              <w:rPr>
                <w:sz w:val="20"/>
                <w:szCs w:val="20"/>
                <w:color w:val="auto"/>
              </w:rPr>
            </w:pPr>
            <w:r>
              <w:rPr>
                <w:rFonts w:ascii="Arial" w:cs="Arial" w:eastAsia="Arial" w:hAnsi="Arial"/>
                <w:sz w:val="8"/>
                <w:szCs w:val="8"/>
                <w:b w:val="1"/>
                <w:bCs w:val="1"/>
                <w:color w:val="auto"/>
                <w:w w:val="73"/>
              </w:rPr>
              <w:t>)</w:t>
            </w:r>
          </w:p>
        </w:tc>
        <w:tc>
          <w:tcPr>
            <w:tcW w:w="200" w:type="dxa"/>
            <w:vAlign w:val="bottom"/>
          </w:tcPr>
          <w:p>
            <w:pPr>
              <w:spacing w:after="0"/>
              <w:rPr>
                <w:sz w:val="13"/>
                <w:szCs w:val="13"/>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2"/>
              </w:rPr>
              <w:t>Date</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87"/>
              </w:rPr>
              <w:t>(#)</w:t>
            </w: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ind w:left="140"/>
              <w:spacing w:after="0"/>
              <w:rPr>
                <w:sz w:val="20"/>
                <w:szCs w:val="20"/>
                <w:color w:val="auto"/>
              </w:rPr>
            </w:pPr>
            <w:r>
              <w:rPr>
                <w:rFonts w:ascii="Arial" w:cs="Arial" w:eastAsia="Arial" w:hAnsi="Arial"/>
                <w:sz w:val="13"/>
                <w:szCs w:val="13"/>
                <w:b w:val="1"/>
                <w:bCs w:val="1"/>
                <w:color w:val="auto"/>
              </w:rPr>
              <w:t>($)(1)</w:t>
            </w:r>
          </w:p>
        </w:tc>
        <w:tc>
          <w:tcPr>
            <w:tcW w:w="1260" w:type="dxa"/>
            <w:vAlign w:val="bottom"/>
            <w:gridSpan w:val="2"/>
          </w:tcPr>
          <w:p>
            <w:pPr>
              <w:jc w:val="center"/>
              <w:ind w:left="153"/>
              <w:spacing w:after="0"/>
              <w:rPr>
                <w:sz w:val="20"/>
                <w:szCs w:val="20"/>
                <w:color w:val="auto"/>
              </w:rPr>
            </w:pPr>
            <w:r>
              <w:rPr>
                <w:rFonts w:ascii="Arial" w:cs="Arial" w:eastAsia="Arial" w:hAnsi="Arial"/>
                <w:sz w:val="13"/>
                <w:szCs w:val="13"/>
                <w:b w:val="1"/>
                <w:bCs w:val="1"/>
                <w:color w:val="auto"/>
              </w:rPr>
              <w:t>(#)</w:t>
            </w:r>
          </w:p>
        </w:tc>
        <w:tc>
          <w:tcPr>
            <w:tcW w:w="460" w:type="dxa"/>
            <w:vAlign w:val="bottom"/>
          </w:tcPr>
          <w:p>
            <w:pPr>
              <w:spacing w:after="0"/>
              <w:rPr>
                <w:sz w:val="13"/>
                <w:szCs w:val="13"/>
                <w:color w:val="auto"/>
              </w:rPr>
            </w:pP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rPr>
              <w:t>($)(1)</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70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Harvey S. Kanter</w:t>
            </w:r>
          </w:p>
        </w:tc>
        <w:tc>
          <w:tcPr>
            <w:tcW w:w="120" w:type="dxa"/>
            <w:vAlign w:val="bottom"/>
            <w:tcBorders>
              <w:top w:val="single" w:sz="8" w:color="CFF0FC"/>
            </w:tcBorders>
            <w:shd w:val="clear" w:color="auto" w:fill="CFF0FC"/>
          </w:tcPr>
          <w:p>
            <w:pPr>
              <w:spacing w:after="0"/>
              <w:rPr>
                <w:sz w:val="13"/>
                <w:szCs w:val="13"/>
                <w:color w:val="auto"/>
              </w:rPr>
            </w:pPr>
          </w:p>
        </w:tc>
        <w:tc>
          <w:tcPr>
            <w:tcW w:w="8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8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FF0FC"/>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300" w:type="dxa"/>
            <w:vAlign w:val="bottom"/>
            <w:tcBorders>
              <w:top w:val="single" w:sz="8" w:color="CFF0FC"/>
            </w:tcBorders>
            <w:shd w:val="clear" w:color="auto" w:fill="CFF0FC"/>
          </w:tcPr>
          <w:p>
            <w:pPr>
              <w:spacing w:after="0"/>
              <w:rPr>
                <w:sz w:val="13"/>
                <w:szCs w:val="13"/>
                <w:color w:val="auto"/>
              </w:rPr>
            </w:pPr>
          </w:p>
        </w:tc>
        <w:tc>
          <w:tcPr>
            <w:tcW w:w="360" w:type="dxa"/>
            <w:vAlign w:val="bottom"/>
            <w:tcBorders>
              <w:top w:val="single" w:sz="8" w:color="auto"/>
            </w:tcBorders>
            <w:shd w:val="clear" w:color="auto" w:fill="CFF0FC"/>
          </w:tcPr>
          <w:p>
            <w:pPr>
              <w:spacing w:after="0"/>
              <w:rPr>
                <w:sz w:val="13"/>
                <w:szCs w:val="13"/>
                <w:color w:val="auto"/>
              </w:rPr>
            </w:pPr>
          </w:p>
        </w:tc>
        <w:tc>
          <w:tcPr>
            <w:tcW w:w="32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66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46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7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FF0FC"/>
            </w:tcBorders>
            <w:shd w:val="clear" w:color="auto" w:fill="CFF0FC"/>
          </w:tcPr>
          <w:p>
            <w:pPr>
              <w:spacing w:after="0"/>
              <w:rPr>
                <w:sz w:val="13"/>
                <w:szCs w:val="13"/>
                <w:color w:val="auto"/>
              </w:rPr>
            </w:pPr>
          </w:p>
        </w:tc>
        <w:tc>
          <w:tcPr>
            <w:tcW w:w="10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720,000</w:t>
            </w:r>
          </w:p>
        </w:tc>
        <w:tc>
          <w:tcPr>
            <w:tcW w:w="460" w:type="dxa"/>
            <w:vAlign w:val="bottom"/>
            <w:tcBorders>
              <w:top w:val="single" w:sz="8" w:color="CFF0FC"/>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w:t>
            </w:r>
          </w:p>
        </w:tc>
        <w:tc>
          <w:tcPr>
            <w:tcW w:w="7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576,000</w:t>
            </w:r>
          </w:p>
        </w:tc>
        <w:tc>
          <w:tcPr>
            <w:tcW w:w="6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7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180,000</w:t>
            </w: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144,000</w:t>
            </w:r>
          </w:p>
        </w:tc>
        <w:tc>
          <w:tcPr>
            <w:tcW w:w="22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6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7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137,006</w:t>
            </w: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109,605</w:t>
            </w:r>
          </w:p>
        </w:tc>
        <w:tc>
          <w:tcPr>
            <w:tcW w:w="22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6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7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450,000</w:t>
            </w:r>
          </w:p>
        </w:tc>
        <w:tc>
          <w:tcPr>
            <w:tcW w:w="24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w:t>
            </w:r>
          </w:p>
        </w:tc>
        <w:tc>
          <w:tcPr>
            <w:tcW w:w="360" w:type="dxa"/>
            <w:vAlign w:val="bottom"/>
            <w:shd w:val="clear" w:color="auto" w:fill="CFF0FC"/>
          </w:tcPr>
          <w:p>
            <w:pPr>
              <w:jc w:val="right"/>
              <w:ind w:right="244"/>
              <w:spacing w:after="0"/>
              <w:rPr>
                <w:sz w:val="20"/>
                <w:szCs w:val="20"/>
                <w:color w:val="auto"/>
              </w:rPr>
            </w:pPr>
            <w:r>
              <w:rPr>
                <w:rFonts w:ascii="Arial" w:cs="Arial" w:eastAsia="Arial" w:hAnsi="Arial"/>
                <w:sz w:val="10"/>
                <w:szCs w:val="10"/>
                <w:color w:val="auto"/>
                <w:w w:val="71"/>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0.64</w:t>
            </w:r>
          </w:p>
        </w:tc>
        <w:tc>
          <w:tcPr>
            <w:tcW w:w="200" w:type="dxa"/>
            <w:vAlign w:val="bottom"/>
            <w:shd w:val="clear" w:color="auto" w:fill="CFF0FC"/>
          </w:tcPr>
          <w:p>
            <w:pPr>
              <w:spacing w:after="0"/>
              <w:rPr>
                <w:sz w:val="14"/>
                <w:szCs w:val="14"/>
                <w:color w:val="auto"/>
              </w:rPr>
            </w:pPr>
          </w:p>
        </w:tc>
        <w:tc>
          <w:tcPr>
            <w:tcW w:w="66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3"/>
              </w:rPr>
              <w:t>6/10/2030</w:t>
            </w: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6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7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884,080</w:t>
            </w:r>
          </w:p>
        </w:tc>
        <w:tc>
          <w:tcPr>
            <w:tcW w:w="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w:t>
            </w:r>
          </w:p>
        </w:tc>
        <w:tc>
          <w:tcPr>
            <w:tcW w:w="360" w:type="dxa"/>
            <w:vAlign w:val="bottom"/>
            <w:shd w:val="clear" w:color="auto" w:fill="CFF0FC"/>
          </w:tcPr>
          <w:p>
            <w:pPr>
              <w:jc w:val="right"/>
              <w:ind w:right="244"/>
              <w:spacing w:after="0"/>
              <w:rPr>
                <w:sz w:val="20"/>
                <w:szCs w:val="20"/>
                <w:color w:val="auto"/>
              </w:rPr>
            </w:pPr>
            <w:r>
              <w:rPr>
                <w:rFonts w:ascii="Arial" w:cs="Arial" w:eastAsia="Arial" w:hAnsi="Arial"/>
                <w:sz w:val="10"/>
                <w:szCs w:val="10"/>
                <w:color w:val="auto"/>
                <w:w w:val="71"/>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0.53</w:t>
            </w:r>
          </w:p>
        </w:tc>
        <w:tc>
          <w:tcPr>
            <w:tcW w:w="200" w:type="dxa"/>
            <w:vAlign w:val="bottom"/>
            <w:shd w:val="clear" w:color="auto" w:fill="CFF0FC"/>
          </w:tcPr>
          <w:p>
            <w:pPr>
              <w:spacing w:after="0"/>
              <w:rPr>
                <w:sz w:val="14"/>
                <w:szCs w:val="14"/>
                <w:color w:val="auto"/>
              </w:rPr>
            </w:pPr>
          </w:p>
        </w:tc>
        <w:tc>
          <w:tcPr>
            <w:tcW w:w="66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3"/>
              </w:rPr>
              <w:t>6/11/2030</w:t>
            </w: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6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7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700" w:type="dxa"/>
            <w:vAlign w:val="bottom"/>
          </w:tcPr>
          <w:p>
            <w:pPr>
              <w:spacing w:after="0" w:line="157" w:lineRule="exact"/>
              <w:rPr>
                <w:sz w:val="20"/>
                <w:szCs w:val="20"/>
                <w:color w:val="auto"/>
              </w:rPr>
            </w:pPr>
            <w:r>
              <w:rPr>
                <w:rFonts w:ascii="Arial" w:cs="Arial" w:eastAsia="Arial" w:hAnsi="Arial"/>
                <w:sz w:val="14"/>
                <w:szCs w:val="14"/>
                <w:b w:val="1"/>
                <w:bCs w:val="1"/>
                <w:color w:val="auto"/>
              </w:rPr>
              <w:t>Peter H. Stratton, Jr.</w:t>
            </w:r>
          </w:p>
        </w:tc>
        <w:tc>
          <w:tcPr>
            <w:tcW w:w="120" w:type="dxa"/>
            <w:vAlign w:val="bottom"/>
          </w:tcPr>
          <w:p>
            <w:pPr>
              <w:spacing w:after="0"/>
              <w:rPr>
                <w:sz w:val="13"/>
                <w:szCs w:val="13"/>
                <w:color w:val="auto"/>
              </w:rPr>
            </w:pP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8,587</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80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360" w:type="dxa"/>
            <w:vAlign w:val="bottom"/>
          </w:tcPr>
          <w:p>
            <w:pPr>
              <w:jc w:val="right"/>
              <w:ind w:right="244"/>
              <w:spacing w:after="0"/>
              <w:rPr>
                <w:sz w:val="20"/>
                <w:szCs w:val="20"/>
                <w:color w:val="auto"/>
              </w:rPr>
            </w:pPr>
            <w:r>
              <w:rPr>
                <w:rFonts w:ascii="Arial" w:cs="Arial" w:eastAsia="Arial" w:hAnsi="Arial"/>
                <w:sz w:val="10"/>
                <w:szCs w:val="10"/>
                <w:color w:val="auto"/>
                <w:w w:val="71"/>
              </w:rPr>
              <w:t>$</w:t>
            </w:r>
          </w:p>
        </w:tc>
        <w:tc>
          <w:tcPr>
            <w:tcW w:w="320" w:type="dxa"/>
            <w:vAlign w:val="bottom"/>
          </w:tcPr>
          <w:p>
            <w:pPr>
              <w:jc w:val="right"/>
              <w:spacing w:after="0" w:line="157" w:lineRule="exact"/>
              <w:rPr>
                <w:sz w:val="20"/>
                <w:szCs w:val="20"/>
                <w:color w:val="auto"/>
              </w:rPr>
            </w:pPr>
            <w:r>
              <w:rPr>
                <w:rFonts w:ascii="Arial" w:cs="Arial" w:eastAsia="Arial" w:hAnsi="Arial"/>
                <w:sz w:val="14"/>
                <w:szCs w:val="14"/>
                <w:color w:val="auto"/>
              </w:rPr>
              <w:t>4.19</w:t>
            </w:r>
          </w:p>
        </w:tc>
        <w:tc>
          <w:tcPr>
            <w:tcW w:w="200" w:type="dxa"/>
            <w:vAlign w:val="bottom"/>
          </w:tcPr>
          <w:p>
            <w:pPr>
              <w:spacing w:after="0"/>
              <w:rPr>
                <w:sz w:val="13"/>
                <w:szCs w:val="13"/>
                <w:color w:val="auto"/>
              </w:rPr>
            </w:pPr>
          </w:p>
        </w:tc>
        <w:tc>
          <w:tcPr>
            <w:tcW w:w="660" w:type="dxa"/>
            <w:vAlign w:val="bottom"/>
          </w:tcPr>
          <w:p>
            <w:pPr>
              <w:jc w:val="center"/>
              <w:spacing w:after="0" w:line="157" w:lineRule="exact"/>
              <w:rPr>
                <w:sz w:val="20"/>
                <w:szCs w:val="20"/>
                <w:color w:val="auto"/>
              </w:rPr>
            </w:pPr>
            <w:r>
              <w:rPr>
                <w:rFonts w:ascii="Arial" w:cs="Arial" w:eastAsia="Arial" w:hAnsi="Arial"/>
                <w:sz w:val="14"/>
                <w:szCs w:val="14"/>
                <w:color w:val="auto"/>
                <w:w w:val="93"/>
              </w:rPr>
              <w:t>3/16/2021</w:t>
            </w:r>
          </w:p>
        </w:tc>
        <w:tc>
          <w:tcPr>
            <w:tcW w:w="120" w:type="dxa"/>
            <w:vAlign w:val="bottom"/>
          </w:tcPr>
          <w:p>
            <w:pPr>
              <w:spacing w:after="0"/>
              <w:rPr>
                <w:sz w:val="13"/>
                <w:szCs w:val="13"/>
                <w:color w:val="auto"/>
              </w:rPr>
            </w:pPr>
          </w:p>
        </w:tc>
        <w:tc>
          <w:tcPr>
            <w:tcW w:w="80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04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460" w:type="dxa"/>
            <w:vAlign w:val="bottom"/>
          </w:tcPr>
          <w:p>
            <w:pPr>
              <w:spacing w:after="0"/>
              <w:rPr>
                <w:sz w:val="13"/>
                <w:szCs w:val="13"/>
                <w:color w:val="auto"/>
              </w:rPr>
            </w:pPr>
          </w:p>
        </w:tc>
        <w:tc>
          <w:tcPr>
            <w:tcW w:w="760" w:type="dxa"/>
            <w:vAlign w:val="bottom"/>
            <w:gridSpan w:val="2"/>
          </w:tcPr>
          <w:p>
            <w:pPr>
              <w:jc w:val="right"/>
              <w:ind w:right="60"/>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70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33,816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360" w:type="dxa"/>
            <w:vAlign w:val="bottom"/>
          </w:tcPr>
          <w:p>
            <w:pPr>
              <w:jc w:val="right"/>
              <w:ind w:right="244"/>
              <w:spacing w:after="0"/>
              <w:rPr>
                <w:sz w:val="20"/>
                <w:szCs w:val="20"/>
                <w:color w:val="auto"/>
              </w:rPr>
            </w:pPr>
            <w:r>
              <w:rPr>
                <w:rFonts w:ascii="Arial" w:cs="Arial" w:eastAsia="Arial" w:hAnsi="Arial"/>
                <w:sz w:val="10"/>
                <w:szCs w:val="10"/>
                <w:color w:val="auto"/>
                <w:w w:val="71"/>
              </w:rPr>
              <w:t>$</w:t>
            </w:r>
          </w:p>
        </w:tc>
        <w:tc>
          <w:tcPr>
            <w:tcW w:w="320" w:type="dxa"/>
            <w:vAlign w:val="bottom"/>
          </w:tcPr>
          <w:p>
            <w:pPr>
              <w:jc w:val="right"/>
              <w:spacing w:after="0"/>
              <w:rPr>
                <w:sz w:val="20"/>
                <w:szCs w:val="20"/>
                <w:color w:val="auto"/>
              </w:rPr>
            </w:pPr>
            <w:r>
              <w:rPr>
                <w:rFonts w:ascii="Arial" w:cs="Arial" w:eastAsia="Arial" w:hAnsi="Arial"/>
                <w:sz w:val="14"/>
                <w:szCs w:val="14"/>
                <w:color w:val="auto"/>
              </w:rPr>
              <w:t>5.04</w:t>
            </w:r>
          </w:p>
        </w:tc>
        <w:tc>
          <w:tcPr>
            <w:tcW w:w="20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3"/>
              </w:rPr>
              <w:t>5/28/2023</w:t>
            </w: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195,636</w:t>
            </w:r>
          </w:p>
        </w:tc>
        <w:tc>
          <w:tcPr>
            <w:tcW w:w="300" w:type="dxa"/>
            <w:vAlign w:val="bottom"/>
          </w:tcPr>
          <w:p>
            <w:pPr>
              <w:jc w:val="right"/>
              <w:spacing w:after="0"/>
              <w:rPr>
                <w:sz w:val="20"/>
                <w:szCs w:val="20"/>
                <w:color w:val="auto"/>
              </w:rPr>
            </w:pPr>
            <w:r>
              <w:rPr>
                <w:rFonts w:ascii="Arial" w:cs="Arial" w:eastAsia="Arial" w:hAnsi="Arial"/>
                <w:sz w:val="14"/>
                <w:szCs w:val="14"/>
                <w:color w:val="auto"/>
              </w:rPr>
              <w:t>(5)</w:t>
            </w:r>
          </w:p>
        </w:tc>
        <w:tc>
          <w:tcPr>
            <w:tcW w:w="360" w:type="dxa"/>
            <w:vAlign w:val="bottom"/>
          </w:tcPr>
          <w:p>
            <w:pPr>
              <w:jc w:val="right"/>
              <w:ind w:right="244"/>
              <w:spacing w:after="0"/>
              <w:rPr>
                <w:sz w:val="20"/>
                <w:szCs w:val="20"/>
                <w:color w:val="auto"/>
              </w:rPr>
            </w:pPr>
            <w:r>
              <w:rPr>
                <w:rFonts w:ascii="Arial" w:cs="Arial" w:eastAsia="Arial" w:hAnsi="Arial"/>
                <w:sz w:val="10"/>
                <w:szCs w:val="10"/>
                <w:color w:val="auto"/>
                <w:w w:val="71"/>
              </w:rPr>
              <w:t>$</w:t>
            </w:r>
          </w:p>
        </w:tc>
        <w:tc>
          <w:tcPr>
            <w:tcW w:w="320" w:type="dxa"/>
            <w:vAlign w:val="bottom"/>
          </w:tcPr>
          <w:p>
            <w:pPr>
              <w:jc w:val="right"/>
              <w:spacing w:after="0"/>
              <w:rPr>
                <w:sz w:val="20"/>
                <w:szCs w:val="20"/>
                <w:color w:val="auto"/>
              </w:rPr>
            </w:pPr>
            <w:r>
              <w:rPr>
                <w:rFonts w:ascii="Arial" w:cs="Arial" w:eastAsia="Arial" w:hAnsi="Arial"/>
                <w:sz w:val="14"/>
                <w:szCs w:val="14"/>
                <w:color w:val="auto"/>
              </w:rPr>
              <w:t>0.53</w:t>
            </w:r>
          </w:p>
        </w:tc>
        <w:tc>
          <w:tcPr>
            <w:tcW w:w="20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3"/>
              </w:rPr>
              <w:t>6/11/2030</w:t>
            </w: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23,672</w:t>
            </w:r>
          </w:p>
        </w:tc>
        <w:tc>
          <w:tcPr>
            <w:tcW w:w="460" w:type="dxa"/>
            <w:vAlign w:val="bottom"/>
          </w:tcPr>
          <w:p>
            <w:pPr>
              <w:jc w:val="right"/>
              <w:spacing w:after="0"/>
              <w:rPr>
                <w:sz w:val="20"/>
                <w:szCs w:val="20"/>
                <w:color w:val="auto"/>
              </w:rPr>
            </w:pPr>
            <w:r>
              <w:rPr>
                <w:rFonts w:ascii="Arial" w:cs="Arial" w:eastAsia="Arial" w:hAnsi="Arial"/>
                <w:sz w:val="14"/>
                <w:szCs w:val="14"/>
                <w:color w:val="auto"/>
              </w:rPr>
              <w:t>(6)</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Pr>
          <w:p>
            <w:pPr>
              <w:ind w:left="160"/>
              <w:spacing w:after="0"/>
              <w:rPr>
                <w:sz w:val="20"/>
                <w:szCs w:val="20"/>
                <w:color w:val="auto"/>
              </w:rPr>
            </w:pPr>
            <w:r>
              <w:rPr>
                <w:rFonts w:ascii="Arial" w:cs="Arial" w:eastAsia="Arial" w:hAnsi="Arial"/>
                <w:sz w:val="14"/>
                <w:szCs w:val="14"/>
                <w:color w:val="auto"/>
              </w:rPr>
              <w:t>18,938</w:t>
            </w:r>
          </w:p>
        </w:tc>
        <w:tc>
          <w:tcPr>
            <w:tcW w:w="2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1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30,317</w:t>
            </w:r>
          </w:p>
        </w:tc>
        <w:tc>
          <w:tcPr>
            <w:tcW w:w="460" w:type="dxa"/>
            <w:vAlign w:val="bottom"/>
          </w:tcPr>
          <w:p>
            <w:pPr>
              <w:jc w:val="right"/>
              <w:spacing w:after="0"/>
              <w:rPr>
                <w:sz w:val="20"/>
                <w:szCs w:val="20"/>
                <w:color w:val="auto"/>
              </w:rPr>
            </w:pPr>
            <w:r>
              <w:rPr>
                <w:rFonts w:ascii="Arial" w:cs="Arial" w:eastAsia="Arial" w:hAnsi="Arial"/>
                <w:sz w:val="14"/>
                <w:szCs w:val="14"/>
                <w:color w:val="auto"/>
              </w:rPr>
              <w:t>(3)</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Pr>
          <w:p>
            <w:pPr>
              <w:ind w:left="160"/>
              <w:spacing w:after="0"/>
              <w:rPr>
                <w:sz w:val="20"/>
                <w:szCs w:val="20"/>
                <w:color w:val="auto"/>
              </w:rPr>
            </w:pPr>
            <w:r>
              <w:rPr>
                <w:rFonts w:ascii="Arial" w:cs="Arial" w:eastAsia="Arial" w:hAnsi="Arial"/>
                <w:sz w:val="14"/>
                <w:szCs w:val="14"/>
                <w:color w:val="auto"/>
              </w:rPr>
              <w:t>24,254</w:t>
            </w: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5"/>
                <w:szCs w:val="15"/>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7"/>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70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Ujjwal Dhoot</w:t>
            </w: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148,584</w:t>
            </w:r>
          </w:p>
        </w:tc>
        <w:tc>
          <w:tcPr>
            <w:tcW w:w="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w:t>
            </w:r>
          </w:p>
        </w:tc>
        <w:tc>
          <w:tcPr>
            <w:tcW w:w="360" w:type="dxa"/>
            <w:vAlign w:val="bottom"/>
            <w:shd w:val="clear" w:color="auto" w:fill="CFF0FC"/>
          </w:tcPr>
          <w:p>
            <w:pPr>
              <w:jc w:val="right"/>
              <w:ind w:right="244"/>
              <w:spacing w:after="0"/>
              <w:rPr>
                <w:sz w:val="20"/>
                <w:szCs w:val="20"/>
                <w:color w:val="auto"/>
              </w:rPr>
            </w:pPr>
            <w:r>
              <w:rPr>
                <w:rFonts w:ascii="Arial" w:cs="Arial" w:eastAsia="Arial" w:hAnsi="Arial"/>
                <w:sz w:val="10"/>
                <w:szCs w:val="10"/>
                <w:color w:val="auto"/>
                <w:w w:val="71"/>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0.53</w:t>
            </w:r>
          </w:p>
        </w:tc>
        <w:tc>
          <w:tcPr>
            <w:tcW w:w="200" w:type="dxa"/>
            <w:vAlign w:val="bottom"/>
            <w:shd w:val="clear" w:color="auto" w:fill="CFF0FC"/>
          </w:tcPr>
          <w:p>
            <w:pPr>
              <w:spacing w:after="0"/>
              <w:rPr>
                <w:sz w:val="14"/>
                <w:szCs w:val="14"/>
                <w:color w:val="auto"/>
              </w:rPr>
            </w:pPr>
          </w:p>
        </w:tc>
        <w:tc>
          <w:tcPr>
            <w:tcW w:w="66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3"/>
              </w:rPr>
              <w:t>6/11/2030</w:t>
            </w:r>
          </w:p>
        </w:tc>
        <w:tc>
          <w:tcPr>
            <w:tcW w:w="120" w:type="dxa"/>
            <w:vAlign w:val="bottom"/>
            <w:shd w:val="clear" w:color="auto" w:fill="CFF0FC"/>
          </w:tcPr>
          <w:p>
            <w:pPr>
              <w:spacing w:after="0"/>
              <w:rPr>
                <w:sz w:val="14"/>
                <w:szCs w:val="14"/>
                <w:color w:val="auto"/>
              </w:rPr>
            </w:pP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20,315</w:t>
            </w:r>
          </w:p>
        </w:tc>
        <w:tc>
          <w:tcPr>
            <w:tcW w:w="4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(6)</w:t>
            </w:r>
          </w:p>
        </w:tc>
        <w:tc>
          <w:tcPr>
            <w:tcW w:w="80" w:type="dxa"/>
            <w:vAlign w:val="bottom"/>
            <w:vMerge w:val="restart"/>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vMerge w:val="restart"/>
            <w:shd w:val="clear" w:color="auto" w:fill="CFF0FC"/>
          </w:tcPr>
          <w:p>
            <w:pPr>
              <w:ind w:left="160"/>
              <w:spacing w:after="0"/>
              <w:rPr>
                <w:sz w:val="20"/>
                <w:szCs w:val="20"/>
                <w:color w:val="auto"/>
              </w:rPr>
            </w:pPr>
            <w:r>
              <w:rPr>
                <w:rFonts w:ascii="Arial" w:cs="Arial" w:eastAsia="Arial" w:hAnsi="Arial"/>
                <w:sz w:val="14"/>
                <w:szCs w:val="14"/>
                <w:color w:val="auto"/>
              </w:rPr>
              <w:t>16,252</w:t>
            </w:r>
          </w:p>
        </w:tc>
        <w:tc>
          <w:tcPr>
            <w:tcW w:w="2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vMerge w:val="continue"/>
            <w:shd w:val="clear" w:color="auto" w:fill="CFF0FC"/>
          </w:tcPr>
          <w:p>
            <w:pPr>
              <w:spacing w:after="0"/>
              <w:rPr>
                <w:sz w:val="14"/>
                <w:szCs w:val="14"/>
                <w:color w:val="auto"/>
              </w:rPr>
            </w:pPr>
          </w:p>
        </w:tc>
        <w:tc>
          <w:tcPr>
            <w:tcW w:w="460" w:type="dxa"/>
            <w:vAlign w:val="bottom"/>
            <w:vMerge w:val="continue"/>
            <w:shd w:val="clear" w:color="auto" w:fill="CFF0FC"/>
          </w:tcPr>
          <w:p>
            <w:pPr>
              <w:spacing w:after="0"/>
              <w:rPr>
                <w:sz w:val="14"/>
                <w:szCs w:val="14"/>
                <w:color w:val="auto"/>
              </w:rPr>
            </w:pPr>
          </w:p>
        </w:tc>
        <w:tc>
          <w:tcPr>
            <w:tcW w:w="80" w:type="dxa"/>
            <w:vAlign w:val="bottom"/>
            <w:vMerge w:val="continue"/>
            <w:shd w:val="clear" w:color="auto" w:fill="CFF0FC"/>
          </w:tcPr>
          <w:p>
            <w:pPr>
              <w:spacing w:after="0"/>
              <w:rPr>
                <w:sz w:val="14"/>
                <w:szCs w:val="14"/>
                <w:color w:val="auto"/>
              </w:rPr>
            </w:pPr>
          </w:p>
        </w:tc>
        <w:tc>
          <w:tcPr>
            <w:tcW w:w="70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21,523</w:t>
            </w: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FF0FC"/>
          </w:tcPr>
          <w:p>
            <w:pPr>
              <w:ind w:left="160"/>
              <w:spacing w:after="0"/>
              <w:rPr>
                <w:sz w:val="20"/>
                <w:szCs w:val="20"/>
                <w:color w:val="auto"/>
              </w:rPr>
            </w:pPr>
            <w:r>
              <w:rPr>
                <w:rFonts w:ascii="Arial" w:cs="Arial" w:eastAsia="Arial" w:hAnsi="Arial"/>
                <w:sz w:val="14"/>
                <w:szCs w:val="14"/>
                <w:color w:val="auto"/>
              </w:rPr>
              <w:t>17,218</w:t>
            </w:r>
          </w:p>
        </w:tc>
        <w:tc>
          <w:tcPr>
            <w:tcW w:w="2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700" w:type="dxa"/>
            <w:vAlign w:val="bottom"/>
          </w:tcPr>
          <w:p>
            <w:pPr>
              <w:spacing w:after="0" w:line="157" w:lineRule="exact"/>
              <w:rPr>
                <w:sz w:val="20"/>
                <w:szCs w:val="20"/>
                <w:color w:val="auto"/>
              </w:rPr>
            </w:pPr>
            <w:r>
              <w:rPr>
                <w:rFonts w:ascii="Arial" w:cs="Arial" w:eastAsia="Arial" w:hAnsi="Arial"/>
                <w:sz w:val="14"/>
                <w:szCs w:val="14"/>
                <w:b w:val="1"/>
                <w:bCs w:val="1"/>
                <w:color w:val="auto"/>
              </w:rPr>
              <w:t>Robert S. Molloy</w:t>
            </w:r>
          </w:p>
        </w:tc>
        <w:tc>
          <w:tcPr>
            <w:tcW w:w="120" w:type="dxa"/>
            <w:vAlign w:val="bottom"/>
          </w:tcPr>
          <w:p>
            <w:pPr>
              <w:spacing w:after="0"/>
              <w:rPr>
                <w:sz w:val="13"/>
                <w:szCs w:val="13"/>
                <w:color w:val="auto"/>
              </w:rPr>
            </w:pP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13,955</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80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360" w:type="dxa"/>
            <w:vAlign w:val="bottom"/>
          </w:tcPr>
          <w:p>
            <w:pPr>
              <w:jc w:val="right"/>
              <w:ind w:right="244"/>
              <w:spacing w:after="0"/>
              <w:rPr>
                <w:sz w:val="20"/>
                <w:szCs w:val="20"/>
                <w:color w:val="auto"/>
              </w:rPr>
            </w:pPr>
            <w:r>
              <w:rPr>
                <w:rFonts w:ascii="Arial" w:cs="Arial" w:eastAsia="Arial" w:hAnsi="Arial"/>
                <w:sz w:val="10"/>
                <w:szCs w:val="10"/>
                <w:color w:val="auto"/>
                <w:w w:val="71"/>
              </w:rPr>
              <w:t>$</w:t>
            </w:r>
          </w:p>
        </w:tc>
        <w:tc>
          <w:tcPr>
            <w:tcW w:w="320" w:type="dxa"/>
            <w:vAlign w:val="bottom"/>
          </w:tcPr>
          <w:p>
            <w:pPr>
              <w:jc w:val="right"/>
              <w:spacing w:after="0" w:line="157" w:lineRule="exact"/>
              <w:rPr>
                <w:sz w:val="20"/>
                <w:szCs w:val="20"/>
                <w:color w:val="auto"/>
              </w:rPr>
            </w:pPr>
            <w:r>
              <w:rPr>
                <w:rFonts w:ascii="Arial" w:cs="Arial" w:eastAsia="Arial" w:hAnsi="Arial"/>
                <w:sz w:val="14"/>
                <w:szCs w:val="14"/>
                <w:color w:val="auto"/>
              </w:rPr>
              <w:t>4.19</w:t>
            </w:r>
          </w:p>
        </w:tc>
        <w:tc>
          <w:tcPr>
            <w:tcW w:w="200" w:type="dxa"/>
            <w:vAlign w:val="bottom"/>
          </w:tcPr>
          <w:p>
            <w:pPr>
              <w:spacing w:after="0"/>
              <w:rPr>
                <w:sz w:val="13"/>
                <w:szCs w:val="13"/>
                <w:color w:val="auto"/>
              </w:rPr>
            </w:pPr>
          </w:p>
        </w:tc>
        <w:tc>
          <w:tcPr>
            <w:tcW w:w="660" w:type="dxa"/>
            <w:vAlign w:val="bottom"/>
          </w:tcPr>
          <w:p>
            <w:pPr>
              <w:jc w:val="center"/>
              <w:spacing w:after="0" w:line="157" w:lineRule="exact"/>
              <w:rPr>
                <w:sz w:val="20"/>
                <w:szCs w:val="20"/>
                <w:color w:val="auto"/>
              </w:rPr>
            </w:pPr>
            <w:r>
              <w:rPr>
                <w:rFonts w:ascii="Arial" w:cs="Arial" w:eastAsia="Arial" w:hAnsi="Arial"/>
                <w:sz w:val="14"/>
                <w:szCs w:val="14"/>
                <w:color w:val="auto"/>
                <w:w w:val="93"/>
              </w:rPr>
              <w:t>3/16/2021</w:t>
            </w:r>
          </w:p>
        </w:tc>
        <w:tc>
          <w:tcPr>
            <w:tcW w:w="120" w:type="dxa"/>
            <w:vAlign w:val="bottom"/>
          </w:tcPr>
          <w:p>
            <w:pPr>
              <w:spacing w:after="0"/>
              <w:rPr>
                <w:sz w:val="13"/>
                <w:szCs w:val="13"/>
                <w:color w:val="auto"/>
              </w:rPr>
            </w:pPr>
          </w:p>
        </w:tc>
        <w:tc>
          <w:tcPr>
            <w:tcW w:w="80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04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460" w:type="dxa"/>
            <w:vAlign w:val="bottom"/>
          </w:tcPr>
          <w:p>
            <w:pPr>
              <w:spacing w:after="0"/>
              <w:rPr>
                <w:sz w:val="13"/>
                <w:szCs w:val="13"/>
                <w:color w:val="auto"/>
              </w:rPr>
            </w:pPr>
          </w:p>
        </w:tc>
        <w:tc>
          <w:tcPr>
            <w:tcW w:w="760" w:type="dxa"/>
            <w:vAlign w:val="bottom"/>
            <w:gridSpan w:val="2"/>
          </w:tcPr>
          <w:p>
            <w:pPr>
              <w:jc w:val="right"/>
              <w:ind w:right="60"/>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70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54,951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360" w:type="dxa"/>
            <w:vAlign w:val="bottom"/>
          </w:tcPr>
          <w:p>
            <w:pPr>
              <w:jc w:val="right"/>
              <w:ind w:right="244"/>
              <w:spacing w:after="0"/>
              <w:rPr>
                <w:sz w:val="20"/>
                <w:szCs w:val="20"/>
                <w:color w:val="auto"/>
              </w:rPr>
            </w:pPr>
            <w:r>
              <w:rPr>
                <w:rFonts w:ascii="Arial" w:cs="Arial" w:eastAsia="Arial" w:hAnsi="Arial"/>
                <w:sz w:val="10"/>
                <w:szCs w:val="10"/>
                <w:color w:val="auto"/>
                <w:w w:val="71"/>
              </w:rPr>
              <w:t>$</w:t>
            </w:r>
          </w:p>
        </w:tc>
        <w:tc>
          <w:tcPr>
            <w:tcW w:w="320" w:type="dxa"/>
            <w:vAlign w:val="bottom"/>
          </w:tcPr>
          <w:p>
            <w:pPr>
              <w:jc w:val="right"/>
              <w:spacing w:after="0"/>
              <w:rPr>
                <w:sz w:val="20"/>
                <w:szCs w:val="20"/>
                <w:color w:val="auto"/>
              </w:rPr>
            </w:pPr>
            <w:r>
              <w:rPr>
                <w:rFonts w:ascii="Arial" w:cs="Arial" w:eastAsia="Arial" w:hAnsi="Arial"/>
                <w:sz w:val="14"/>
                <w:szCs w:val="14"/>
                <w:color w:val="auto"/>
              </w:rPr>
              <w:t>5.04</w:t>
            </w:r>
          </w:p>
        </w:tc>
        <w:tc>
          <w:tcPr>
            <w:tcW w:w="20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3"/>
              </w:rPr>
              <w:t>5/28/2023</w:t>
            </w: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185,731</w:t>
            </w:r>
          </w:p>
        </w:tc>
        <w:tc>
          <w:tcPr>
            <w:tcW w:w="300" w:type="dxa"/>
            <w:vAlign w:val="bottom"/>
          </w:tcPr>
          <w:p>
            <w:pPr>
              <w:jc w:val="right"/>
              <w:spacing w:after="0"/>
              <w:rPr>
                <w:sz w:val="20"/>
                <w:szCs w:val="20"/>
                <w:color w:val="auto"/>
              </w:rPr>
            </w:pPr>
            <w:r>
              <w:rPr>
                <w:rFonts w:ascii="Arial" w:cs="Arial" w:eastAsia="Arial" w:hAnsi="Arial"/>
                <w:sz w:val="14"/>
                <w:szCs w:val="14"/>
                <w:color w:val="auto"/>
              </w:rPr>
              <w:t>(5)</w:t>
            </w:r>
          </w:p>
        </w:tc>
        <w:tc>
          <w:tcPr>
            <w:tcW w:w="360" w:type="dxa"/>
            <w:vAlign w:val="bottom"/>
          </w:tcPr>
          <w:p>
            <w:pPr>
              <w:jc w:val="right"/>
              <w:ind w:right="244"/>
              <w:spacing w:after="0"/>
              <w:rPr>
                <w:sz w:val="20"/>
                <w:szCs w:val="20"/>
                <w:color w:val="auto"/>
              </w:rPr>
            </w:pPr>
            <w:r>
              <w:rPr>
                <w:rFonts w:ascii="Arial" w:cs="Arial" w:eastAsia="Arial" w:hAnsi="Arial"/>
                <w:sz w:val="10"/>
                <w:szCs w:val="10"/>
                <w:color w:val="auto"/>
                <w:w w:val="71"/>
              </w:rPr>
              <w:t>$</w:t>
            </w:r>
          </w:p>
        </w:tc>
        <w:tc>
          <w:tcPr>
            <w:tcW w:w="320" w:type="dxa"/>
            <w:vAlign w:val="bottom"/>
          </w:tcPr>
          <w:p>
            <w:pPr>
              <w:jc w:val="right"/>
              <w:spacing w:after="0"/>
              <w:rPr>
                <w:sz w:val="20"/>
                <w:szCs w:val="20"/>
                <w:color w:val="auto"/>
              </w:rPr>
            </w:pPr>
            <w:r>
              <w:rPr>
                <w:rFonts w:ascii="Arial" w:cs="Arial" w:eastAsia="Arial" w:hAnsi="Arial"/>
                <w:sz w:val="14"/>
                <w:szCs w:val="14"/>
                <w:color w:val="auto"/>
              </w:rPr>
              <w:t>0.53</w:t>
            </w:r>
          </w:p>
        </w:tc>
        <w:tc>
          <w:tcPr>
            <w:tcW w:w="20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3"/>
              </w:rPr>
              <w:t>6/11/2030</w:t>
            </w: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22,474</w:t>
            </w:r>
          </w:p>
        </w:tc>
        <w:tc>
          <w:tcPr>
            <w:tcW w:w="460" w:type="dxa"/>
            <w:vAlign w:val="bottom"/>
          </w:tcPr>
          <w:p>
            <w:pPr>
              <w:jc w:val="right"/>
              <w:spacing w:after="0"/>
              <w:rPr>
                <w:sz w:val="20"/>
                <w:szCs w:val="20"/>
                <w:color w:val="auto"/>
              </w:rPr>
            </w:pPr>
            <w:r>
              <w:rPr>
                <w:rFonts w:ascii="Arial" w:cs="Arial" w:eastAsia="Arial" w:hAnsi="Arial"/>
                <w:sz w:val="14"/>
                <w:szCs w:val="14"/>
                <w:color w:val="auto"/>
              </w:rPr>
              <w:t>(6)</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Pr>
          <w:p>
            <w:pPr>
              <w:ind w:left="160"/>
              <w:spacing w:after="0"/>
              <w:rPr>
                <w:sz w:val="20"/>
                <w:szCs w:val="20"/>
                <w:color w:val="auto"/>
              </w:rPr>
            </w:pPr>
            <w:r>
              <w:rPr>
                <w:rFonts w:ascii="Arial" w:cs="Arial" w:eastAsia="Arial" w:hAnsi="Arial"/>
                <w:sz w:val="14"/>
                <w:szCs w:val="14"/>
                <w:color w:val="auto"/>
              </w:rPr>
              <w:t>17,979</w:t>
            </w:r>
          </w:p>
        </w:tc>
        <w:tc>
          <w:tcPr>
            <w:tcW w:w="2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1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28,783</w:t>
            </w:r>
          </w:p>
        </w:tc>
        <w:tc>
          <w:tcPr>
            <w:tcW w:w="460" w:type="dxa"/>
            <w:vAlign w:val="bottom"/>
          </w:tcPr>
          <w:p>
            <w:pPr>
              <w:jc w:val="right"/>
              <w:spacing w:after="0"/>
              <w:rPr>
                <w:sz w:val="20"/>
                <w:szCs w:val="20"/>
                <w:color w:val="auto"/>
              </w:rPr>
            </w:pPr>
            <w:r>
              <w:rPr>
                <w:rFonts w:ascii="Arial" w:cs="Arial" w:eastAsia="Arial" w:hAnsi="Arial"/>
                <w:sz w:val="14"/>
                <w:szCs w:val="14"/>
                <w:color w:val="auto"/>
              </w:rPr>
              <w:t>(3)</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Pr>
          <w:p>
            <w:pPr>
              <w:ind w:left="160"/>
              <w:spacing w:after="0"/>
              <w:rPr>
                <w:sz w:val="20"/>
                <w:szCs w:val="20"/>
                <w:color w:val="auto"/>
              </w:rPr>
            </w:pPr>
            <w:r>
              <w:rPr>
                <w:rFonts w:ascii="Arial" w:cs="Arial" w:eastAsia="Arial" w:hAnsi="Arial"/>
                <w:sz w:val="14"/>
                <w:szCs w:val="14"/>
                <w:color w:val="auto"/>
              </w:rPr>
              <w:t>23,026</w:t>
            </w: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5"/>
                <w:szCs w:val="15"/>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7"/>
        </w:trPr>
        <w:tc>
          <w:tcPr>
            <w:tcW w:w="1700" w:type="dxa"/>
            <w:vAlign w:val="bottom"/>
          </w:tcPr>
          <w:p>
            <w:pPr>
              <w:spacing w:after="0"/>
              <w:rPr>
                <w:sz w:val="12"/>
                <w:szCs w:val="12"/>
                <w:color w:val="auto"/>
              </w:rPr>
            </w:pPr>
          </w:p>
        </w:tc>
        <w:tc>
          <w:tcPr>
            <w:tcW w:w="96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70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Anthony J. Gaeta</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18,719</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4"/>
                <w:szCs w:val="14"/>
                <w:color w:val="auto"/>
              </w:rPr>
            </w:pPr>
          </w:p>
        </w:tc>
        <w:tc>
          <w:tcPr>
            <w:tcW w:w="360" w:type="dxa"/>
            <w:vAlign w:val="bottom"/>
            <w:shd w:val="clear" w:color="auto" w:fill="CFF0FC"/>
          </w:tcPr>
          <w:p>
            <w:pPr>
              <w:jc w:val="right"/>
              <w:ind w:right="244"/>
              <w:spacing w:after="0"/>
              <w:rPr>
                <w:sz w:val="20"/>
                <w:szCs w:val="20"/>
                <w:color w:val="auto"/>
              </w:rPr>
            </w:pPr>
            <w:r>
              <w:rPr>
                <w:rFonts w:ascii="Arial" w:cs="Arial" w:eastAsia="Arial" w:hAnsi="Arial"/>
                <w:sz w:val="10"/>
                <w:szCs w:val="10"/>
                <w:color w:val="auto"/>
                <w:w w:val="71"/>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5.04</w:t>
            </w:r>
          </w:p>
        </w:tc>
        <w:tc>
          <w:tcPr>
            <w:tcW w:w="200" w:type="dxa"/>
            <w:vAlign w:val="bottom"/>
            <w:shd w:val="clear" w:color="auto" w:fill="CFF0FC"/>
          </w:tcPr>
          <w:p>
            <w:pPr>
              <w:spacing w:after="0"/>
              <w:rPr>
                <w:sz w:val="14"/>
                <w:szCs w:val="14"/>
                <w:color w:val="auto"/>
              </w:rPr>
            </w:pPr>
          </w:p>
        </w:tc>
        <w:tc>
          <w:tcPr>
            <w:tcW w:w="66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3"/>
              </w:rPr>
              <w:t>5/28/2023</w:t>
            </w: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6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7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146,108</w:t>
            </w:r>
          </w:p>
        </w:tc>
        <w:tc>
          <w:tcPr>
            <w:tcW w:w="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w:t>
            </w:r>
          </w:p>
        </w:tc>
        <w:tc>
          <w:tcPr>
            <w:tcW w:w="360" w:type="dxa"/>
            <w:vAlign w:val="bottom"/>
            <w:shd w:val="clear" w:color="auto" w:fill="CFF0FC"/>
          </w:tcPr>
          <w:p>
            <w:pPr>
              <w:jc w:val="right"/>
              <w:ind w:right="244"/>
              <w:spacing w:after="0"/>
              <w:rPr>
                <w:sz w:val="20"/>
                <w:szCs w:val="20"/>
                <w:color w:val="auto"/>
              </w:rPr>
            </w:pPr>
            <w:r>
              <w:rPr>
                <w:rFonts w:ascii="Arial" w:cs="Arial" w:eastAsia="Arial" w:hAnsi="Arial"/>
                <w:sz w:val="10"/>
                <w:szCs w:val="10"/>
                <w:color w:val="auto"/>
                <w:w w:val="71"/>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0.53</w:t>
            </w:r>
          </w:p>
        </w:tc>
        <w:tc>
          <w:tcPr>
            <w:tcW w:w="200" w:type="dxa"/>
            <w:vAlign w:val="bottom"/>
            <w:shd w:val="clear" w:color="auto" w:fill="CFF0FC"/>
          </w:tcPr>
          <w:p>
            <w:pPr>
              <w:spacing w:after="0"/>
              <w:rPr>
                <w:sz w:val="14"/>
                <w:szCs w:val="14"/>
                <w:color w:val="auto"/>
              </w:rPr>
            </w:pPr>
          </w:p>
        </w:tc>
        <w:tc>
          <w:tcPr>
            <w:tcW w:w="66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3"/>
              </w:rPr>
              <w:t>6/11/2030</w:t>
            </w: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6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7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17,080</w:t>
            </w: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w:t>
            </w: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FF0FC"/>
          </w:tcPr>
          <w:p>
            <w:pPr>
              <w:ind w:left="160"/>
              <w:spacing w:after="0"/>
              <w:rPr>
                <w:sz w:val="20"/>
                <w:szCs w:val="20"/>
                <w:color w:val="auto"/>
              </w:rPr>
            </w:pPr>
            <w:r>
              <w:rPr>
                <w:rFonts w:ascii="Arial" w:cs="Arial" w:eastAsia="Arial" w:hAnsi="Arial"/>
                <w:sz w:val="14"/>
                <w:szCs w:val="14"/>
                <w:color w:val="auto"/>
              </w:rPr>
              <w:t>13,664</w:t>
            </w:r>
          </w:p>
        </w:tc>
        <w:tc>
          <w:tcPr>
            <w:tcW w:w="22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6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7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22,642</w:t>
            </w: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FF0FC"/>
          </w:tcPr>
          <w:p>
            <w:pPr>
              <w:ind w:left="160"/>
              <w:spacing w:after="0"/>
              <w:rPr>
                <w:sz w:val="20"/>
                <w:szCs w:val="20"/>
                <w:color w:val="auto"/>
              </w:rPr>
            </w:pPr>
            <w:r>
              <w:rPr>
                <w:rFonts w:ascii="Arial" w:cs="Arial" w:eastAsia="Arial" w:hAnsi="Arial"/>
                <w:sz w:val="14"/>
                <w:szCs w:val="14"/>
                <w:color w:val="auto"/>
              </w:rPr>
              <w:t>18,114</w:t>
            </w:r>
          </w:p>
        </w:tc>
        <w:tc>
          <w:tcPr>
            <w:tcW w:w="22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6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ind w:left="740" w:hanging="368"/>
        <w:spacing w:after="0"/>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value of shares was calculated using the closing price of our common stock of $0.80 on January 29, 2021.</w:t>
      </w:r>
    </w:p>
    <w:p>
      <w:pPr>
        <w:spacing w:after="0" w:line="117" w:lineRule="exact"/>
        <w:rPr>
          <w:rFonts w:ascii="Arial" w:cs="Arial" w:eastAsia="Arial" w:hAnsi="Arial"/>
          <w:sz w:val="18"/>
          <w:szCs w:val="18"/>
          <w:color w:val="auto"/>
        </w:rPr>
      </w:pPr>
    </w:p>
    <w:p>
      <w:pPr>
        <w:ind w:left="740" w:right="20" w:hanging="368"/>
        <w:spacing w:after="0" w:line="279" w:lineRule="auto"/>
        <w:tabs>
          <w:tab w:leader="none" w:pos="7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These awards represent sign-on awards to Mr. Kanter and consists of a grant of 240,000 RSUs that will vest ratably over four years, beginning on April 1, 2020 and a grant of 720,000 PSUs that will vest in installments when the following milestones are met: one-third of the PSUs vest when the trailing 90-day volume-weighted average closing stock price (“VWAP”) is $4.00, one-third of the PSUs vest when the VWAP is $6.00 and one-third when the VWAP is $8.00. All PSUs will expire on April 1, 2023 if no performance metric is achieved.</w:t>
      </w:r>
    </w:p>
    <w:p>
      <w:pPr>
        <w:spacing w:after="0" w:line="63" w:lineRule="exact"/>
        <w:rPr>
          <w:rFonts w:ascii="Arial" w:cs="Arial" w:eastAsia="Arial" w:hAnsi="Arial"/>
          <w:sz w:val="17"/>
          <w:szCs w:val="17"/>
          <w:color w:val="auto"/>
        </w:rPr>
      </w:pPr>
    </w:p>
    <w:p>
      <w:pPr>
        <w:ind w:left="740" w:right="160" w:hanging="368"/>
        <w:spacing w:after="0" w:line="277" w:lineRule="auto"/>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These awards represent the unvested portion of RSUs granted on August 7, 2019 in connection with our 2019-2021 LTIP. These awards vest in three remaining tranches on April 1, 2021, April 1, 2022 and April 1, 2023.</w:t>
      </w:r>
    </w:p>
    <w:p>
      <w:pPr>
        <w:spacing w:after="0" w:line="62" w:lineRule="exact"/>
        <w:rPr>
          <w:rFonts w:ascii="Arial" w:cs="Arial" w:eastAsia="Arial" w:hAnsi="Arial"/>
          <w:sz w:val="18"/>
          <w:szCs w:val="18"/>
          <w:color w:val="auto"/>
        </w:rPr>
      </w:pPr>
    </w:p>
    <w:p>
      <w:pPr>
        <w:ind w:left="740" w:right="20" w:hanging="368"/>
        <w:spacing w:after="0" w:line="263" w:lineRule="auto"/>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This award represents a discretionary grant of stock options to Mr. Kanter that will vest in three equal tranches, with the first tranche vesting on June 10, 2021, and the remaining tranches vesting on April 1, 2022 and April 1, 2023. The Compensation Committee granted these stock options to Mr. Kanter to ensure and preserve continuity of leadership through</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4" w:name="page25"/>
    <w:bookmarkEnd w:id="24"/>
    <w:p>
      <w:pPr>
        <w:ind w:left="740" w:right="140"/>
        <w:spacing w:after="0" w:line="277" w:lineRule="auto"/>
        <w:rPr>
          <w:sz w:val="20"/>
          <w:szCs w:val="20"/>
          <w:color w:val="auto"/>
        </w:rPr>
      </w:pPr>
      <w:r>
        <w:rPr>
          <w:rFonts w:ascii="Arial" w:cs="Arial" w:eastAsia="Arial" w:hAnsi="Arial"/>
          <w:sz w:val="18"/>
          <w:szCs w:val="18"/>
          <w:color w:val="auto"/>
        </w:rPr>
        <w:t>the COVID-19 pandemic and the uncertain recovery period, and accordingly to provide Mr. Kanter with a long-term equity incentive that aligns his interests with those of our stockholders.</w:t>
      </w:r>
    </w:p>
    <w:p>
      <w:pPr>
        <w:spacing w:after="0" w:line="62" w:lineRule="exact"/>
        <w:rPr>
          <w:sz w:val="20"/>
          <w:szCs w:val="20"/>
          <w:color w:val="auto"/>
        </w:rPr>
      </w:pPr>
    </w:p>
    <w:p>
      <w:pPr>
        <w:ind w:left="740" w:right="440" w:hanging="368"/>
        <w:spacing w:after="0" w:line="277" w:lineRule="auto"/>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These awards represent the stock options granted on June 11, 2020 in connection with the time-based portion of our 2020-2022 LTIP. These awards vest in four equal tranches on June 11, 2021, April 1, 2022, April 1, 2023 and April 1, 2024.</w:t>
      </w:r>
    </w:p>
    <w:p>
      <w:pPr>
        <w:spacing w:after="0" w:line="62" w:lineRule="exact"/>
        <w:rPr>
          <w:rFonts w:ascii="Arial" w:cs="Arial" w:eastAsia="Arial" w:hAnsi="Arial"/>
          <w:sz w:val="18"/>
          <w:szCs w:val="18"/>
          <w:color w:val="auto"/>
        </w:rPr>
      </w:pPr>
    </w:p>
    <w:p>
      <w:pPr>
        <w:ind w:left="740" w:right="40" w:hanging="368"/>
        <w:spacing w:after="0" w:line="263" w:lineRule="auto"/>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These awards represent the unvested portion of RSUs granted on October 24, 2018 in connection with our 2018-2020 LTIP, except with respect to Mr. Dhoot for which awards where granted on December 16, 2019. These awards vest in two remaining tranches on April 1, 2021 and April 1, 2022.</w:t>
      </w:r>
    </w:p>
    <w:p>
      <w:pPr>
        <w:spacing w:after="0" w:line="184"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b w:val="1"/>
          <w:bCs w:val="1"/>
          <w:i w:val="1"/>
          <w:iCs w:val="1"/>
          <w:color w:val="auto"/>
        </w:rPr>
        <w:t xml:space="preserve">Option Exercises and Stock Vested Table. </w:t>
      </w:r>
      <w:r>
        <w:rPr>
          <w:rFonts w:ascii="Arial" w:cs="Arial" w:eastAsia="Arial" w:hAnsi="Arial"/>
          <w:sz w:val="16"/>
          <w:szCs w:val="16"/>
          <w:color w:val="auto"/>
        </w:rPr>
        <w:t>The following table sets forth information for the Named Executive Officers with respect to the exercise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option awards and the vesting of stock awards during fiscal 2020. No options were exercised by any Named Executive Officer in fiscal 2020.</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2020 OPTION EXERCISES AND STOCK VESTED</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2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Stock Awards</w:t>
            </w:r>
          </w:p>
        </w:tc>
        <w:tc>
          <w:tcPr>
            <w:tcW w:w="12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3"/>
        </w:trPr>
        <w:tc>
          <w:tcPr>
            <w:tcW w:w="7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94"/>
              </w:rPr>
              <w:t>Number of shares</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gridSpan w:val="2"/>
          </w:tcPr>
          <w:p>
            <w:pPr>
              <w:jc w:val="center"/>
              <w:ind w:right="420"/>
              <w:spacing w:after="0" w:line="143" w:lineRule="exact"/>
              <w:rPr>
                <w:sz w:val="20"/>
                <w:szCs w:val="20"/>
                <w:color w:val="auto"/>
              </w:rPr>
            </w:pPr>
            <w:r>
              <w:rPr>
                <w:rFonts w:ascii="Arial" w:cs="Arial" w:eastAsia="Arial" w:hAnsi="Arial"/>
                <w:sz w:val="13"/>
                <w:szCs w:val="13"/>
                <w:b w:val="1"/>
                <w:bCs w:val="1"/>
                <w:color w:val="auto"/>
                <w:w w:val="94"/>
              </w:rPr>
              <w:t>Value Realized</w:t>
            </w:r>
          </w:p>
        </w:tc>
      </w:tr>
      <w:tr>
        <w:trPr>
          <w:trHeight w:val="149"/>
        </w:trPr>
        <w:tc>
          <w:tcPr>
            <w:tcW w:w="7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tcPr>
          <w:p>
            <w:pPr>
              <w:jc w:val="center"/>
              <w:spacing w:after="0"/>
              <w:rPr>
                <w:sz w:val="20"/>
                <w:szCs w:val="20"/>
                <w:color w:val="auto"/>
              </w:rPr>
            </w:pPr>
            <w:r>
              <w:rPr>
                <w:rFonts w:ascii="Arial" w:cs="Arial" w:eastAsia="Arial" w:hAnsi="Arial"/>
                <w:sz w:val="13"/>
                <w:szCs w:val="13"/>
                <w:b w:val="1"/>
                <w:bCs w:val="1"/>
                <w:color w:val="auto"/>
                <w:w w:val="90"/>
              </w:rPr>
              <w:t>Vested (1)</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gridSpan w:val="2"/>
          </w:tcPr>
          <w:p>
            <w:pPr>
              <w:jc w:val="center"/>
              <w:ind w:right="440"/>
              <w:spacing w:after="0"/>
              <w:rPr>
                <w:sz w:val="20"/>
                <w:szCs w:val="20"/>
                <w:color w:val="auto"/>
              </w:rPr>
            </w:pPr>
            <w:r>
              <w:rPr>
                <w:rFonts w:ascii="Arial" w:cs="Arial" w:eastAsia="Arial" w:hAnsi="Arial"/>
                <w:sz w:val="13"/>
                <w:szCs w:val="13"/>
                <w:b w:val="1"/>
                <w:bCs w:val="1"/>
                <w:color w:val="auto"/>
                <w:w w:val="90"/>
              </w:rPr>
              <w:t>on Vesting</w:t>
            </w:r>
          </w:p>
        </w:tc>
      </w:tr>
      <w:tr>
        <w:trPr>
          <w:trHeight w:val="161"/>
        </w:trPr>
        <w:tc>
          <w:tcPr>
            <w:tcW w:w="7760" w:type="dxa"/>
            <w:vAlign w:val="bottom"/>
            <w:gridSpan w:val="2"/>
          </w:tcPr>
          <w:p>
            <w:pPr>
              <w:spacing w:after="0"/>
              <w:rPr>
                <w:sz w:val="20"/>
                <w:szCs w:val="20"/>
                <w:color w:val="auto"/>
              </w:rPr>
            </w:pPr>
            <w:r>
              <w:rPr>
                <w:rFonts w:ascii="Arial" w:cs="Arial" w:eastAsia="Arial" w:hAnsi="Arial"/>
                <w:sz w:val="13"/>
                <w:szCs w:val="13"/>
                <w:b w:val="1"/>
                <w:bCs w:val="1"/>
                <w:color w:val="auto"/>
              </w:rPr>
              <w:t>Name</w:t>
            </w:r>
          </w:p>
        </w:tc>
        <w:tc>
          <w:tcPr>
            <w:tcW w:w="154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tcPr>
          <w:p>
            <w:pPr>
              <w:jc w:val="center"/>
              <w:ind w:right="238"/>
              <w:spacing w:after="0"/>
              <w:rPr>
                <w:sz w:val="20"/>
                <w:szCs w:val="20"/>
                <w:color w:val="auto"/>
              </w:rPr>
            </w:pPr>
            <w:r>
              <w:rPr>
                <w:rFonts w:ascii="Arial" w:cs="Arial" w:eastAsia="Arial" w:hAnsi="Arial"/>
                <w:sz w:val="13"/>
                <w:szCs w:val="13"/>
                <w:b w:val="1"/>
                <w:bCs w:val="1"/>
                <w:color w:val="auto"/>
                <w:w w:val="95"/>
              </w:rPr>
              <w:t>($) (2)</w:t>
            </w:r>
          </w:p>
        </w:tc>
        <w:tc>
          <w:tcPr>
            <w:tcW w:w="100" w:type="dxa"/>
            <w:vAlign w:val="bottom"/>
          </w:tcPr>
          <w:p>
            <w:pPr>
              <w:spacing w:after="0"/>
              <w:rPr>
                <w:sz w:val="14"/>
                <w:szCs w:val="14"/>
                <w:color w:val="auto"/>
              </w:rPr>
            </w:pPr>
          </w:p>
        </w:tc>
      </w:tr>
      <w:tr>
        <w:trPr>
          <w:trHeight w:val="223"/>
        </w:trPr>
        <w:tc>
          <w:tcPr>
            <w:tcW w:w="75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Harvey S. Kanter</w:t>
            </w:r>
          </w:p>
        </w:tc>
        <w:tc>
          <w:tcPr>
            <w:tcW w:w="180" w:type="dxa"/>
            <w:vAlign w:val="bottom"/>
            <w:tcBorders>
              <w:top w:val="single" w:sz="8" w:color="CFF0FC"/>
            </w:tcBorders>
            <w:shd w:val="clear" w:color="auto" w:fill="CFF0FC"/>
          </w:tcPr>
          <w:p>
            <w:pPr>
              <w:spacing w:after="0"/>
              <w:rPr>
                <w:sz w:val="19"/>
                <w:szCs w:val="19"/>
                <w:color w:val="auto"/>
              </w:rPr>
            </w:pP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105,669</w:t>
            </w:r>
          </w:p>
        </w:tc>
        <w:tc>
          <w:tcPr>
            <w:tcW w:w="2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36,025</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7760" w:type="dxa"/>
            <w:vAlign w:val="bottom"/>
            <w:gridSpan w:val="2"/>
          </w:tcPr>
          <w:p>
            <w:pPr>
              <w:spacing w:after="0"/>
              <w:rPr>
                <w:sz w:val="20"/>
                <w:szCs w:val="20"/>
                <w:color w:val="auto"/>
              </w:rPr>
            </w:pPr>
            <w:r>
              <w:rPr>
                <w:rFonts w:ascii="Arial" w:cs="Arial" w:eastAsia="Arial" w:hAnsi="Arial"/>
                <w:sz w:val="18"/>
                <w:szCs w:val="18"/>
                <w:color w:val="auto"/>
              </w:rPr>
              <w:t>Peter H. Stratton, Jr.</w:t>
            </w:r>
          </w:p>
        </w:tc>
        <w:tc>
          <w:tcPr>
            <w:tcW w:w="1540" w:type="dxa"/>
            <w:vAlign w:val="bottom"/>
          </w:tcPr>
          <w:p>
            <w:pPr>
              <w:jc w:val="right"/>
              <w:spacing w:after="0"/>
              <w:rPr>
                <w:sz w:val="20"/>
                <w:szCs w:val="20"/>
                <w:color w:val="auto"/>
              </w:rPr>
            </w:pPr>
            <w:r>
              <w:rPr>
                <w:rFonts w:ascii="Arial" w:cs="Arial" w:eastAsia="Arial" w:hAnsi="Arial"/>
                <w:sz w:val="18"/>
                <w:szCs w:val="18"/>
                <w:color w:val="auto"/>
              </w:rPr>
              <w:t>43,741</w:t>
            </w:r>
          </w:p>
        </w:tc>
        <w:tc>
          <w:tcPr>
            <w:tcW w:w="58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15,104</w:t>
            </w:r>
          </w:p>
        </w:tc>
        <w:tc>
          <w:tcPr>
            <w:tcW w:w="100" w:type="dxa"/>
            <w:vAlign w:val="bottom"/>
          </w:tcPr>
          <w:p>
            <w:pPr>
              <w:spacing w:after="0"/>
              <w:rPr>
                <w:sz w:val="19"/>
                <w:szCs w:val="19"/>
                <w:color w:val="auto"/>
              </w:rPr>
            </w:pPr>
          </w:p>
        </w:tc>
      </w:tr>
      <w:tr>
        <w:trPr>
          <w:trHeight w:val="230"/>
        </w:trPr>
        <w:tc>
          <w:tcPr>
            <w:tcW w:w="77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Ujjwal Dhoot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113,486</w:t>
            </w:r>
          </w:p>
        </w:tc>
        <w:tc>
          <w:tcPr>
            <w:tcW w:w="580" w:type="dxa"/>
            <w:vAlign w:val="bottom"/>
            <w:gridSpan w:val="2"/>
            <w:shd w:val="clear" w:color="auto" w:fill="CFF0FC"/>
          </w:tcPr>
          <w:p>
            <w:pPr>
              <w:jc w:val="right"/>
              <w:ind w:right="147"/>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37,911</w:t>
            </w:r>
          </w:p>
        </w:tc>
        <w:tc>
          <w:tcPr>
            <w:tcW w:w="100" w:type="dxa"/>
            <w:vAlign w:val="bottom"/>
            <w:shd w:val="clear" w:color="auto" w:fill="CFF0FC"/>
          </w:tcPr>
          <w:p>
            <w:pPr>
              <w:spacing w:after="0"/>
              <w:rPr>
                <w:sz w:val="19"/>
                <w:szCs w:val="19"/>
                <w:color w:val="auto"/>
              </w:rPr>
            </w:pPr>
          </w:p>
        </w:tc>
      </w:tr>
      <w:tr>
        <w:trPr>
          <w:trHeight w:val="229"/>
        </w:trPr>
        <w:tc>
          <w:tcPr>
            <w:tcW w:w="7760" w:type="dxa"/>
            <w:vAlign w:val="bottom"/>
            <w:gridSpan w:val="2"/>
          </w:tcPr>
          <w:p>
            <w:pPr>
              <w:spacing w:after="0"/>
              <w:rPr>
                <w:sz w:val="20"/>
                <w:szCs w:val="20"/>
                <w:color w:val="auto"/>
              </w:rPr>
            </w:pPr>
            <w:r>
              <w:rPr>
                <w:rFonts w:ascii="Arial" w:cs="Arial" w:eastAsia="Arial" w:hAnsi="Arial"/>
                <w:sz w:val="18"/>
                <w:szCs w:val="18"/>
                <w:color w:val="auto"/>
              </w:rPr>
              <w:t>Robert S. Molloy</w:t>
            </w:r>
          </w:p>
        </w:tc>
        <w:tc>
          <w:tcPr>
            <w:tcW w:w="1540" w:type="dxa"/>
            <w:vAlign w:val="bottom"/>
          </w:tcPr>
          <w:p>
            <w:pPr>
              <w:jc w:val="right"/>
              <w:spacing w:after="0"/>
              <w:rPr>
                <w:sz w:val="20"/>
                <w:szCs w:val="20"/>
                <w:color w:val="auto"/>
              </w:rPr>
            </w:pPr>
            <w:r>
              <w:rPr>
                <w:rFonts w:ascii="Arial" w:cs="Arial" w:eastAsia="Arial" w:hAnsi="Arial"/>
                <w:sz w:val="18"/>
                <w:szCs w:val="18"/>
                <w:color w:val="auto"/>
              </w:rPr>
              <w:t>42,015</w:t>
            </w:r>
          </w:p>
        </w:tc>
        <w:tc>
          <w:tcPr>
            <w:tcW w:w="58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14,510</w:t>
            </w:r>
          </w:p>
        </w:tc>
        <w:tc>
          <w:tcPr>
            <w:tcW w:w="100" w:type="dxa"/>
            <w:vAlign w:val="bottom"/>
          </w:tcPr>
          <w:p>
            <w:pPr>
              <w:spacing w:after="0"/>
              <w:rPr>
                <w:sz w:val="19"/>
                <w:szCs w:val="19"/>
                <w:color w:val="auto"/>
              </w:rPr>
            </w:pPr>
          </w:p>
        </w:tc>
      </w:tr>
      <w:tr>
        <w:trPr>
          <w:trHeight w:val="230"/>
        </w:trPr>
        <w:tc>
          <w:tcPr>
            <w:tcW w:w="77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Anthony J. Gaeta</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32,866</w:t>
            </w:r>
          </w:p>
        </w:tc>
        <w:tc>
          <w:tcPr>
            <w:tcW w:w="580" w:type="dxa"/>
            <w:vAlign w:val="bottom"/>
            <w:gridSpan w:val="2"/>
            <w:shd w:val="clear" w:color="auto" w:fill="CFF0FC"/>
          </w:tcPr>
          <w:p>
            <w:pPr>
              <w:jc w:val="right"/>
              <w:ind w:right="147"/>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11,350</w:t>
            </w:r>
          </w:p>
        </w:tc>
        <w:tc>
          <w:tcPr>
            <w:tcW w:w="100" w:type="dxa"/>
            <w:vAlign w:val="bottom"/>
            <w:shd w:val="clear" w:color="auto" w:fill="CFF0FC"/>
          </w:tcPr>
          <w:p>
            <w:pPr>
              <w:spacing w:after="0"/>
              <w:rPr>
                <w:sz w:val="19"/>
                <w:szCs w:val="19"/>
                <w:color w:val="auto"/>
              </w:rPr>
            </w:pPr>
          </w:p>
        </w:tc>
      </w:tr>
    </w:tbl>
    <w:p>
      <w:pPr>
        <w:spacing w:after="0" w:line="310" w:lineRule="exact"/>
        <w:rPr>
          <w:sz w:val="20"/>
          <w:szCs w:val="20"/>
          <w:color w:val="auto"/>
        </w:rPr>
      </w:pPr>
    </w:p>
    <w:p>
      <w:pPr>
        <w:ind w:left="480" w:right="180" w:hanging="418"/>
        <w:spacing w:after="0" w:line="308" w:lineRule="auto"/>
        <w:tabs>
          <w:tab w:leader="none" w:pos="4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stock awards that vested during fiscal 2020 include the time-based awards granted under the 2017-2018 LTIP, 2018-2020 LTIP and 2019-2021 LTIP. The number of shares vested for Messrs. Kanter and Dhoot also include shares that vested pursuant to sign-on awards.</w:t>
      </w:r>
    </w:p>
    <w:p>
      <w:pPr>
        <w:spacing w:after="0" w:line="38" w:lineRule="exact"/>
        <w:rPr>
          <w:rFonts w:ascii="Arial" w:cs="Arial" w:eastAsia="Arial" w:hAnsi="Arial"/>
          <w:sz w:val="17"/>
          <w:szCs w:val="17"/>
          <w:color w:val="auto"/>
        </w:rPr>
      </w:pPr>
    </w:p>
    <w:p>
      <w:pPr>
        <w:ind w:left="480" w:right="220" w:hanging="418"/>
        <w:spacing w:after="0" w:line="286" w:lineRule="auto"/>
        <w:tabs>
          <w:tab w:leader="none" w:pos="4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“Value Realized on Vesting” is the market price of the underlying security on the date of vesting. The value realized is for informational purposes only and does not purport to represent that such individual actually sold the underlying shares, or that the underlying shares were sold on the date of exercise. Furthermore, such value realized does not take into consideration individual income tax consequences.</w:t>
      </w:r>
    </w:p>
    <w:p>
      <w:pPr>
        <w:spacing w:after="0" w:line="5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Pension Benefits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 of our Named Executive Officers was a participant in any pension plan and, therefore, none has accumulated benefits.</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Non-Qualified Deferred Compensation</w:t>
      </w:r>
    </w:p>
    <w:p>
      <w:pPr>
        <w:spacing w:after="0" w:line="121"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We do not offer to our executive officers or employees any defined contribution or similar plan that provides for the deferral of compensation on a basis that is not tax-qualified. We offer a 401(k) savings plan to all of our employees eligible to participate, as further described below.</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401(k) Plan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one defined contribution plan, the Destination XL Group, Inc. 401(k) Savings Plan (the “401(k) Plan”). Employees who are 21 years of age or older are eligible to make deferrals after 6 months of employment and are eligible to receive a match from the Company after one year of employment and 1,000 hours. Our Named Executive Officers are eligible to participate in the 401(k) Plan, and the amount of any Company match to our Named Executive Officers is set forth above in the “</w:t>
      </w:r>
      <w:r>
        <w:rPr>
          <w:rFonts w:ascii="Arial" w:cs="Arial" w:eastAsia="Arial" w:hAnsi="Arial"/>
          <w:sz w:val="18"/>
          <w:szCs w:val="18"/>
          <w:i w:val="1"/>
          <w:iCs w:val="1"/>
          <w:color w:val="auto"/>
        </w:rPr>
        <w:t>All Other Compensation</w:t>
      </w:r>
      <w:r>
        <w:rPr>
          <w:rFonts w:ascii="Arial" w:cs="Arial" w:eastAsia="Arial" w:hAnsi="Arial"/>
          <w:sz w:val="18"/>
          <w:szCs w:val="18"/>
          <w:color w:val="auto"/>
        </w:rPr>
        <w:t>” table.</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second quarter of fiscal 2018, the Board ratified and approved the recommendation of the Company’s management team to suspend employer contributions to the 401(k) Plan, for the period from July 1, 2018 until December 31, 2019. Effective January 1, 2020, the 401(k) Plan resumed its qualified automatic contribution arrangement (“QACA”) status, and accordingly an employer match was earned in fiscal 2020. However for the 2021 plan year, the Company has suspended its QACA safe harbor and, while the Company has the discretion to make an employer match for 2021, it will not be required. The Company has the option to resume its QACA status in 2022.</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Director Compensation</w:t>
      </w:r>
    </w:p>
    <w:p>
      <w:pPr>
        <w:spacing w:after="0" w:line="121"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The Compensation Committee is responsible for reviewing and making recommendations to our Board with respect to the compensation paid to our non-employee directors. Pursuant to the Company’s Fourth Amended and Restated Compensation Plan (the “Non-Employee Director Compensation Plan”), non-employee directors are compensated as follows:</w:t>
      </w:r>
    </w:p>
    <w:p>
      <w:pPr>
        <w:spacing w:after="0" w:line="76" w:lineRule="exact"/>
        <w:rPr>
          <w:sz w:val="20"/>
          <w:szCs w:val="20"/>
          <w:color w:val="auto"/>
        </w:rPr>
      </w:pPr>
    </w:p>
    <w:p>
      <w:pPr>
        <w:ind w:left="800" w:hanging="374"/>
        <w:spacing w:after="0"/>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each independent director receives a quarterly retainer of $30,000;</w:t>
      </w:r>
    </w:p>
    <w:p>
      <w:pPr>
        <w:spacing w:after="0" w:line="117" w:lineRule="exact"/>
        <w:rPr>
          <w:rFonts w:ascii="Arial" w:cs="Arial" w:eastAsia="Arial" w:hAnsi="Arial"/>
          <w:sz w:val="18"/>
          <w:szCs w:val="18"/>
          <w:color w:val="auto"/>
        </w:rPr>
      </w:pPr>
    </w:p>
    <w:p>
      <w:pPr>
        <w:ind w:left="800" w:hanging="374"/>
        <w:spacing w:after="0"/>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Chairman of the Board or Lead Director, as applicable, will receive a quarterly retainer of $5,000;</w:t>
      </w:r>
    </w:p>
    <w:p>
      <w:pPr>
        <w:spacing w:after="0" w:line="117" w:lineRule="exact"/>
        <w:rPr>
          <w:rFonts w:ascii="Arial" w:cs="Arial" w:eastAsia="Arial" w:hAnsi="Arial"/>
          <w:sz w:val="18"/>
          <w:szCs w:val="18"/>
          <w:color w:val="auto"/>
        </w:rPr>
      </w:pPr>
    </w:p>
    <w:p>
      <w:pPr>
        <w:ind w:left="800" w:hanging="374"/>
        <w:spacing w:after="0"/>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Chairperson of the Audit Committee will receive a quarterly retainer of $2,500; and</w:t>
      </w:r>
    </w:p>
    <w:p>
      <w:pPr>
        <w:spacing w:after="0" w:line="117" w:lineRule="exact"/>
        <w:rPr>
          <w:rFonts w:ascii="Arial" w:cs="Arial" w:eastAsia="Arial" w:hAnsi="Arial"/>
          <w:sz w:val="18"/>
          <w:szCs w:val="18"/>
          <w:color w:val="auto"/>
        </w:rPr>
      </w:pPr>
    </w:p>
    <w:p>
      <w:pPr>
        <w:ind w:left="800" w:hanging="374"/>
        <w:spacing w:after="0"/>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Chairperson of each other Board committee will receive a quarterly retainer of $1,250.</w:t>
      </w:r>
    </w:p>
    <w:p>
      <w:pPr>
        <w:spacing w:after="0" w:line="22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January 2010, the Company established a Non-Employee Director Stock Purchase Plan to provide a convenient method for its non-employee directors to acquire shares of the Company’s common stock at fair market value by voluntarily electing to receive shares of common stock in lieu of cash for service as a director. The substance of this plan is now encompassed within the Non-Employee Director Compensation Plan. There were 500,000 shares authorized for issuance under this plan for the sole purpose of satisfying elections to receive shares of common stock in lieu of cash for service as a director. The Non-Employee Director Compensation Plan is a stand-alone plan and is not a sub-plan under our 2016 Incentive Compensation Plan (the “2016 Plan”). Accordingly, shares issued under this plan do not reduce the shares available for issuance under the 2016 Plan.</w:t>
      </w:r>
    </w:p>
    <w:p>
      <w:pPr>
        <w:spacing w:after="0" w:line="16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For fiscal 2020, each non-employee director was required to receive 50% of his or her annual retainer in equity, in the form of stock options, stock or deferred shares. Because the Non-Employee Director Compensation Plan is not a shareholder-approved plan and the acquisition of equity must be voluntary under Nasdaq rules (which applied for us through December 20, 2020), we could not utilize shares under this plan to satisfy this mandated election. Therefore, in fiscal 2020 any grants of equity to satisfy this required election were issued from the 2016 Plan. Any voluntary election of shares, above this 50% retainer requirement, was issued from the Non-Employee Director Compensation Plan. Stock options and deferred shares were issued from the 2016 Plan.</w:t>
      </w:r>
    </w:p>
    <w:p>
      <w:pPr>
        <w:spacing w:after="0" w:line="19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 connection with the COVID-19 pandemic, in March 2020, the non-employee directors agreed to suspend their compensation for the second quarter of fiscal 2020.</w:t>
      </w:r>
    </w:p>
    <w:p>
      <w:pPr>
        <w:spacing w:after="0" w:line="170"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In November 2020, the directors approved the Fifth Amended and Restated Non-Employee Director Compensation Plan. The plan was amended, among other things, to increase the number of shares available for grant under the plan by an additional 1,000,000 shares, limit the number of shares that can be issued each quarter to 250,000 shares (with any shortfall satisfied in cash), remove the requirement for directors to take 50% of their annual retainer in equity and remove the ability for directors to elect deferred stock. The change to remove the requirement for directors to take 50% of their annual retainer in equity was made to preserve the shares available for grant under the 2016 Plan, which is used to support the Company’s employee incentive programs. At January 30, 2021, there were 1,000,000 shares that remained available for future issuances.</w:t>
      </w:r>
    </w:p>
    <w:p>
      <w:pPr>
        <w:spacing w:after="0" w:line="178"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We believe that our Non-Employee Director Compensation Plan will support our ongoing efforts to attract and retain exceptional directors to provide strategic guidance to our Company. We believe that the total compensation that our non-employee directors receive is in line with our current peer group.</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Compensation Table</w:t>
      </w:r>
    </w:p>
    <w:p>
      <w:pPr>
        <w:spacing w:after="0" w:line="117"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The following table sets forth the compensation paid to our directors during fiscal 2020. Ms. Rubin is not included in the following table because she did not become a director until April 14, 2021. Mr. Kanter is not included in the following table as he is a Named Executive Officer and, accordingly, received no compensation for his services as a director. Compensation earned by Mr. Kanter is included above in the “</w:t>
      </w:r>
      <w:r>
        <w:rPr>
          <w:rFonts w:ascii="Arial" w:cs="Arial" w:eastAsia="Arial" w:hAnsi="Arial"/>
          <w:sz w:val="16"/>
          <w:szCs w:val="16"/>
          <w:i w:val="1"/>
          <w:iCs w:val="1"/>
          <w:color w:val="auto"/>
        </w:rPr>
        <w:t>Summary Compensation Table.</w:t>
      </w:r>
      <w:r>
        <w:rPr>
          <w:rFonts w:ascii="Arial" w:cs="Arial" w:eastAsia="Arial" w:hAnsi="Arial"/>
          <w:sz w:val="16"/>
          <w:szCs w:val="16"/>
          <w:color w:val="auto"/>
        </w:rPr>
        <w:t>”</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2020 DIRECTOR COMPENSATION TABLE</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gridSpan w:val="3"/>
          </w:tcPr>
          <w:p>
            <w:pPr>
              <w:jc w:val="center"/>
              <w:ind w:right="260"/>
              <w:spacing w:after="0"/>
              <w:rPr>
                <w:sz w:val="20"/>
                <w:szCs w:val="20"/>
                <w:color w:val="auto"/>
              </w:rPr>
            </w:pPr>
            <w:r>
              <w:rPr>
                <w:rFonts w:ascii="Arial" w:cs="Arial" w:eastAsia="Arial" w:hAnsi="Arial"/>
                <w:sz w:val="13"/>
                <w:szCs w:val="13"/>
                <w:b w:val="1"/>
                <w:bCs w:val="1"/>
                <w:color w:val="auto"/>
                <w:w w:val="93"/>
              </w:rPr>
              <w:t>Fees Earned or</w:t>
            </w:r>
          </w:p>
        </w:tc>
        <w:tc>
          <w:tcPr>
            <w:tcW w:w="200" w:type="dxa"/>
            <w:vAlign w:val="bottom"/>
          </w:tcPr>
          <w:p>
            <w:pPr>
              <w:spacing w:after="0"/>
              <w:rPr>
                <w:sz w:val="13"/>
                <w:szCs w:val="13"/>
                <w:color w:val="auto"/>
              </w:rPr>
            </w:pPr>
          </w:p>
        </w:tc>
        <w:tc>
          <w:tcPr>
            <w:tcW w:w="860" w:type="dxa"/>
            <w:vAlign w:val="bottom"/>
          </w:tcPr>
          <w:p>
            <w:pPr>
              <w:jc w:val="center"/>
              <w:ind w:right="136"/>
              <w:spacing w:after="0"/>
              <w:rPr>
                <w:sz w:val="20"/>
                <w:szCs w:val="20"/>
                <w:color w:val="auto"/>
              </w:rPr>
            </w:pPr>
            <w:r>
              <w:rPr>
                <w:rFonts w:ascii="Arial" w:cs="Arial" w:eastAsia="Arial" w:hAnsi="Arial"/>
                <w:sz w:val="13"/>
                <w:szCs w:val="13"/>
                <w:b w:val="1"/>
                <w:bCs w:val="1"/>
                <w:color w:val="auto"/>
                <w:w w:val="90"/>
              </w:rPr>
              <w:t>Stock</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center"/>
              <w:ind w:right="56"/>
              <w:spacing w:after="0"/>
              <w:rPr>
                <w:sz w:val="20"/>
                <w:szCs w:val="20"/>
                <w:color w:val="auto"/>
              </w:rPr>
            </w:pPr>
            <w:r>
              <w:rPr>
                <w:rFonts w:ascii="Arial" w:cs="Arial" w:eastAsia="Arial" w:hAnsi="Arial"/>
                <w:sz w:val="13"/>
                <w:szCs w:val="13"/>
                <w:b w:val="1"/>
                <w:bCs w:val="1"/>
                <w:color w:val="auto"/>
                <w:w w:val="95"/>
              </w:rPr>
              <w:t>Option</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jc w:val="center"/>
              <w:ind w:right="16"/>
              <w:spacing w:after="0"/>
              <w:rPr>
                <w:sz w:val="20"/>
                <w:szCs w:val="20"/>
                <w:color w:val="auto"/>
              </w:rPr>
            </w:pPr>
            <w:r>
              <w:rPr>
                <w:rFonts w:ascii="Arial" w:cs="Arial" w:eastAsia="Arial" w:hAnsi="Arial"/>
                <w:sz w:val="13"/>
                <w:szCs w:val="13"/>
                <w:b w:val="1"/>
                <w:bCs w:val="1"/>
                <w:color w:val="auto"/>
              </w:rPr>
              <w:t>All Other</w:t>
            </w: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9"/>
        </w:trPr>
        <w:tc>
          <w:tcPr>
            <w:tcW w:w="4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3"/>
          </w:tcPr>
          <w:p>
            <w:pPr>
              <w:jc w:val="center"/>
              <w:ind w:right="280"/>
              <w:spacing w:after="0"/>
              <w:rPr>
                <w:sz w:val="20"/>
                <w:szCs w:val="20"/>
                <w:color w:val="auto"/>
              </w:rPr>
            </w:pPr>
            <w:r>
              <w:rPr>
                <w:rFonts w:ascii="Arial" w:cs="Arial" w:eastAsia="Arial" w:hAnsi="Arial"/>
                <w:sz w:val="13"/>
                <w:szCs w:val="13"/>
                <w:b w:val="1"/>
                <w:bCs w:val="1"/>
                <w:color w:val="auto"/>
                <w:w w:val="94"/>
              </w:rPr>
              <w:t>Paid in Cash</w:t>
            </w:r>
          </w:p>
        </w:tc>
        <w:tc>
          <w:tcPr>
            <w:tcW w:w="200" w:type="dxa"/>
            <w:vAlign w:val="bottom"/>
          </w:tcPr>
          <w:p>
            <w:pPr>
              <w:spacing w:after="0"/>
              <w:rPr>
                <w:sz w:val="12"/>
                <w:szCs w:val="12"/>
                <w:color w:val="auto"/>
              </w:rPr>
            </w:pPr>
          </w:p>
        </w:tc>
        <w:tc>
          <w:tcPr>
            <w:tcW w:w="860" w:type="dxa"/>
            <w:vAlign w:val="bottom"/>
          </w:tcPr>
          <w:p>
            <w:pPr>
              <w:jc w:val="center"/>
              <w:ind w:right="136"/>
              <w:spacing w:after="0"/>
              <w:rPr>
                <w:sz w:val="20"/>
                <w:szCs w:val="20"/>
                <w:color w:val="auto"/>
              </w:rPr>
            </w:pPr>
            <w:r>
              <w:rPr>
                <w:rFonts w:ascii="Arial" w:cs="Arial" w:eastAsia="Arial" w:hAnsi="Arial"/>
                <w:sz w:val="13"/>
                <w:szCs w:val="13"/>
                <w:b w:val="1"/>
                <w:bCs w:val="1"/>
                <w:color w:val="auto"/>
                <w:w w:val="93"/>
              </w:rPr>
              <w:t>Awards</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center"/>
              <w:ind w:right="56"/>
              <w:spacing w:after="0"/>
              <w:rPr>
                <w:sz w:val="20"/>
                <w:szCs w:val="20"/>
                <w:color w:val="auto"/>
              </w:rPr>
            </w:pPr>
            <w:r>
              <w:rPr>
                <w:rFonts w:ascii="Arial" w:cs="Arial" w:eastAsia="Arial" w:hAnsi="Arial"/>
                <w:sz w:val="13"/>
                <w:szCs w:val="13"/>
                <w:b w:val="1"/>
                <w:bCs w:val="1"/>
                <w:color w:val="auto"/>
                <w:w w:val="93"/>
              </w:rPr>
              <w:t>Awards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ind w:right="16"/>
              <w:spacing w:after="0"/>
              <w:rPr>
                <w:sz w:val="20"/>
                <w:szCs w:val="20"/>
                <w:color w:val="auto"/>
              </w:rPr>
            </w:pPr>
            <w:r>
              <w:rPr>
                <w:rFonts w:ascii="Arial" w:cs="Arial" w:eastAsia="Arial" w:hAnsi="Arial"/>
                <w:sz w:val="13"/>
                <w:szCs w:val="13"/>
                <w:b w:val="1"/>
                <w:bCs w:val="1"/>
                <w:color w:val="auto"/>
                <w:w w:val="92"/>
              </w:rPr>
              <w:t>Compensation</w:t>
            </w: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tcPr>
          <w:p>
            <w:pPr>
              <w:ind w:left="140"/>
              <w:spacing w:after="0"/>
              <w:rPr>
                <w:sz w:val="20"/>
                <w:szCs w:val="20"/>
                <w:color w:val="auto"/>
              </w:rPr>
            </w:pPr>
            <w:r>
              <w:rPr>
                <w:rFonts w:ascii="Arial" w:cs="Arial" w:eastAsia="Arial" w:hAnsi="Arial"/>
                <w:sz w:val="13"/>
                <w:szCs w:val="13"/>
                <w:b w:val="1"/>
                <w:bCs w:val="1"/>
                <w:color w:val="auto"/>
              </w:rPr>
              <w:t>Total</w:t>
            </w:r>
          </w:p>
        </w:tc>
      </w:tr>
      <w:tr>
        <w:trPr>
          <w:trHeight w:val="161"/>
        </w:trPr>
        <w:tc>
          <w:tcPr>
            <w:tcW w:w="4720" w:type="dxa"/>
            <w:vAlign w:val="bottom"/>
          </w:tcPr>
          <w:p>
            <w:pPr>
              <w:spacing w:after="0"/>
              <w:rPr>
                <w:sz w:val="20"/>
                <w:szCs w:val="20"/>
                <w:color w:val="auto"/>
              </w:rPr>
            </w:pPr>
            <w:r>
              <w:rPr>
                <w:rFonts w:ascii="Arial" w:cs="Arial" w:eastAsia="Arial" w:hAnsi="Arial"/>
                <w:sz w:val="13"/>
                <w:szCs w:val="13"/>
                <w:b w:val="1"/>
                <w:bCs w:val="1"/>
                <w:color w:val="auto"/>
              </w:rPr>
              <w:t>Name</w:t>
            </w:r>
          </w:p>
        </w:tc>
        <w:tc>
          <w:tcPr>
            <w:tcW w:w="640" w:type="dxa"/>
            <w:vAlign w:val="bottom"/>
            <w:gridSpan w:val="2"/>
          </w:tcPr>
          <w:p>
            <w:pPr>
              <w:jc w:val="right"/>
              <w:spacing w:after="0"/>
              <w:rPr>
                <w:sz w:val="20"/>
                <w:szCs w:val="20"/>
                <w:color w:val="auto"/>
              </w:rPr>
            </w:pPr>
            <w:r>
              <w:rPr>
                <w:rFonts w:ascii="Arial" w:cs="Arial" w:eastAsia="Arial" w:hAnsi="Arial"/>
                <w:sz w:val="13"/>
                <w:szCs w:val="13"/>
                <w:b w:val="1"/>
                <w:bCs w:val="1"/>
                <w:color w:val="auto"/>
              </w:rPr>
              <w:t>($</w:t>
            </w:r>
          </w:p>
        </w:tc>
        <w:tc>
          <w:tcPr>
            <w:tcW w:w="620" w:type="dxa"/>
            <w:vAlign w:val="bottom"/>
          </w:tcPr>
          <w:p>
            <w:pPr>
              <w:jc w:val="right"/>
              <w:ind w:right="313"/>
              <w:spacing w:after="0"/>
              <w:rPr>
                <w:sz w:val="20"/>
                <w:szCs w:val="20"/>
                <w:color w:val="auto"/>
              </w:rPr>
            </w:pPr>
            <w:r>
              <w:rPr>
                <w:rFonts w:ascii="Arial" w:cs="Arial" w:eastAsia="Arial" w:hAnsi="Arial"/>
                <w:sz w:val="13"/>
                <w:szCs w:val="13"/>
                <w:b w:val="1"/>
                <w:bCs w:val="1"/>
                <w:color w:val="auto"/>
                <w:w w:val="98"/>
              </w:rPr>
              <w:t>)(1)</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jc w:val="center"/>
              <w:ind w:right="136"/>
              <w:spacing w:after="0"/>
              <w:rPr>
                <w:sz w:val="20"/>
                <w:szCs w:val="20"/>
                <w:color w:val="auto"/>
              </w:rPr>
            </w:pPr>
            <w:r>
              <w:rPr>
                <w:rFonts w:ascii="Arial" w:cs="Arial" w:eastAsia="Arial" w:hAnsi="Arial"/>
                <w:sz w:val="13"/>
                <w:szCs w:val="13"/>
                <w:b w:val="1"/>
                <w:bCs w:val="1"/>
                <w:color w:val="auto"/>
              </w:rPr>
              <w:t>($)(2)</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center"/>
              <w:ind w:right="56"/>
              <w:spacing w:after="0"/>
              <w:rPr>
                <w:sz w:val="20"/>
                <w:szCs w:val="20"/>
                <w:color w:val="auto"/>
              </w:rPr>
            </w:pPr>
            <w:r>
              <w:rPr>
                <w:rFonts w:ascii="Arial" w:cs="Arial" w:eastAsia="Arial" w:hAnsi="Arial"/>
                <w:sz w:val="13"/>
                <w:szCs w:val="13"/>
                <w:b w:val="1"/>
                <w:bCs w:val="1"/>
                <w:color w:val="auto"/>
              </w:rPr>
              <w:t>($)(3)</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center"/>
              <w:ind w:right="16"/>
              <w:spacing w:after="0"/>
              <w:rPr>
                <w:sz w:val="20"/>
                <w:szCs w:val="20"/>
                <w:color w:val="auto"/>
              </w:rPr>
            </w:pPr>
            <w:r>
              <w:rPr>
                <w:rFonts w:ascii="Arial" w:cs="Arial" w:eastAsia="Arial" w:hAnsi="Arial"/>
                <w:sz w:val="13"/>
                <w:szCs w:val="13"/>
                <w:b w:val="1"/>
                <w:bCs w:val="1"/>
                <w:color w:val="auto"/>
              </w:rPr>
              <w:t>($)(4)</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ind w:right="295"/>
              <w:spacing w:after="0"/>
              <w:rPr>
                <w:sz w:val="20"/>
                <w:szCs w:val="20"/>
                <w:color w:val="auto"/>
              </w:rPr>
            </w:pPr>
            <w:r>
              <w:rPr>
                <w:rFonts w:ascii="Arial" w:cs="Arial" w:eastAsia="Arial" w:hAnsi="Arial"/>
                <w:sz w:val="13"/>
                <w:szCs w:val="13"/>
                <w:b w:val="1"/>
                <w:bCs w:val="1"/>
                <w:color w:val="auto"/>
              </w:rPr>
              <w:t>($)(5)</w:t>
            </w:r>
          </w:p>
        </w:tc>
        <w:tc>
          <w:tcPr>
            <w:tcW w:w="100" w:type="dxa"/>
            <w:vAlign w:val="bottom"/>
          </w:tcPr>
          <w:p>
            <w:pPr>
              <w:spacing w:after="0"/>
              <w:rPr>
                <w:sz w:val="14"/>
                <w:szCs w:val="14"/>
                <w:color w:val="auto"/>
              </w:rPr>
            </w:pPr>
          </w:p>
        </w:tc>
      </w:tr>
      <w:tr>
        <w:trPr>
          <w:trHeight w:val="223"/>
        </w:trPr>
        <w:tc>
          <w:tcPr>
            <w:tcW w:w="47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Lionel F. Conacher, Chairman</w:t>
            </w:r>
          </w:p>
        </w:tc>
        <w:tc>
          <w:tcPr>
            <w:tcW w:w="14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jc w:val="right"/>
              <w:ind w:right="351"/>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52,918</w:t>
            </w:r>
          </w:p>
        </w:tc>
        <w:tc>
          <w:tcPr>
            <w:tcW w:w="2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51,256</w:t>
            </w:r>
          </w:p>
        </w:tc>
        <w:tc>
          <w:tcPr>
            <w:tcW w:w="2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FF0FC"/>
          </w:tcPr>
          <w:p>
            <w:pPr>
              <w:ind w:left="560"/>
              <w:spacing w:after="0"/>
              <w:rPr>
                <w:sz w:val="20"/>
                <w:szCs w:val="20"/>
                <w:color w:val="auto"/>
              </w:rPr>
            </w:pPr>
            <w:r>
              <w:rPr>
                <w:rFonts w:ascii="Arial" w:cs="Arial" w:eastAsia="Arial" w:hAnsi="Arial"/>
                <w:sz w:val="18"/>
                <w:szCs w:val="18"/>
                <w:color w:val="auto"/>
                <w:w w:val="88"/>
              </w:rPr>
              <w:t>—</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104,174</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4720" w:type="dxa"/>
            <w:vAlign w:val="bottom"/>
          </w:tcPr>
          <w:p>
            <w:pPr>
              <w:spacing w:after="0"/>
              <w:rPr>
                <w:sz w:val="20"/>
                <w:szCs w:val="20"/>
                <w:color w:val="auto"/>
              </w:rPr>
            </w:pPr>
            <w:r>
              <w:rPr>
                <w:rFonts w:ascii="Arial" w:cs="Arial" w:eastAsia="Arial" w:hAnsi="Arial"/>
                <w:sz w:val="18"/>
                <w:szCs w:val="18"/>
                <w:color w:val="auto"/>
              </w:rPr>
              <w:t>Jack Boyle</w:t>
            </w:r>
          </w:p>
        </w:tc>
        <w:tc>
          <w:tcPr>
            <w:tcW w:w="640" w:type="dxa"/>
            <w:vAlign w:val="bottom"/>
            <w:gridSpan w:val="2"/>
          </w:tcPr>
          <w:p>
            <w:pPr>
              <w:jc w:val="right"/>
              <w:ind w:right="351"/>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24,958</w:t>
            </w:r>
          </w:p>
        </w:tc>
        <w:tc>
          <w:tcPr>
            <w:tcW w:w="26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67,404</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ind w:left="560"/>
              <w:spacing w:after="0"/>
              <w:rPr>
                <w:sz w:val="20"/>
                <w:szCs w:val="20"/>
                <w:color w:val="auto"/>
              </w:rPr>
            </w:pPr>
            <w:r>
              <w:rPr>
                <w:rFonts w:ascii="Arial" w:cs="Arial" w:eastAsia="Arial" w:hAnsi="Arial"/>
                <w:sz w:val="18"/>
                <w:szCs w:val="18"/>
                <w:color w:val="auto"/>
                <w:w w:val="88"/>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92,362</w:t>
            </w:r>
          </w:p>
        </w:tc>
        <w:tc>
          <w:tcPr>
            <w:tcW w:w="100" w:type="dxa"/>
            <w:vAlign w:val="bottom"/>
          </w:tcPr>
          <w:p>
            <w:pPr>
              <w:spacing w:after="0"/>
              <w:rPr>
                <w:sz w:val="19"/>
                <w:szCs w:val="19"/>
                <w:color w:val="auto"/>
              </w:rPr>
            </w:pPr>
          </w:p>
        </w:tc>
      </w:tr>
      <w:tr>
        <w:trPr>
          <w:trHeight w:val="230"/>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Willem Mesdag</w:t>
            </w:r>
          </w:p>
        </w:tc>
        <w:tc>
          <w:tcPr>
            <w:tcW w:w="640" w:type="dxa"/>
            <w:vAlign w:val="bottom"/>
            <w:gridSpan w:val="2"/>
            <w:shd w:val="clear" w:color="auto" w:fill="CFF0FC"/>
          </w:tcPr>
          <w:p>
            <w:pPr>
              <w:jc w:val="right"/>
              <w:ind w:right="351"/>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93,748</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ind w:left="560"/>
              <w:spacing w:after="0"/>
              <w:rPr>
                <w:sz w:val="20"/>
                <w:szCs w:val="20"/>
                <w:color w:val="auto"/>
              </w:rPr>
            </w:pPr>
            <w:r>
              <w:rPr>
                <w:rFonts w:ascii="Arial" w:cs="Arial" w:eastAsia="Arial" w:hAnsi="Arial"/>
                <w:sz w:val="18"/>
                <w:szCs w:val="18"/>
                <w:color w:val="auto"/>
                <w:w w:val="88"/>
              </w:rPr>
              <w:t>—</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93,748</w:t>
            </w:r>
          </w:p>
        </w:tc>
        <w:tc>
          <w:tcPr>
            <w:tcW w:w="100" w:type="dxa"/>
            <w:vAlign w:val="bottom"/>
            <w:shd w:val="clear" w:color="auto" w:fill="CFF0FC"/>
          </w:tcPr>
          <w:p>
            <w:pPr>
              <w:spacing w:after="0"/>
              <w:rPr>
                <w:sz w:val="19"/>
                <w:szCs w:val="19"/>
                <w:color w:val="auto"/>
              </w:rPr>
            </w:pPr>
          </w:p>
        </w:tc>
      </w:tr>
      <w:tr>
        <w:trPr>
          <w:trHeight w:val="229"/>
        </w:trPr>
        <w:tc>
          <w:tcPr>
            <w:tcW w:w="4720" w:type="dxa"/>
            <w:vAlign w:val="bottom"/>
          </w:tcPr>
          <w:p>
            <w:pPr>
              <w:spacing w:after="0"/>
              <w:rPr>
                <w:sz w:val="20"/>
                <w:szCs w:val="20"/>
                <w:color w:val="auto"/>
              </w:rPr>
            </w:pPr>
            <w:r>
              <w:rPr>
                <w:rFonts w:ascii="Arial" w:cs="Arial" w:eastAsia="Arial" w:hAnsi="Arial"/>
                <w:sz w:val="18"/>
                <w:szCs w:val="18"/>
                <w:color w:val="auto"/>
              </w:rPr>
              <w:t>Mitchell S. Presser</w:t>
            </w:r>
          </w:p>
        </w:tc>
        <w:tc>
          <w:tcPr>
            <w:tcW w:w="640" w:type="dxa"/>
            <w:vAlign w:val="bottom"/>
            <w:gridSpan w:val="2"/>
          </w:tcPr>
          <w:p>
            <w:pPr>
              <w:jc w:val="right"/>
              <w:ind w:right="351"/>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3,596</w:t>
            </w:r>
          </w:p>
        </w:tc>
        <w:tc>
          <w:tcPr>
            <w:tcW w:w="26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90,152</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ind w:left="560"/>
              <w:spacing w:after="0"/>
              <w:rPr>
                <w:sz w:val="20"/>
                <w:szCs w:val="20"/>
                <w:color w:val="auto"/>
              </w:rPr>
            </w:pPr>
            <w:r>
              <w:rPr>
                <w:rFonts w:ascii="Arial" w:cs="Arial" w:eastAsia="Arial" w:hAnsi="Arial"/>
                <w:sz w:val="18"/>
                <w:szCs w:val="18"/>
                <w:color w:val="auto"/>
                <w:w w:val="88"/>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93,748</w:t>
            </w:r>
          </w:p>
        </w:tc>
        <w:tc>
          <w:tcPr>
            <w:tcW w:w="100" w:type="dxa"/>
            <w:vAlign w:val="bottom"/>
          </w:tcPr>
          <w:p>
            <w:pPr>
              <w:spacing w:after="0"/>
              <w:rPr>
                <w:sz w:val="19"/>
                <w:szCs w:val="19"/>
                <w:color w:val="auto"/>
              </w:rPr>
            </w:pPr>
          </w:p>
        </w:tc>
      </w:tr>
      <w:tr>
        <w:trPr>
          <w:trHeight w:val="229"/>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Ivy Ross</w:t>
            </w:r>
          </w:p>
        </w:tc>
        <w:tc>
          <w:tcPr>
            <w:tcW w:w="640" w:type="dxa"/>
            <w:vAlign w:val="bottom"/>
            <w:gridSpan w:val="2"/>
            <w:shd w:val="clear" w:color="auto" w:fill="CFF0FC"/>
          </w:tcPr>
          <w:p>
            <w:pPr>
              <w:jc w:val="right"/>
              <w:ind w:right="351"/>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45,000</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44,999</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ind w:left="560"/>
              <w:spacing w:after="0"/>
              <w:rPr>
                <w:sz w:val="20"/>
                <w:szCs w:val="20"/>
                <w:color w:val="auto"/>
              </w:rPr>
            </w:pPr>
            <w:r>
              <w:rPr>
                <w:rFonts w:ascii="Arial" w:cs="Arial" w:eastAsia="Arial" w:hAnsi="Arial"/>
                <w:sz w:val="18"/>
                <w:szCs w:val="18"/>
                <w:color w:val="auto"/>
                <w:w w:val="88"/>
              </w:rPr>
              <w:t>—</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89,999</w:t>
            </w:r>
          </w:p>
        </w:tc>
        <w:tc>
          <w:tcPr>
            <w:tcW w:w="100" w:type="dxa"/>
            <w:vAlign w:val="bottom"/>
            <w:shd w:val="clear" w:color="auto" w:fill="CFF0FC"/>
          </w:tcPr>
          <w:p>
            <w:pPr>
              <w:spacing w:after="0"/>
              <w:rPr>
                <w:sz w:val="19"/>
                <w:szCs w:val="19"/>
                <w:color w:val="auto"/>
              </w:rPr>
            </w:pPr>
          </w:p>
        </w:tc>
      </w:tr>
      <w:tr>
        <w:trPr>
          <w:trHeight w:val="230"/>
        </w:trPr>
        <w:tc>
          <w:tcPr>
            <w:tcW w:w="4720" w:type="dxa"/>
            <w:vAlign w:val="bottom"/>
          </w:tcPr>
          <w:p>
            <w:pPr>
              <w:spacing w:after="0"/>
              <w:rPr>
                <w:sz w:val="20"/>
                <w:szCs w:val="20"/>
                <w:color w:val="auto"/>
              </w:rPr>
            </w:pPr>
            <w:r>
              <w:rPr>
                <w:rFonts w:ascii="Arial" w:cs="Arial" w:eastAsia="Arial" w:hAnsi="Arial"/>
                <w:sz w:val="18"/>
                <w:szCs w:val="18"/>
                <w:color w:val="auto"/>
              </w:rPr>
              <w:t>John E. Kyees, former Chairman and director</w:t>
            </w:r>
          </w:p>
        </w:tc>
        <w:tc>
          <w:tcPr>
            <w:tcW w:w="640" w:type="dxa"/>
            <w:vAlign w:val="bottom"/>
            <w:gridSpan w:val="2"/>
          </w:tcPr>
          <w:p>
            <w:pPr>
              <w:jc w:val="right"/>
              <w:ind w:right="351"/>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22,507</w:t>
            </w:r>
          </w:p>
        </w:tc>
        <w:tc>
          <w:tcPr>
            <w:tcW w:w="26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18,122</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ind w:left="560"/>
              <w:spacing w:after="0"/>
              <w:rPr>
                <w:sz w:val="20"/>
                <w:szCs w:val="20"/>
                <w:color w:val="auto"/>
              </w:rPr>
            </w:pPr>
            <w:r>
              <w:rPr>
                <w:rFonts w:ascii="Arial" w:cs="Arial" w:eastAsia="Arial" w:hAnsi="Arial"/>
                <w:sz w:val="18"/>
                <w:szCs w:val="18"/>
                <w:color w:val="auto"/>
                <w:w w:val="88"/>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40,629</w:t>
            </w:r>
          </w:p>
        </w:tc>
        <w:tc>
          <w:tcPr>
            <w:tcW w:w="100" w:type="dxa"/>
            <w:vAlign w:val="bottom"/>
          </w:tcPr>
          <w:p>
            <w:pPr>
              <w:spacing w:after="0"/>
              <w:rPr>
                <w:sz w:val="19"/>
                <w:szCs w:val="19"/>
                <w:color w:val="auto"/>
              </w:rPr>
            </w:pPr>
          </w:p>
        </w:tc>
      </w:tr>
      <w:tr>
        <w:trPr>
          <w:trHeight w:val="229"/>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Seymour Holtzman, former director</w:t>
            </w:r>
          </w:p>
        </w:tc>
        <w:tc>
          <w:tcPr>
            <w:tcW w:w="640" w:type="dxa"/>
            <w:vAlign w:val="bottom"/>
            <w:gridSpan w:val="2"/>
            <w:shd w:val="clear" w:color="auto" w:fill="CFF0FC"/>
          </w:tcPr>
          <w:p>
            <w:pPr>
              <w:jc w:val="right"/>
              <w:ind w:right="351"/>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ind w:left="560"/>
              <w:spacing w:after="0"/>
              <w:rPr>
                <w:sz w:val="20"/>
                <w:szCs w:val="20"/>
                <w:color w:val="auto"/>
              </w:rPr>
            </w:pPr>
            <w:r>
              <w:rPr>
                <w:rFonts w:ascii="Arial" w:cs="Arial" w:eastAsia="Arial" w:hAnsi="Arial"/>
                <w:sz w:val="18"/>
                <w:szCs w:val="18"/>
                <w:color w:val="auto"/>
                <w:w w:val="88"/>
              </w:rPr>
              <w:t>—</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100,000</w:t>
            </w:r>
          </w:p>
        </w:tc>
        <w:tc>
          <w:tcPr>
            <w:tcW w:w="60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shd w:val="clear" w:color="auto" w:fill="CFF0FC"/>
          </w:tcPr>
          <w:p>
            <w:pPr>
              <w:spacing w:after="0"/>
              <w:rPr>
                <w:sz w:val="19"/>
                <w:szCs w:val="19"/>
                <w:color w:val="auto"/>
              </w:rPr>
            </w:pPr>
          </w:p>
        </w:tc>
      </w:tr>
      <w:tr>
        <w:trPr>
          <w:trHeight w:val="230"/>
        </w:trPr>
        <w:tc>
          <w:tcPr>
            <w:tcW w:w="4720" w:type="dxa"/>
            <w:vAlign w:val="bottom"/>
          </w:tcPr>
          <w:p>
            <w:pPr>
              <w:spacing w:after="0"/>
              <w:rPr>
                <w:sz w:val="20"/>
                <w:szCs w:val="20"/>
                <w:color w:val="auto"/>
              </w:rPr>
            </w:pPr>
            <w:r>
              <w:rPr>
                <w:rFonts w:ascii="Arial" w:cs="Arial" w:eastAsia="Arial" w:hAnsi="Arial"/>
                <w:sz w:val="18"/>
                <w:szCs w:val="18"/>
                <w:color w:val="auto"/>
              </w:rPr>
              <w:t>Ward K. Mooney, former director</w:t>
            </w:r>
          </w:p>
        </w:tc>
        <w:tc>
          <w:tcPr>
            <w:tcW w:w="640" w:type="dxa"/>
            <w:vAlign w:val="bottom"/>
            <w:gridSpan w:val="2"/>
          </w:tcPr>
          <w:p>
            <w:pPr>
              <w:jc w:val="right"/>
              <w:ind w:right="351"/>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20,179</w:t>
            </w:r>
          </w:p>
        </w:tc>
        <w:tc>
          <w:tcPr>
            <w:tcW w:w="26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16,249</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ind w:left="560"/>
              <w:spacing w:after="0"/>
              <w:rPr>
                <w:sz w:val="20"/>
                <w:szCs w:val="20"/>
                <w:color w:val="auto"/>
              </w:rPr>
            </w:pPr>
            <w:r>
              <w:rPr>
                <w:rFonts w:ascii="Arial" w:cs="Arial" w:eastAsia="Arial" w:hAnsi="Arial"/>
                <w:sz w:val="18"/>
                <w:szCs w:val="18"/>
                <w:color w:val="auto"/>
                <w:w w:val="88"/>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36,428</w:t>
            </w:r>
          </w:p>
        </w:tc>
        <w:tc>
          <w:tcPr>
            <w:tcW w:w="100" w:type="dxa"/>
            <w:vAlign w:val="bottom"/>
          </w:tcPr>
          <w:p>
            <w:pPr>
              <w:spacing w:after="0"/>
              <w:rPr>
                <w:sz w:val="20"/>
                <w:szCs w:val="20"/>
                <w:color w:val="auto"/>
              </w:rPr>
            </w:pPr>
          </w:p>
        </w:tc>
      </w:tr>
    </w:tbl>
    <w:p>
      <w:pPr>
        <w:spacing w:after="0" w:line="241" w:lineRule="exact"/>
        <w:rPr>
          <w:sz w:val="20"/>
          <w:szCs w:val="20"/>
          <w:color w:val="auto"/>
        </w:rPr>
      </w:pPr>
    </w:p>
    <w:p>
      <w:pPr>
        <w:ind w:left="740" w:right="40" w:hanging="368"/>
        <w:spacing w:after="0" w:line="266" w:lineRule="auto"/>
        <w:tabs>
          <w:tab w:leader="none" w:pos="7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For fiscal 2020, all non-employee directors were required to receive at least 50% of their annual retainer in the form of equity. For fiscal 2020, Mr. Presser elected to receive all compensation, including his retainer and chair fees, in unrestricted shares of our common stock and Mr. Mesdag elected to receive all compensation, including his retainer and chair fees, in deferred stock. Mr. Kyees elected to receive his compensation, including his retainer, Chairman of the Board and chair fees, in a combination of 50% deferred stock and 50% cash. Mr. Boyle elected to receive 75% of his retainer and chairperson fees in unrestricted shares of our common stock and 25% in cash. Messrs. Conacher, Mooney and Ms. Ross elected to receive 50% of their retainer in unrestricted shares of our common stock and 50% in cash. With respect to chairperson fees, Ms. Ross elected cash and Messrs. Conacher and Mooney elected a combination of 50% cash and 50% unrestricted shares. Due to a shortfall in shares under the Director Plan, Messrs. Boyle, Conacher and Presser received a portion of the shares that they were entitled to as part of their fourth quarter retainer in cash. The number of shares issued as payment for an earned director fee is determined by taking the director fee earned and dividing by the consolidated closing price of our common stock on the grant date. Payments are made at the beginning of each quarter, with the grant date being the first business day of each respective quarter.</w:t>
      </w:r>
    </w:p>
    <w:p>
      <w:pPr>
        <w:spacing w:after="0" w:line="7" w:lineRule="exact"/>
        <w:rPr>
          <w:rFonts w:ascii="Arial" w:cs="Arial" w:eastAsia="Arial" w:hAnsi="Arial"/>
          <w:sz w:val="17"/>
          <w:szCs w:val="17"/>
          <w:color w:val="auto"/>
        </w:rPr>
      </w:pPr>
    </w:p>
    <w:p>
      <w:pPr>
        <w:ind w:left="740" w:right="260" w:hanging="368"/>
        <w:spacing w:after="0" w:line="250" w:lineRule="auto"/>
        <w:tabs>
          <w:tab w:leader="none" w:pos="7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Represents the portion of each director’s compensation that was paid in the form of equity through either the issuance of unrestricted shares of common stock or deferred stock.</w:t>
      </w:r>
    </w:p>
    <w:p>
      <w:pPr>
        <w:ind w:left="740" w:right="140" w:hanging="368"/>
        <w:spacing w:after="0" w:line="250" w:lineRule="auto"/>
        <w:tabs>
          <w:tab w:leader="none" w:pos="7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There were no stock option grants to any of the directors in fiscal 2020. Each director had the following number of stock options outstanding at January 30, 2021: Mr. Boyle: 15,000; Mr. Conacher: 15,000; Mr. Mesdag: 15,000; and Ms. Ross: 15,000.</w:t>
      </w:r>
    </w:p>
    <w:p>
      <w:pPr>
        <w:ind w:left="740" w:right="440" w:hanging="368"/>
        <w:spacing w:after="0" w:line="250" w:lineRule="auto"/>
        <w:tabs>
          <w:tab w:leader="none" w:pos="7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Mr. Holtzman received compensation pursuant to the Employment and Chairman Compensation Agreement which terminated on August 7, 2020. See “</w:t>
      </w:r>
      <w:r>
        <w:rPr>
          <w:rFonts w:ascii="Arial" w:cs="Arial" w:eastAsia="Arial" w:hAnsi="Arial"/>
          <w:sz w:val="18"/>
          <w:szCs w:val="18"/>
          <w:i w:val="1"/>
          <w:iCs w:val="1"/>
          <w:color w:val="auto"/>
        </w:rPr>
        <w:t>Former Executive Chairman Compensation</w:t>
      </w:r>
      <w:r>
        <w:rPr>
          <w:rFonts w:ascii="Arial" w:cs="Arial" w:eastAsia="Arial" w:hAnsi="Arial"/>
          <w:sz w:val="18"/>
          <w:szCs w:val="18"/>
          <w:color w:val="auto"/>
        </w:rPr>
        <w:t>” below for additional information.</w:t>
      </w:r>
    </w:p>
    <w:p>
      <w:pPr>
        <w:ind w:left="740" w:right="200" w:hanging="368"/>
        <w:spacing w:after="0" w:line="260" w:lineRule="auto"/>
        <w:tabs>
          <w:tab w:leader="none" w:pos="7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Due to the impact of COVID-19 which resulted in the temporary closure of all stores on March 17, 2020, the non-employee directors agreed to suspend their compensation for the second quarter of fiscal 2020.</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Former Executive Chairman Compensation</w:t>
      </w:r>
    </w:p>
    <w:p>
      <w:pPr>
        <w:spacing w:after="0" w:line="117" w:lineRule="exact"/>
        <w:rPr>
          <w:sz w:val="20"/>
          <w:szCs w:val="20"/>
          <w:color w:val="auto"/>
        </w:rPr>
      </w:pPr>
    </w:p>
    <w:p>
      <w:pPr>
        <w:ind w:right="1040"/>
        <w:spacing w:after="0" w:line="291" w:lineRule="auto"/>
        <w:rPr>
          <w:sz w:val="20"/>
          <w:szCs w:val="20"/>
          <w:color w:val="auto"/>
        </w:rPr>
      </w:pPr>
      <w:r>
        <w:rPr>
          <w:rFonts w:ascii="Arial" w:cs="Arial" w:eastAsia="Arial" w:hAnsi="Arial"/>
          <w:sz w:val="16"/>
          <w:szCs w:val="16"/>
          <w:color w:val="auto"/>
        </w:rPr>
        <w:t>Since August 7, 2014, Mr. Holtzman was compensated for his services pursuant to an Employment and Chairman Compensation Agreement (“Compensation Agreement”). Mr. Holtzman served as the Company’s Executive Chairman of the Board from August 2014 through January</w:t>
      </w:r>
    </w:p>
    <w:p>
      <w:pPr>
        <w:ind w:right="420"/>
        <w:spacing w:after="0" w:line="295" w:lineRule="auto"/>
        <w:rPr>
          <w:sz w:val="20"/>
          <w:szCs w:val="20"/>
          <w:color w:val="auto"/>
        </w:rPr>
      </w:pPr>
      <w:r>
        <w:rPr>
          <w:rFonts w:ascii="Arial" w:cs="Arial" w:eastAsia="Arial" w:hAnsi="Arial"/>
          <w:sz w:val="16"/>
          <w:szCs w:val="16"/>
          <w:color w:val="auto"/>
        </w:rPr>
        <w:t>2019. Pursuant to the Compensation Agreement, Mr. Holtzman served as both an employee of the Company, reporting to the Board, and as Executive Chairman, with the duties of the Chairman of the Board set forth in the Company’s Fourth Amended and Restated By-Laws. The initial term of the agreement was for two years and was automatically extended for additional one-year terms. On August 9, 2018, Mr. Holtzman was provided written notification that the Company would not be extending the term of the agreement and, as a result, the agreement terminated on August 7, 2020.</w:t>
      </w:r>
    </w:p>
    <w:p>
      <w:pPr>
        <w:spacing w:after="0" w:line="161" w:lineRule="exact"/>
        <w:rPr>
          <w:sz w:val="20"/>
          <w:szCs w:val="20"/>
          <w:color w:val="auto"/>
        </w:rPr>
      </w:pPr>
    </w:p>
    <w:p>
      <w:pPr>
        <w:jc w:val="both"/>
        <w:ind w:right="360"/>
        <w:spacing w:after="0" w:line="263" w:lineRule="auto"/>
        <w:rPr>
          <w:sz w:val="20"/>
          <w:szCs w:val="20"/>
          <w:color w:val="auto"/>
        </w:rPr>
      </w:pPr>
      <w:r>
        <w:rPr>
          <w:rFonts w:ascii="Arial" w:cs="Arial" w:eastAsia="Arial" w:hAnsi="Arial"/>
          <w:sz w:val="18"/>
          <w:szCs w:val="18"/>
          <w:color w:val="auto"/>
        </w:rPr>
        <w:t>Pursuant to the agreement, as most recently amended on August 9, 2018, Mr. Holtzman was entitled to receive an annual base salary of $24,000 for his employment services and an annual compensation of $176,000. Accordingly, for fiscal 2020, Mr. Holtzman was compensated through August 7, 2020 when the agreement terminated and received total compensation of $100,000.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None of the members of the Compensation Committee who served on the Compensation Committee during fiscal 2020 was at any time during fiscal 2020 or at any other time an officer or employee of our Company. During fiscal 2020, none of our executive officers served as a member of the board of directors or compensation committee of any other entity that had one or more executive officers serving as a member of our Board or Compensation Committee.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7" w:name="page28"/>
    <w:bookmarkEnd w:id="27"/>
    <w:p>
      <w:pPr>
        <w:ind w:right="3040"/>
        <w:spacing w:after="0" w:line="377" w:lineRule="auto"/>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Security Ownership of Certain Beneficial Owners and Management and Related Stockholder Matters</w:t>
      </w:r>
      <w:r>
        <w:rPr>
          <w:rFonts w:ascii="Arial" w:cs="Arial" w:eastAsia="Arial" w:hAnsi="Arial"/>
          <w:sz w:val="18"/>
          <w:szCs w:val="18"/>
          <w:b w:val="1"/>
          <w:bCs w:val="1"/>
          <w:color w:val="auto"/>
        </w:rPr>
        <w:t xml:space="preserve"> Security Ownership of Certain Beneficial Owners</w:t>
      </w:r>
    </w:p>
    <w:p>
      <w:pPr>
        <w:spacing w:after="0" w:line="2"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color w:val="auto"/>
        </w:rPr>
        <w:t>The following table sets forth certain information with respect to persons known to us to be the beneficial owners of more than five percent of the issued and outstanding shares of our common stock as of May 14, 2021. We were informed that, except as indicated, each person has sole voting and investment power with respect to all shares of our common stock shown as beneficially owned by such person, subject to community property laws where applicable.</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jc w:val="right"/>
              <w:ind w:right="14"/>
              <w:spacing w:after="0"/>
              <w:rPr>
                <w:sz w:val="20"/>
                <w:szCs w:val="20"/>
                <w:color w:val="auto"/>
              </w:rPr>
            </w:pPr>
            <w:r>
              <w:rPr>
                <w:rFonts w:ascii="Arial" w:cs="Arial" w:eastAsia="Arial" w:hAnsi="Arial"/>
                <w:sz w:val="16"/>
                <w:szCs w:val="16"/>
                <w:b w:val="1"/>
                <w:bCs w:val="1"/>
                <w:color w:val="auto"/>
                <w:w w:val="97"/>
              </w:rPr>
              <w:t>Number of Shares</w:t>
            </w:r>
          </w:p>
        </w:tc>
        <w:tc>
          <w:tcPr>
            <w:tcW w:w="480" w:type="dxa"/>
            <w:vAlign w:val="bottom"/>
          </w:tcPr>
          <w:p>
            <w:pPr>
              <w:spacing w:after="0"/>
              <w:rPr>
                <w:sz w:val="17"/>
                <w:szCs w:val="17"/>
                <w:color w:val="auto"/>
              </w:rPr>
            </w:pPr>
          </w:p>
        </w:tc>
        <w:tc>
          <w:tcPr>
            <w:tcW w:w="1360" w:type="dxa"/>
            <w:vAlign w:val="bottom"/>
            <w:gridSpan w:val="2"/>
          </w:tcPr>
          <w:p>
            <w:pPr>
              <w:jc w:val="right"/>
              <w:ind w:right="130"/>
              <w:spacing w:after="0"/>
              <w:rPr>
                <w:sz w:val="20"/>
                <w:szCs w:val="20"/>
                <w:color w:val="auto"/>
              </w:rPr>
            </w:pPr>
            <w:r>
              <w:rPr>
                <w:rFonts w:ascii="Arial" w:cs="Arial" w:eastAsia="Arial" w:hAnsi="Arial"/>
                <w:sz w:val="16"/>
                <w:szCs w:val="16"/>
                <w:b w:val="1"/>
                <w:bCs w:val="1"/>
                <w:color w:val="auto"/>
                <w:w w:val="89"/>
              </w:rPr>
              <w:t>Percent of Class</w:t>
            </w:r>
          </w:p>
        </w:tc>
      </w:tr>
      <w:tr>
        <w:trPr>
          <w:trHeight w:val="210"/>
        </w:trPr>
        <w:tc>
          <w:tcPr>
            <w:tcW w:w="7940" w:type="dxa"/>
            <w:vAlign w:val="bottom"/>
            <w:gridSpan w:val="2"/>
          </w:tcPr>
          <w:p>
            <w:pPr>
              <w:spacing w:after="0"/>
              <w:rPr>
                <w:sz w:val="20"/>
                <w:szCs w:val="20"/>
                <w:color w:val="auto"/>
              </w:rPr>
            </w:pPr>
            <w:r>
              <w:rPr>
                <w:rFonts w:ascii="Arial" w:cs="Arial" w:eastAsia="Arial" w:hAnsi="Arial"/>
                <w:sz w:val="16"/>
                <w:szCs w:val="16"/>
                <w:b w:val="1"/>
                <w:bCs w:val="1"/>
                <w:color w:val="auto"/>
              </w:rPr>
              <w:t>Name and Address of Beneficial Owner</w:t>
            </w:r>
          </w:p>
        </w:tc>
        <w:tc>
          <w:tcPr>
            <w:tcW w:w="1460" w:type="dxa"/>
            <w:vAlign w:val="bottom"/>
          </w:tcPr>
          <w:p>
            <w:pPr>
              <w:jc w:val="right"/>
              <w:spacing w:after="0"/>
              <w:rPr>
                <w:sz w:val="20"/>
                <w:szCs w:val="20"/>
                <w:color w:val="auto"/>
              </w:rPr>
            </w:pPr>
            <w:r>
              <w:rPr>
                <w:rFonts w:ascii="Arial" w:cs="Arial" w:eastAsia="Arial" w:hAnsi="Arial"/>
                <w:sz w:val="16"/>
                <w:szCs w:val="16"/>
                <w:b w:val="1"/>
                <w:bCs w:val="1"/>
                <w:color w:val="auto"/>
                <w:w w:val="94"/>
              </w:rPr>
              <w:t>Beneficially Owned</w:t>
            </w:r>
          </w:p>
        </w:tc>
        <w:tc>
          <w:tcPr>
            <w:tcW w:w="480" w:type="dxa"/>
            <w:vAlign w:val="bottom"/>
          </w:tcPr>
          <w:p>
            <w:pPr>
              <w:spacing w:after="0"/>
              <w:rPr>
                <w:sz w:val="18"/>
                <w:szCs w:val="18"/>
                <w:color w:val="auto"/>
              </w:rPr>
            </w:pPr>
          </w:p>
        </w:tc>
        <w:tc>
          <w:tcPr>
            <w:tcW w:w="1180" w:type="dxa"/>
            <w:vAlign w:val="bottom"/>
          </w:tcPr>
          <w:p>
            <w:pPr>
              <w:jc w:val="right"/>
              <w:ind w:right="414"/>
              <w:spacing w:after="0"/>
              <w:rPr>
                <w:sz w:val="20"/>
                <w:szCs w:val="20"/>
                <w:color w:val="auto"/>
              </w:rPr>
            </w:pPr>
            <w:r>
              <w:rPr>
                <w:rFonts w:ascii="Arial" w:cs="Arial" w:eastAsia="Arial" w:hAnsi="Arial"/>
                <w:sz w:val="16"/>
                <w:szCs w:val="16"/>
                <w:b w:val="1"/>
                <w:bCs w:val="1"/>
                <w:color w:val="auto"/>
              </w:rPr>
              <w:t>(1)</w:t>
            </w:r>
          </w:p>
        </w:tc>
        <w:tc>
          <w:tcPr>
            <w:tcW w:w="180" w:type="dxa"/>
            <w:vAlign w:val="bottom"/>
          </w:tcPr>
          <w:p>
            <w:pPr>
              <w:spacing w:after="0"/>
              <w:rPr>
                <w:sz w:val="18"/>
                <w:szCs w:val="18"/>
                <w:color w:val="auto"/>
              </w:rPr>
            </w:pPr>
          </w:p>
        </w:tc>
      </w:tr>
      <w:tr>
        <w:trPr>
          <w:trHeight w:val="215"/>
        </w:trPr>
        <w:tc>
          <w:tcPr>
            <w:tcW w:w="78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AWM Investment Company, Inc.</w:t>
            </w:r>
          </w:p>
        </w:tc>
        <w:tc>
          <w:tcPr>
            <w:tcW w:w="120" w:type="dxa"/>
            <w:vAlign w:val="bottom"/>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11,111,111</w:t>
            </w:r>
          </w:p>
        </w:tc>
        <w:tc>
          <w:tcPr>
            <w:tcW w:w="480" w:type="dxa"/>
            <w:vAlign w:val="bottom"/>
          </w:tcPr>
          <w:p>
            <w:pPr>
              <w:jc w:val="right"/>
              <w:spacing w:after="0"/>
              <w:rPr>
                <w:sz w:val="20"/>
                <w:szCs w:val="20"/>
                <w:color w:val="auto"/>
              </w:rPr>
            </w:pPr>
            <w:r>
              <w:rPr>
                <w:rFonts w:ascii="Arial" w:cs="Arial" w:eastAsia="Arial" w:hAnsi="Arial"/>
                <w:sz w:val="18"/>
                <w:szCs w:val="18"/>
                <w:color w:val="auto"/>
              </w:rPr>
              <w:t>(2)</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w:t>
            </w:r>
          </w:p>
        </w:tc>
        <w:tc>
          <w:tcPr>
            <w:tcW w:w="180" w:type="dxa"/>
            <w:vAlign w:val="bottom"/>
          </w:tcPr>
          <w:p>
            <w:pPr>
              <w:jc w:val="right"/>
              <w:spacing w:after="0"/>
              <w:rPr>
                <w:sz w:val="20"/>
                <w:szCs w:val="20"/>
                <w:color w:val="auto"/>
              </w:rPr>
            </w:pPr>
            <w:r>
              <w:rPr>
                <w:rFonts w:ascii="Arial" w:cs="Arial" w:eastAsia="Arial" w:hAnsi="Arial"/>
                <w:sz w:val="18"/>
                <w:szCs w:val="18"/>
                <w:color w:val="auto"/>
                <w:w w:val="74"/>
              </w:rPr>
              <w:t>%</w:t>
            </w:r>
          </w:p>
        </w:tc>
      </w:tr>
      <w:tr>
        <w:trPr>
          <w:trHeight w:val="216"/>
        </w:trPr>
        <w:tc>
          <w:tcPr>
            <w:tcW w:w="7940" w:type="dxa"/>
            <w:vAlign w:val="bottom"/>
            <w:gridSpan w:val="2"/>
          </w:tcPr>
          <w:p>
            <w:pPr>
              <w:spacing w:after="0"/>
              <w:rPr>
                <w:sz w:val="20"/>
                <w:szCs w:val="20"/>
                <w:color w:val="auto"/>
              </w:rPr>
            </w:pPr>
            <w:r>
              <w:rPr>
                <w:rFonts w:ascii="Arial" w:cs="Arial" w:eastAsia="Arial" w:hAnsi="Arial"/>
                <w:sz w:val="18"/>
                <w:szCs w:val="18"/>
                <w:color w:val="auto"/>
              </w:rPr>
              <w:t>c/o Special Situations Funds</w:t>
            </w:r>
          </w:p>
        </w:tc>
        <w:tc>
          <w:tcPr>
            <w:tcW w:w="1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7940" w:type="dxa"/>
            <w:vAlign w:val="bottom"/>
            <w:gridSpan w:val="2"/>
          </w:tcPr>
          <w:p>
            <w:pPr>
              <w:spacing w:after="0"/>
              <w:rPr>
                <w:sz w:val="20"/>
                <w:szCs w:val="20"/>
                <w:color w:val="auto"/>
              </w:rPr>
            </w:pPr>
            <w:r>
              <w:rPr>
                <w:rFonts w:ascii="Arial" w:cs="Arial" w:eastAsia="Arial" w:hAnsi="Arial"/>
                <w:sz w:val="18"/>
                <w:szCs w:val="18"/>
                <w:color w:val="auto"/>
              </w:rPr>
              <w:t>527 Madison Avenue, Suite 2600</w:t>
            </w:r>
          </w:p>
        </w:tc>
        <w:tc>
          <w:tcPr>
            <w:tcW w:w="1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0"/>
        </w:trPr>
        <w:tc>
          <w:tcPr>
            <w:tcW w:w="7940" w:type="dxa"/>
            <w:vAlign w:val="bottom"/>
            <w:gridSpan w:val="2"/>
          </w:tcPr>
          <w:p>
            <w:pPr>
              <w:spacing w:after="0"/>
              <w:rPr>
                <w:sz w:val="20"/>
                <w:szCs w:val="20"/>
                <w:color w:val="auto"/>
              </w:rPr>
            </w:pPr>
            <w:r>
              <w:rPr>
                <w:rFonts w:ascii="Arial" w:cs="Arial" w:eastAsia="Arial" w:hAnsi="Arial"/>
                <w:sz w:val="18"/>
                <w:szCs w:val="18"/>
                <w:color w:val="auto"/>
              </w:rPr>
              <w:t>New York, New York 10022</w:t>
            </w:r>
          </w:p>
        </w:tc>
        <w:tc>
          <w:tcPr>
            <w:tcW w:w="14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16"/>
        </w:trPr>
        <w:tc>
          <w:tcPr>
            <w:tcW w:w="7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5"/>
        </w:trPr>
        <w:tc>
          <w:tcPr>
            <w:tcW w:w="7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Red Mountain Capital Partners, LLC</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9,236,368</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14.4%</w:t>
            </w:r>
          </w:p>
        </w:tc>
      </w:tr>
      <w:tr>
        <w:trPr>
          <w:trHeight w:val="216"/>
        </w:trPr>
        <w:tc>
          <w:tcPr>
            <w:tcW w:w="7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Red Mountain Partners, L.P.</w:t>
            </w:r>
          </w:p>
        </w:tc>
        <w:tc>
          <w:tcPr>
            <w:tcW w:w="14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7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RMCP GP LLC</w:t>
            </w:r>
          </w:p>
        </w:tc>
        <w:tc>
          <w:tcPr>
            <w:tcW w:w="14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7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Red Mountain Capital Management, Inc.</w:t>
            </w:r>
          </w:p>
        </w:tc>
        <w:tc>
          <w:tcPr>
            <w:tcW w:w="14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7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Willem Mesdag</w:t>
            </w:r>
          </w:p>
        </w:tc>
        <w:tc>
          <w:tcPr>
            <w:tcW w:w="14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7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10100 Santa Monica Boulevard, Suite 925</w:t>
            </w:r>
          </w:p>
        </w:tc>
        <w:tc>
          <w:tcPr>
            <w:tcW w:w="14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0"/>
        </w:trPr>
        <w:tc>
          <w:tcPr>
            <w:tcW w:w="7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Los Angeles, California 90067</w:t>
            </w:r>
          </w:p>
        </w:tc>
        <w:tc>
          <w:tcPr>
            <w:tcW w:w="146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r>
      <w:tr>
        <w:trPr>
          <w:trHeight w:val="216"/>
        </w:trPr>
        <w:tc>
          <w:tcPr>
            <w:tcW w:w="7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5"/>
        </w:trPr>
        <w:tc>
          <w:tcPr>
            <w:tcW w:w="7940" w:type="dxa"/>
            <w:vAlign w:val="bottom"/>
            <w:gridSpan w:val="2"/>
          </w:tcPr>
          <w:p>
            <w:pPr>
              <w:spacing w:after="0"/>
              <w:rPr>
                <w:sz w:val="20"/>
                <w:szCs w:val="20"/>
                <w:color w:val="auto"/>
              </w:rPr>
            </w:pPr>
            <w:r>
              <w:rPr>
                <w:rFonts w:ascii="Arial" w:cs="Arial" w:eastAsia="Arial" w:hAnsi="Arial"/>
                <w:sz w:val="18"/>
                <w:szCs w:val="18"/>
                <w:color w:val="auto"/>
              </w:rPr>
              <w:t>Seymour Holtzman</w:t>
            </w:r>
          </w:p>
        </w:tc>
        <w:tc>
          <w:tcPr>
            <w:tcW w:w="1460" w:type="dxa"/>
            <w:vAlign w:val="bottom"/>
          </w:tcPr>
          <w:p>
            <w:pPr>
              <w:jc w:val="right"/>
              <w:spacing w:after="0"/>
              <w:rPr>
                <w:sz w:val="20"/>
                <w:szCs w:val="20"/>
                <w:color w:val="auto"/>
              </w:rPr>
            </w:pPr>
            <w:r>
              <w:rPr>
                <w:rFonts w:ascii="Arial" w:cs="Arial" w:eastAsia="Arial" w:hAnsi="Arial"/>
                <w:sz w:val="18"/>
                <w:szCs w:val="18"/>
                <w:color w:val="auto"/>
              </w:rPr>
              <w:t>4,092,018</w:t>
            </w:r>
          </w:p>
        </w:tc>
        <w:tc>
          <w:tcPr>
            <w:tcW w:w="480" w:type="dxa"/>
            <w:vAlign w:val="bottom"/>
          </w:tcPr>
          <w:p>
            <w:pPr>
              <w:jc w:val="right"/>
              <w:spacing w:after="0"/>
              <w:rPr>
                <w:sz w:val="20"/>
                <w:szCs w:val="20"/>
                <w:color w:val="auto"/>
              </w:rPr>
            </w:pPr>
            <w:r>
              <w:rPr>
                <w:rFonts w:ascii="Arial" w:cs="Arial" w:eastAsia="Arial" w:hAnsi="Arial"/>
                <w:sz w:val="18"/>
                <w:szCs w:val="18"/>
                <w:color w:val="auto"/>
              </w:rPr>
              <w:t>(4)</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7940" w:type="dxa"/>
            <w:vAlign w:val="bottom"/>
            <w:gridSpan w:val="2"/>
          </w:tcPr>
          <w:p>
            <w:pPr>
              <w:spacing w:after="0"/>
              <w:rPr>
                <w:sz w:val="20"/>
                <w:szCs w:val="20"/>
                <w:color w:val="auto"/>
              </w:rPr>
            </w:pPr>
            <w:r>
              <w:rPr>
                <w:rFonts w:ascii="Arial" w:cs="Arial" w:eastAsia="Arial" w:hAnsi="Arial"/>
                <w:sz w:val="18"/>
                <w:szCs w:val="18"/>
                <w:color w:val="auto"/>
              </w:rPr>
              <w:t>100 N Wilkes Barre Blvd.</w:t>
            </w:r>
          </w:p>
        </w:tc>
        <w:tc>
          <w:tcPr>
            <w:tcW w:w="1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0"/>
        </w:trPr>
        <w:tc>
          <w:tcPr>
            <w:tcW w:w="7940" w:type="dxa"/>
            <w:vAlign w:val="bottom"/>
            <w:gridSpan w:val="2"/>
          </w:tcPr>
          <w:p>
            <w:pPr>
              <w:spacing w:after="0"/>
              <w:rPr>
                <w:sz w:val="20"/>
                <w:szCs w:val="20"/>
                <w:color w:val="auto"/>
              </w:rPr>
            </w:pPr>
            <w:r>
              <w:rPr>
                <w:rFonts w:ascii="Arial" w:cs="Arial" w:eastAsia="Arial" w:hAnsi="Arial"/>
                <w:sz w:val="18"/>
                <w:szCs w:val="18"/>
                <w:color w:val="auto"/>
              </w:rPr>
              <w:t>Wilkes Barre, PA 18702</w:t>
            </w:r>
          </w:p>
        </w:tc>
        <w:tc>
          <w:tcPr>
            <w:tcW w:w="14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pacing w:after="0" w:line="202" w:lineRule="exact"/>
        <w:rPr>
          <w:sz w:val="20"/>
          <w:szCs w:val="20"/>
          <w:color w:val="auto"/>
        </w:rPr>
      </w:pPr>
    </w:p>
    <w:p>
      <w:pPr>
        <w:ind w:left="740" w:right="40" w:hanging="368"/>
        <w:spacing w:after="0" w:line="285" w:lineRule="auto"/>
        <w:tabs>
          <w:tab w:leader="none" w:pos="7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Beneficial ownership is determined in accordance with the rules of the SEC and generally includes voting or investment power with respect to securities. In computing the number of shares beneficially owned by a person and the percentage ownership of that person, shares of our common stock subject to options and warrants held by that person that are currently exercisable, or that become exercisable within 60 days, and shares of deferred stock are deemed outstanding. Such shares, however, are not deemed outstanding for the purpose of computing the percentage ownership of any other person. Percentage ownership is based on 63,526,601 shares of our common stock outstanding as of May 14, 2021.</w:t>
      </w:r>
    </w:p>
    <w:p>
      <w:pPr>
        <w:spacing w:after="0" w:line="1" w:lineRule="exact"/>
        <w:rPr>
          <w:rFonts w:ascii="Arial" w:cs="Arial" w:eastAsia="Arial" w:hAnsi="Arial"/>
          <w:sz w:val="16"/>
          <w:szCs w:val="16"/>
          <w:color w:val="auto"/>
        </w:rPr>
      </w:pPr>
    </w:p>
    <w:p>
      <w:pPr>
        <w:ind w:left="740" w:right="100" w:hanging="368"/>
        <w:spacing w:after="0" w:line="250" w:lineRule="auto"/>
        <w:tabs>
          <w:tab w:leader="none" w:pos="7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Schedule 13G dated February 28, 2021. AWM Investment Company, Inc. is the investment adviser to Special Situations Fund III QP, L.P. (“SSFQP”), Special Situations Cayman Fund, L.P. (“SSCF”) and Special Situations Private Equity Fund, L.P. (“SSPE,” and together with SSFQP and SSCF, “the Funds”). Of the shares reflected in the table, (i) 6,595,511 shares are held directly by SSFQP, (ii) 2,293,378 shares are held directly by SSCF and (iii) 2,222,222 shares are held directly by SSPE. As the investment adviser to the Funds, AWM holds sole voting and investment power over these shares.</w:t>
      </w:r>
    </w:p>
    <w:p>
      <w:pPr>
        <w:spacing w:after="0" w:line="1" w:lineRule="exact"/>
        <w:rPr>
          <w:rFonts w:ascii="Arial" w:cs="Arial" w:eastAsia="Arial" w:hAnsi="Arial"/>
          <w:sz w:val="18"/>
          <w:szCs w:val="18"/>
          <w:color w:val="auto"/>
        </w:rPr>
      </w:pPr>
    </w:p>
    <w:p>
      <w:pPr>
        <w:ind w:left="740" w:hanging="368"/>
        <w:spacing w:after="0" w:line="266" w:lineRule="auto"/>
        <w:tabs>
          <w:tab w:leader="none" w:pos="7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Beneficial ownership information for Red Mountain Partners, L.P. (“RMP”) and Red Mountain Capital Partners LLC (“RMCP LLC”) is based on a Form 4 dated February 3, 2021. Of the shares reflected in the table, (i) 7,522,354 shares are held directly by RMP, (ii) 1,263,446 shares are held directly by RMCP LLC, (iii) 15,000 shares are receivable upon exercise of options held by Mr. Mesdag and (iv) 435,568 shares are receivable upon settlement of deferred stock upon Mr. Mesdag’s separation from the Board. RMCP GP LLC (“RMCP GP”) is the general partner of RMP. RMCP LLC is the managing member of RMCP GP. Red Mountain Capital Management, Inc. (“RMCM”) is the managing member of RMCP LLC. Mr. Mesdag is the president, sole executive officer, sole director and sole shareholder of RMCM. Each of Mr. Mesdag, RMCM, RMCP LLC, and RMCP GP, by virtue of their direct or indirect control of RMP, may be deemed to beneficially own some or all of the securities reported as being held by RMP. Each of Mr. Mesdag and RMCM, by virtue of their direct or indirect control of RMCP LLC, may be deemed to beneficially own some or all of the securities reported as being held by RMCP LLC. Each of RMCP LLC, RMP and RMCP GP affirms membership in a group with each other but disclaims membership in a group with RMCM or Mr. Mesdag. Each of RMCM and Mr. Mesdag disclaims membership in a group with any person. The shares are held in a margin account. There are currently no margin borrowings on the account, nor have there ever been, and the shares are not otherwise pledged. Pursuant to letter agreements between RMCP LLC and the Company, RMCP LLC agreed, without prior written consent from the Company, not to acquire, offer to acquire or agree to acquire, directly or indirectly, by purchase or otherwise (i) any additional common stock of the Company or direct or indirect rights to acquire common stock of the Company, such that RMCP LLC and its affiliates collectively would beneficially own, for purposes of Section 13(d) of the Exchange Act, and Rule 13d-3 thereunder, after giving effect to such acquisition, in excess of 17.12% of the amount of the issued and outstanding common stock of the Company, and up to 20% but only to the extent</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sectPr>
      </w:pPr>
    </w:p>
    <w:bookmarkStart w:id="28" w:name="page29"/>
    <w:bookmarkEnd w:id="28"/>
    <w:p>
      <w:pPr>
        <w:ind w:left="368" w:right="100"/>
        <w:spacing w:after="0" w:line="291" w:lineRule="auto"/>
        <w:rPr>
          <w:sz w:val="20"/>
          <w:szCs w:val="20"/>
          <w:color w:val="auto"/>
        </w:rPr>
      </w:pPr>
      <w:r>
        <w:rPr>
          <w:rFonts w:ascii="Arial" w:cs="Arial" w:eastAsia="Arial" w:hAnsi="Arial"/>
          <w:sz w:val="16"/>
          <w:szCs w:val="16"/>
          <w:color w:val="auto"/>
        </w:rPr>
        <w:t>such increase either results from compensation to Mr. Mesdag for services on the Board or a reduction in the number of shares of common stock issued and outstanding, or (ii) any assets of the Company or any subsidiary thereof or any successor to or person in control of the Company.</w:t>
      </w:r>
    </w:p>
    <w:p>
      <w:pPr>
        <w:jc w:val="both"/>
        <w:ind w:left="368" w:hanging="368"/>
        <w:spacing w:after="0" w:line="255" w:lineRule="auto"/>
        <w:tabs>
          <w:tab w:leader="none" w:pos="368"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Amendment No. 61 to Schedule 13D dated November 9, 2020. Of these shares, 339,594 shares are held by Jewelcor Management, Inc. Mr. Holtzman is the chairman, chief executive officer and president and, together with his wife, indirectly, the majority shareholder of Jewelcor Management, Inc.</w:t>
      </w:r>
    </w:p>
    <w:p>
      <w:pPr>
        <w:spacing w:after="0" w:line="200" w:lineRule="exact"/>
        <w:rPr>
          <w:sz w:val="20"/>
          <w:szCs w:val="20"/>
          <w:color w:val="auto"/>
        </w:rPr>
      </w:pPr>
    </w:p>
    <w:p>
      <w:pPr>
        <w:spacing w:after="0" w:line="206" w:lineRule="exact"/>
        <w:rPr>
          <w:sz w:val="20"/>
          <w:szCs w:val="20"/>
          <w:color w:val="auto"/>
        </w:rPr>
      </w:pPr>
    </w:p>
    <w:p>
      <w:pPr>
        <w:jc w:val="center"/>
        <w:ind w:right="352"/>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207645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8"/>
          </w:cols>
          <w:pgMar w:left="692" w:top="341" w:right="339" w:bottom="1440" w:gutter="0" w:footer="0" w:header="0"/>
        </w:sectPr>
      </w:pPr>
    </w:p>
    <w:bookmarkStart w:id="29" w:name="page30"/>
    <w:bookmarkEnd w:id="29"/>
    <w:p>
      <w:pPr>
        <w:ind w:left="20"/>
        <w:spacing w:after="0"/>
        <w:rPr>
          <w:sz w:val="20"/>
          <w:szCs w:val="20"/>
          <w:color w:val="auto"/>
        </w:rPr>
      </w:pPr>
      <w:r>
        <w:rPr>
          <w:rFonts w:ascii="Arial" w:cs="Arial" w:eastAsia="Arial" w:hAnsi="Arial"/>
          <w:sz w:val="18"/>
          <w:szCs w:val="18"/>
          <w:b w:val="1"/>
          <w:bCs w:val="1"/>
          <w:color w:val="auto"/>
        </w:rPr>
        <w:t>Security Ownership of Management</w:t>
      </w:r>
    </w:p>
    <w:p>
      <w:pPr>
        <w:spacing w:after="0" w:line="229"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The following table sets forth certain information as of May 14, 2021, with respect to our directors, our Named Executive Officers (as defined above under “</w:t>
      </w:r>
      <w:r>
        <w:rPr>
          <w:rFonts w:ascii="Arial" w:cs="Arial" w:eastAsia="Arial" w:hAnsi="Arial"/>
          <w:sz w:val="16"/>
          <w:szCs w:val="16"/>
          <w:i w:val="1"/>
          <w:iCs w:val="1"/>
          <w:color w:val="auto"/>
        </w:rPr>
        <w:t>Executive Compensation</w:t>
      </w:r>
      <w:r>
        <w:rPr>
          <w:rFonts w:ascii="Arial" w:cs="Arial" w:eastAsia="Arial" w:hAnsi="Arial"/>
          <w:sz w:val="16"/>
          <w:szCs w:val="16"/>
          <w:color w:val="auto"/>
        </w:rPr>
        <w:t>”) and our directors and executive officers as a group. Except as indicated, each person has sole voting and investment power with respect to all shares of our common stock shown as beneficially owned by such person, subject to community property laws where applicable.</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jc w:val="right"/>
              <w:ind w:right="31"/>
              <w:spacing w:after="0"/>
              <w:rPr>
                <w:sz w:val="20"/>
                <w:szCs w:val="20"/>
                <w:color w:val="auto"/>
              </w:rPr>
            </w:pPr>
            <w:r>
              <w:rPr>
                <w:rFonts w:ascii="Arial" w:cs="Arial" w:eastAsia="Arial" w:hAnsi="Arial"/>
                <w:sz w:val="16"/>
                <w:szCs w:val="16"/>
                <w:b w:val="1"/>
                <w:bCs w:val="1"/>
                <w:color w:val="auto"/>
                <w:w w:val="97"/>
              </w:rPr>
              <w:t>Number of Shares</w:t>
            </w:r>
          </w:p>
        </w:tc>
        <w:tc>
          <w:tcPr>
            <w:tcW w:w="480" w:type="dxa"/>
            <w:vAlign w:val="bottom"/>
          </w:tcPr>
          <w:p>
            <w:pPr>
              <w:spacing w:after="0"/>
              <w:rPr>
                <w:sz w:val="17"/>
                <w:szCs w:val="17"/>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w w:val="89"/>
              </w:rPr>
              <w:t>Percent of Class</w:t>
            </w:r>
          </w:p>
        </w:tc>
      </w:tr>
      <w:tr>
        <w:trPr>
          <w:trHeight w:val="213"/>
        </w:trPr>
        <w:tc>
          <w:tcPr>
            <w:tcW w:w="7920" w:type="dxa"/>
            <w:vAlign w:val="bottom"/>
            <w:gridSpan w:val="2"/>
          </w:tcPr>
          <w:p>
            <w:pPr>
              <w:spacing w:after="0"/>
              <w:rPr>
                <w:sz w:val="20"/>
                <w:szCs w:val="20"/>
                <w:color w:val="auto"/>
              </w:rPr>
            </w:pPr>
            <w:r>
              <w:rPr>
                <w:rFonts w:ascii="Arial" w:cs="Arial" w:eastAsia="Arial" w:hAnsi="Arial"/>
                <w:sz w:val="16"/>
                <w:szCs w:val="16"/>
                <w:b w:val="1"/>
                <w:bCs w:val="1"/>
                <w:color w:val="auto"/>
              </w:rPr>
              <w:t>Name and Title</w:t>
            </w: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w w:val="94"/>
              </w:rPr>
              <w:t>Beneficially Owned</w:t>
            </w:r>
          </w:p>
        </w:tc>
        <w:tc>
          <w:tcPr>
            <w:tcW w:w="480" w:type="dxa"/>
            <w:vAlign w:val="bottom"/>
          </w:tcPr>
          <w:p>
            <w:pPr>
              <w:spacing w:after="0"/>
              <w:rPr>
                <w:sz w:val="18"/>
                <w:szCs w:val="18"/>
                <w:color w:val="auto"/>
              </w:rPr>
            </w:pPr>
          </w:p>
        </w:tc>
        <w:tc>
          <w:tcPr>
            <w:tcW w:w="1180" w:type="dxa"/>
            <w:vAlign w:val="bottom"/>
          </w:tcPr>
          <w:p>
            <w:pPr>
              <w:jc w:val="right"/>
              <w:ind w:right="411"/>
              <w:spacing w:after="0"/>
              <w:rPr>
                <w:sz w:val="20"/>
                <w:szCs w:val="20"/>
                <w:color w:val="auto"/>
              </w:rPr>
            </w:pPr>
            <w:r>
              <w:rPr>
                <w:rFonts w:ascii="Arial" w:cs="Arial" w:eastAsia="Arial" w:hAnsi="Arial"/>
                <w:sz w:val="16"/>
                <w:szCs w:val="16"/>
                <w:b w:val="1"/>
                <w:bCs w:val="1"/>
                <w:color w:val="auto"/>
              </w:rPr>
              <w:t>(1)</w:t>
            </w:r>
          </w:p>
        </w:tc>
        <w:tc>
          <w:tcPr>
            <w:tcW w:w="180" w:type="dxa"/>
            <w:vAlign w:val="bottom"/>
          </w:tcPr>
          <w:p>
            <w:pPr>
              <w:spacing w:after="0"/>
              <w:rPr>
                <w:sz w:val="18"/>
                <w:szCs w:val="18"/>
                <w:color w:val="auto"/>
              </w:rPr>
            </w:pPr>
          </w:p>
        </w:tc>
      </w:tr>
      <w:tr>
        <w:trPr>
          <w:trHeight w:val="226"/>
        </w:trPr>
        <w:tc>
          <w:tcPr>
            <w:tcW w:w="78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Lionel F. Conacher</w:t>
            </w:r>
          </w:p>
        </w:tc>
        <w:tc>
          <w:tcPr>
            <w:tcW w:w="120" w:type="dxa"/>
            <w:vAlign w:val="bottom"/>
            <w:tcBorders>
              <w:top w:val="single" w:sz="8" w:color="CFF0FC"/>
            </w:tcBorders>
            <w:shd w:val="clear" w:color="auto" w:fill="CFF0FC"/>
          </w:tcPr>
          <w:p>
            <w:pPr>
              <w:spacing w:after="0"/>
              <w:rPr>
                <w:sz w:val="19"/>
                <w:szCs w:val="19"/>
                <w:color w:val="auto"/>
              </w:rPr>
            </w:pP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353,017</w:t>
            </w:r>
          </w:p>
        </w:tc>
        <w:tc>
          <w:tcPr>
            <w:tcW w:w="4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FF0FC"/>
            </w:tcBorders>
            <w:shd w:val="clear" w:color="auto" w:fill="CFF0FC"/>
          </w:tcPr>
          <w:p>
            <w:pPr>
              <w:spacing w:after="0"/>
              <w:rPr>
                <w:sz w:val="19"/>
                <w:szCs w:val="19"/>
                <w:color w:val="auto"/>
              </w:rPr>
            </w:pPr>
          </w:p>
        </w:tc>
      </w:tr>
      <w:tr>
        <w:trPr>
          <w:trHeight w:val="229"/>
        </w:trPr>
        <w:tc>
          <w:tcPr>
            <w:tcW w:w="7920" w:type="dxa"/>
            <w:vAlign w:val="bottom"/>
            <w:gridSpan w:val="2"/>
          </w:tcPr>
          <w:p>
            <w:pPr>
              <w:ind w:left="140"/>
              <w:spacing w:after="0"/>
              <w:rPr>
                <w:sz w:val="20"/>
                <w:szCs w:val="20"/>
                <w:color w:val="auto"/>
              </w:rPr>
            </w:pPr>
            <w:r>
              <w:rPr>
                <w:rFonts w:ascii="Arial" w:cs="Arial" w:eastAsia="Arial" w:hAnsi="Arial"/>
                <w:sz w:val="18"/>
                <w:szCs w:val="18"/>
                <w:color w:val="auto"/>
              </w:rPr>
              <w:t>Chairman of the Board</w:t>
            </w:r>
          </w:p>
        </w:tc>
        <w:tc>
          <w:tcPr>
            <w:tcW w:w="1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79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Harvey S. Kanter</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660,358</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w:t>
            </w:r>
          </w:p>
        </w:tc>
      </w:tr>
      <w:tr>
        <w:trPr>
          <w:trHeight w:val="229"/>
        </w:trPr>
        <w:tc>
          <w:tcPr>
            <w:tcW w:w="7920" w:type="dxa"/>
            <w:vAlign w:val="bottom"/>
            <w:gridSpan w:val="2"/>
          </w:tcPr>
          <w:p>
            <w:pPr>
              <w:ind w:left="140"/>
              <w:spacing w:after="0"/>
              <w:rPr>
                <w:sz w:val="20"/>
                <w:szCs w:val="20"/>
                <w:color w:val="auto"/>
              </w:rPr>
            </w:pPr>
            <w:r>
              <w:rPr>
                <w:rFonts w:ascii="Arial" w:cs="Arial" w:eastAsia="Arial" w:hAnsi="Arial"/>
                <w:sz w:val="18"/>
                <w:szCs w:val="18"/>
                <w:color w:val="auto"/>
              </w:rPr>
              <w:t>President and Chief Executive Officer and Director</w:t>
            </w:r>
          </w:p>
        </w:tc>
        <w:tc>
          <w:tcPr>
            <w:tcW w:w="1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29"/>
        </w:trPr>
        <w:tc>
          <w:tcPr>
            <w:tcW w:w="79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Peter H. Stratton, Jr.</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296,195</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r>
      <w:tr>
        <w:trPr>
          <w:trHeight w:val="230"/>
        </w:trPr>
        <w:tc>
          <w:tcPr>
            <w:tcW w:w="7920" w:type="dxa"/>
            <w:vAlign w:val="bottom"/>
            <w:gridSpan w:val="2"/>
          </w:tcPr>
          <w:p>
            <w:pPr>
              <w:ind w:left="140"/>
              <w:spacing w:after="0"/>
              <w:rPr>
                <w:sz w:val="20"/>
                <w:szCs w:val="20"/>
                <w:color w:val="auto"/>
              </w:rPr>
            </w:pPr>
            <w:r>
              <w:rPr>
                <w:rFonts w:ascii="Arial" w:cs="Arial" w:eastAsia="Arial" w:hAnsi="Arial"/>
                <w:sz w:val="18"/>
                <w:szCs w:val="18"/>
                <w:color w:val="auto"/>
              </w:rPr>
              <w:t>Executive Vice President, Chief Financial Officer and Treasurer</w:t>
            </w:r>
          </w:p>
        </w:tc>
        <w:tc>
          <w:tcPr>
            <w:tcW w:w="1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29"/>
        </w:trPr>
        <w:tc>
          <w:tcPr>
            <w:tcW w:w="79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Ujjwal Dhoot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155,063</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r>
      <w:tr>
        <w:trPr>
          <w:trHeight w:val="229"/>
        </w:trPr>
        <w:tc>
          <w:tcPr>
            <w:tcW w:w="7920" w:type="dxa"/>
            <w:vAlign w:val="bottom"/>
            <w:gridSpan w:val="2"/>
          </w:tcPr>
          <w:p>
            <w:pPr>
              <w:ind w:left="140"/>
              <w:spacing w:after="0"/>
              <w:rPr>
                <w:sz w:val="20"/>
                <w:szCs w:val="20"/>
                <w:color w:val="auto"/>
              </w:rPr>
            </w:pPr>
            <w:r>
              <w:rPr>
                <w:rFonts w:ascii="Arial" w:cs="Arial" w:eastAsia="Arial" w:hAnsi="Arial"/>
                <w:sz w:val="18"/>
                <w:szCs w:val="18"/>
                <w:color w:val="auto"/>
              </w:rPr>
              <w:t>Chief Marketing Officer</w:t>
            </w:r>
          </w:p>
        </w:tc>
        <w:tc>
          <w:tcPr>
            <w:tcW w:w="1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79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Robert S. Molloy</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382,492</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r>
      <w:tr>
        <w:trPr>
          <w:trHeight w:val="229"/>
        </w:trPr>
        <w:tc>
          <w:tcPr>
            <w:tcW w:w="7920" w:type="dxa"/>
            <w:vAlign w:val="bottom"/>
            <w:gridSpan w:val="2"/>
          </w:tcPr>
          <w:p>
            <w:pPr>
              <w:ind w:left="140"/>
              <w:spacing w:after="0"/>
              <w:rPr>
                <w:sz w:val="20"/>
                <w:szCs w:val="20"/>
                <w:color w:val="auto"/>
              </w:rPr>
            </w:pPr>
            <w:r>
              <w:rPr>
                <w:rFonts w:ascii="Arial" w:cs="Arial" w:eastAsia="Arial" w:hAnsi="Arial"/>
                <w:sz w:val="18"/>
                <w:szCs w:val="18"/>
                <w:color w:val="auto"/>
              </w:rPr>
              <w:t>General Counsel and Secretary</w:t>
            </w:r>
          </w:p>
        </w:tc>
        <w:tc>
          <w:tcPr>
            <w:tcW w:w="1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79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Anthony J. Gaeta</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187,199</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r>
      <w:tr>
        <w:trPr>
          <w:trHeight w:val="229"/>
        </w:trPr>
        <w:tc>
          <w:tcPr>
            <w:tcW w:w="7920" w:type="dxa"/>
            <w:vAlign w:val="bottom"/>
            <w:gridSpan w:val="2"/>
          </w:tcPr>
          <w:p>
            <w:pPr>
              <w:ind w:left="140"/>
              <w:spacing w:after="0"/>
              <w:rPr>
                <w:sz w:val="20"/>
                <w:szCs w:val="20"/>
                <w:color w:val="auto"/>
              </w:rPr>
            </w:pPr>
            <w:r>
              <w:rPr>
                <w:rFonts w:ascii="Arial" w:cs="Arial" w:eastAsia="Arial" w:hAnsi="Arial"/>
                <w:sz w:val="18"/>
                <w:szCs w:val="18"/>
                <w:color w:val="auto"/>
              </w:rPr>
              <w:t>Senior Vice President, Store Sales and Operations</w:t>
            </w:r>
          </w:p>
        </w:tc>
        <w:tc>
          <w:tcPr>
            <w:tcW w:w="1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29"/>
        </w:trPr>
        <w:tc>
          <w:tcPr>
            <w:tcW w:w="79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Jack Boyle, Director</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460,654</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r>
      <w:tr>
        <w:trPr>
          <w:trHeight w:val="230"/>
        </w:trPr>
        <w:tc>
          <w:tcPr>
            <w:tcW w:w="7920" w:type="dxa"/>
            <w:vAlign w:val="bottom"/>
            <w:gridSpan w:val="2"/>
          </w:tcPr>
          <w:p>
            <w:pPr>
              <w:spacing w:after="0"/>
              <w:rPr>
                <w:sz w:val="20"/>
                <w:szCs w:val="20"/>
                <w:color w:val="auto"/>
              </w:rPr>
            </w:pPr>
            <w:r>
              <w:rPr>
                <w:rFonts w:ascii="Arial" w:cs="Arial" w:eastAsia="Arial" w:hAnsi="Arial"/>
                <w:sz w:val="18"/>
                <w:szCs w:val="18"/>
                <w:color w:val="auto"/>
              </w:rPr>
              <w:t>Willem Mesdag, Director</w:t>
            </w:r>
          </w:p>
        </w:tc>
        <w:tc>
          <w:tcPr>
            <w:tcW w:w="1480" w:type="dxa"/>
            <w:vAlign w:val="bottom"/>
          </w:tcPr>
          <w:p>
            <w:pPr>
              <w:jc w:val="right"/>
              <w:spacing w:after="0"/>
              <w:rPr>
                <w:sz w:val="20"/>
                <w:szCs w:val="20"/>
                <w:color w:val="auto"/>
              </w:rPr>
            </w:pPr>
            <w:r>
              <w:rPr>
                <w:rFonts w:ascii="Arial" w:cs="Arial" w:eastAsia="Arial" w:hAnsi="Arial"/>
                <w:sz w:val="18"/>
                <w:szCs w:val="18"/>
                <w:color w:val="auto"/>
              </w:rPr>
              <w:t>9,236,368</w:t>
            </w:r>
          </w:p>
        </w:tc>
        <w:tc>
          <w:tcPr>
            <w:tcW w:w="480" w:type="dxa"/>
            <w:vAlign w:val="bottom"/>
          </w:tcPr>
          <w:p>
            <w:pPr>
              <w:jc w:val="right"/>
              <w:spacing w:after="0"/>
              <w:rPr>
                <w:sz w:val="20"/>
                <w:szCs w:val="20"/>
                <w:color w:val="auto"/>
              </w:rPr>
            </w:pPr>
            <w:r>
              <w:rPr>
                <w:rFonts w:ascii="Arial" w:cs="Arial" w:eastAsia="Arial" w:hAnsi="Arial"/>
                <w:sz w:val="18"/>
                <w:szCs w:val="18"/>
                <w:color w:val="auto"/>
              </w:rPr>
              <w:t>(8)</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14.4%</w:t>
            </w:r>
          </w:p>
        </w:tc>
      </w:tr>
      <w:tr>
        <w:trPr>
          <w:trHeight w:val="229"/>
        </w:trPr>
        <w:tc>
          <w:tcPr>
            <w:tcW w:w="79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Mitchell S. Presser, Director</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689,783</w:t>
            </w:r>
          </w:p>
        </w:tc>
        <w:tc>
          <w:tcPr>
            <w:tcW w:w="48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w:t>
            </w:r>
          </w:p>
        </w:tc>
      </w:tr>
      <w:tr>
        <w:trPr>
          <w:trHeight w:val="229"/>
        </w:trPr>
        <w:tc>
          <w:tcPr>
            <w:tcW w:w="7920" w:type="dxa"/>
            <w:vAlign w:val="bottom"/>
            <w:gridSpan w:val="2"/>
          </w:tcPr>
          <w:p>
            <w:pPr>
              <w:spacing w:after="0"/>
              <w:rPr>
                <w:sz w:val="20"/>
                <w:szCs w:val="20"/>
                <w:color w:val="auto"/>
              </w:rPr>
            </w:pPr>
            <w:r>
              <w:rPr>
                <w:rFonts w:ascii="Arial" w:cs="Arial" w:eastAsia="Arial" w:hAnsi="Arial"/>
                <w:sz w:val="18"/>
                <w:szCs w:val="18"/>
                <w:color w:val="auto"/>
              </w:rPr>
              <w:t>Elaine K. Rubin, Director</w:t>
            </w:r>
          </w:p>
        </w:tc>
        <w:tc>
          <w:tcPr>
            <w:tcW w:w="1480" w:type="dxa"/>
            <w:vAlign w:val="bottom"/>
          </w:tcPr>
          <w:p>
            <w:pPr>
              <w:jc w:val="right"/>
              <w:spacing w:after="0"/>
              <w:rPr>
                <w:sz w:val="20"/>
                <w:szCs w:val="20"/>
                <w:color w:val="auto"/>
              </w:rPr>
            </w:pPr>
            <w:r>
              <w:rPr>
                <w:rFonts w:ascii="Arial" w:cs="Arial" w:eastAsia="Arial" w:hAnsi="Arial"/>
                <w:sz w:val="18"/>
                <w:szCs w:val="18"/>
                <w:color w:val="auto"/>
              </w:rPr>
              <w:t>40,000</w:t>
            </w:r>
          </w:p>
        </w:tc>
        <w:tc>
          <w:tcPr>
            <w:tcW w:w="4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r>
      <w:tr>
        <w:trPr>
          <w:trHeight w:val="230"/>
        </w:trPr>
        <w:tc>
          <w:tcPr>
            <w:tcW w:w="79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Ivy Ross, Director</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240,589</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r>
      <w:tr>
        <w:trPr>
          <w:trHeight w:val="230"/>
        </w:trPr>
        <w:tc>
          <w:tcPr>
            <w:tcW w:w="7920" w:type="dxa"/>
            <w:vAlign w:val="bottom"/>
            <w:gridSpan w:val="2"/>
          </w:tcPr>
          <w:p>
            <w:pPr>
              <w:spacing w:after="0"/>
              <w:rPr>
                <w:sz w:val="20"/>
                <w:szCs w:val="20"/>
                <w:color w:val="auto"/>
              </w:rPr>
            </w:pPr>
            <w:r>
              <w:rPr>
                <w:rFonts w:ascii="Arial" w:cs="Arial" w:eastAsia="Arial" w:hAnsi="Arial"/>
                <w:sz w:val="18"/>
                <w:szCs w:val="18"/>
                <w:color w:val="auto"/>
              </w:rPr>
              <w:t>Directors and executive officers as a group (15 persons)</w:t>
            </w:r>
          </w:p>
        </w:tc>
        <w:tc>
          <w:tcPr>
            <w:tcW w:w="1480" w:type="dxa"/>
            <w:vAlign w:val="bottom"/>
          </w:tcPr>
          <w:p>
            <w:pPr>
              <w:jc w:val="right"/>
              <w:spacing w:after="0"/>
              <w:rPr>
                <w:sz w:val="20"/>
                <w:szCs w:val="20"/>
                <w:color w:val="auto"/>
              </w:rPr>
            </w:pPr>
            <w:r>
              <w:rPr>
                <w:rFonts w:ascii="Arial" w:cs="Arial" w:eastAsia="Arial" w:hAnsi="Arial"/>
                <w:sz w:val="18"/>
                <w:szCs w:val="18"/>
                <w:color w:val="auto"/>
              </w:rPr>
              <w:t>13,303,719</w:t>
            </w:r>
          </w:p>
        </w:tc>
        <w:tc>
          <w:tcPr>
            <w:tcW w:w="480" w:type="dxa"/>
            <w:vAlign w:val="bottom"/>
          </w:tcPr>
          <w:p>
            <w:pPr>
              <w:jc w:val="right"/>
              <w:spacing w:after="0"/>
              <w:rPr>
                <w:sz w:val="20"/>
                <w:szCs w:val="20"/>
                <w:color w:val="auto"/>
              </w:rPr>
            </w:pPr>
            <w:r>
              <w:rPr>
                <w:rFonts w:ascii="Arial" w:cs="Arial" w:eastAsia="Arial" w:hAnsi="Arial"/>
                <w:sz w:val="18"/>
                <w:szCs w:val="18"/>
                <w:color w:val="auto"/>
              </w:rPr>
              <w:t>(9)</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20.5%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95123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248" w:lineRule="exact"/>
        <w:rPr>
          <w:sz w:val="20"/>
          <w:szCs w:val="20"/>
          <w:color w:val="auto"/>
        </w:rPr>
      </w:pPr>
    </w:p>
    <w:p>
      <w:pPr>
        <w:spacing w:after="0"/>
        <w:tabs>
          <w:tab w:leader="none" w:pos="2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Less than 1%</w:t>
      </w:r>
    </w:p>
    <w:p>
      <w:pPr>
        <w:spacing w:after="0" w:line="23" w:lineRule="exact"/>
        <w:rPr>
          <w:sz w:val="20"/>
          <w:szCs w:val="20"/>
          <w:color w:val="auto"/>
        </w:rPr>
      </w:pPr>
    </w:p>
    <w:p>
      <w:pPr>
        <w:ind w:left="380" w:right="100" w:hanging="372"/>
        <w:spacing w:after="0" w:line="281" w:lineRule="auto"/>
        <w:tabs>
          <w:tab w:leader="none" w:pos="3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Beneficial ownership is determined in accordance with the rules of the SEC and generally includes voting or investment power with respect to securities. In computing the number of shares beneficially owned by a person and the percentage ownership of that person, shares of our common stock subject to options and warrants held by that person that are currently exercisable, or that become exercisable within 60 days, and shares of deferred stock are deemed outstanding. Such shares, however, are not deemed outstanding for the purpose of computing the percentage ownership of any other person. Percentage ownership is based on 63,526,601 shares of our common stock outstanding as of May 14, 2021.</w:t>
      </w:r>
    </w:p>
    <w:p>
      <w:pPr>
        <w:spacing w:after="0" w:line="2" w:lineRule="exact"/>
        <w:rPr>
          <w:rFonts w:ascii="Arial" w:cs="Arial" w:eastAsia="Arial" w:hAnsi="Arial"/>
          <w:sz w:val="16"/>
          <w:szCs w:val="16"/>
          <w:color w:val="auto"/>
        </w:rPr>
      </w:pPr>
    </w:p>
    <w:p>
      <w:pPr>
        <w:ind w:left="380" w:hanging="372"/>
        <w:spacing w:after="0"/>
        <w:tabs>
          <w:tab w:leader="none" w:pos="3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Includes 15,000 shares subject to stock options exercisable within 60 days.</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Includes 371,020 shares subject to stock options exercisable within 60 days.</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Includes 82,725 shares subject to stock options exercisable within 60 days.</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Includes 37,146 shares subject to stock options exercisable within 60 days.</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Includes 101,384 shares subject to stock options exercisable within 60 days.</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Includes 55,246 shares subject to stock options exercisable within 60 days.</w:t>
      </w:r>
    </w:p>
    <w:p>
      <w:pPr>
        <w:spacing w:after="0" w:line="9" w:lineRule="exact"/>
        <w:rPr>
          <w:rFonts w:ascii="Arial" w:cs="Arial" w:eastAsia="Arial" w:hAnsi="Arial"/>
          <w:sz w:val="18"/>
          <w:szCs w:val="18"/>
          <w:color w:val="auto"/>
        </w:rPr>
      </w:pPr>
    </w:p>
    <w:p>
      <w:pPr>
        <w:ind w:left="380" w:right="80" w:hanging="372"/>
        <w:spacing w:after="0" w:line="250" w:lineRule="auto"/>
        <w:tabs>
          <w:tab w:leader="none" w:pos="3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Includes 15,000 shares subject to stock options exercisable within 60 days and 435,568 shares of deferred stock receivable upon Mr. Mesdag’s separation from the Board. Mr. Mesdag is the president, sole executive officer, sole director and sole shareholder of Red Mountain Capital Management, Inc. With the exception of the stock options and deferred stock, all shares are held by Red Mountain Partners, L.P. and Red Mountain Capital Partners, LLC as reported above in footnote (2) to the Security Ownership of Certain Beneficial Owners table. By virtue of his direct or indirect control of Red Mountain Partners, L.P. and Red Mountain Capital Partners, LLC, Mr. Mesdag is deemed to beneficially own all of the securities reported held by Red Mountain Partners, L.P. and Red Mountain Capital Partners, LLC. With the exception of the stock options and deferred stock, these shares are held in a margin account. There are currently no margin borrowings on the account, nor have there ever been, and the shares are not otherwise pledged.</w:t>
      </w:r>
    </w:p>
    <w:p>
      <w:pPr>
        <w:spacing w:after="0" w:line="3" w:lineRule="exact"/>
        <w:rPr>
          <w:rFonts w:ascii="Arial" w:cs="Arial" w:eastAsia="Arial" w:hAnsi="Arial"/>
          <w:sz w:val="18"/>
          <w:szCs w:val="18"/>
          <w:color w:val="auto"/>
        </w:rPr>
      </w:pPr>
    </w:p>
    <w:p>
      <w:pPr>
        <w:ind w:left="380" w:hanging="372"/>
        <w:spacing w:after="0"/>
        <w:tabs>
          <w:tab w:leader="none" w:pos="3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Includes 902,107 shares subject to stock options exercisable within 60 days and 435,568 shares of deferred stock.</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information with respect to our equity compensation plans as of January 30, 2021:</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2"/>
              </w:rPr>
              <w:t>Number of securities</w:t>
            </w:r>
          </w:p>
        </w:tc>
      </w:tr>
      <w:tr>
        <w:trPr>
          <w:trHeight w:val="148"/>
        </w:trPr>
        <w:tc>
          <w:tcPr>
            <w:tcW w:w="5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80" w:type="dxa"/>
            <w:vAlign w:val="bottom"/>
            <w:gridSpan w:val="2"/>
          </w:tcPr>
          <w:p>
            <w:pPr>
              <w:jc w:val="center"/>
              <w:ind w:right="450"/>
              <w:spacing w:after="0"/>
              <w:rPr>
                <w:sz w:val="20"/>
                <w:szCs w:val="20"/>
                <w:color w:val="auto"/>
              </w:rPr>
            </w:pPr>
            <w:r>
              <w:rPr>
                <w:rFonts w:ascii="Arial" w:cs="Arial" w:eastAsia="Arial" w:hAnsi="Arial"/>
                <w:sz w:val="13"/>
                <w:szCs w:val="13"/>
                <w:b w:val="1"/>
                <w:bCs w:val="1"/>
                <w:color w:val="auto"/>
                <w:w w:val="92"/>
              </w:rPr>
              <w:t>Weighted-average</w:t>
            </w:r>
          </w:p>
        </w:tc>
        <w:tc>
          <w:tcPr>
            <w:tcW w:w="17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6"/>
              </w:rPr>
              <w:t>remaining available for</w:t>
            </w:r>
          </w:p>
        </w:tc>
      </w:tr>
      <w:tr>
        <w:trPr>
          <w:trHeight w:val="148"/>
        </w:trPr>
        <w:tc>
          <w:tcPr>
            <w:tcW w:w="5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tcPr>
          <w:p>
            <w:pPr>
              <w:jc w:val="center"/>
              <w:spacing w:after="0"/>
              <w:rPr>
                <w:sz w:val="20"/>
                <w:szCs w:val="20"/>
                <w:color w:val="auto"/>
              </w:rPr>
            </w:pPr>
            <w:r>
              <w:rPr>
                <w:rFonts w:ascii="Arial" w:cs="Arial" w:eastAsia="Arial" w:hAnsi="Arial"/>
                <w:sz w:val="13"/>
                <w:szCs w:val="13"/>
                <w:b w:val="1"/>
                <w:bCs w:val="1"/>
                <w:color w:val="auto"/>
                <w:w w:val="91"/>
              </w:rPr>
              <w:t>Number of securities to be</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80" w:type="dxa"/>
            <w:vAlign w:val="bottom"/>
            <w:gridSpan w:val="2"/>
          </w:tcPr>
          <w:p>
            <w:pPr>
              <w:jc w:val="center"/>
              <w:ind w:right="450"/>
              <w:spacing w:after="0"/>
              <w:rPr>
                <w:sz w:val="20"/>
                <w:szCs w:val="20"/>
                <w:color w:val="auto"/>
              </w:rPr>
            </w:pPr>
            <w:r>
              <w:rPr>
                <w:rFonts w:ascii="Arial" w:cs="Arial" w:eastAsia="Arial" w:hAnsi="Arial"/>
                <w:sz w:val="13"/>
                <w:szCs w:val="13"/>
                <w:b w:val="1"/>
                <w:bCs w:val="1"/>
                <w:color w:val="auto"/>
                <w:w w:val="89"/>
              </w:rPr>
              <w:t>exercise price of</w:t>
            </w:r>
          </w:p>
        </w:tc>
        <w:tc>
          <w:tcPr>
            <w:tcW w:w="17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1"/>
              </w:rPr>
              <w:t>future issuance under</w:t>
            </w:r>
          </w:p>
        </w:tc>
      </w:tr>
      <w:tr>
        <w:trPr>
          <w:trHeight w:val="148"/>
        </w:trPr>
        <w:tc>
          <w:tcPr>
            <w:tcW w:w="5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tcPr>
          <w:p>
            <w:pPr>
              <w:jc w:val="center"/>
              <w:spacing w:after="0"/>
              <w:rPr>
                <w:sz w:val="20"/>
                <w:szCs w:val="20"/>
                <w:color w:val="auto"/>
              </w:rPr>
            </w:pPr>
            <w:r>
              <w:rPr>
                <w:rFonts w:ascii="Arial" w:cs="Arial" w:eastAsia="Arial" w:hAnsi="Arial"/>
                <w:sz w:val="13"/>
                <w:szCs w:val="13"/>
                <w:b w:val="1"/>
                <w:bCs w:val="1"/>
                <w:color w:val="auto"/>
                <w:w w:val="87"/>
              </w:rPr>
              <w:t>issued upon exercise of</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80" w:type="dxa"/>
            <w:vAlign w:val="bottom"/>
            <w:gridSpan w:val="2"/>
          </w:tcPr>
          <w:p>
            <w:pPr>
              <w:jc w:val="center"/>
              <w:ind w:right="450"/>
              <w:spacing w:after="0"/>
              <w:rPr>
                <w:sz w:val="20"/>
                <w:szCs w:val="20"/>
                <w:color w:val="auto"/>
              </w:rPr>
            </w:pPr>
            <w:r>
              <w:rPr>
                <w:rFonts w:ascii="Arial" w:cs="Arial" w:eastAsia="Arial" w:hAnsi="Arial"/>
                <w:sz w:val="13"/>
                <w:szCs w:val="13"/>
                <w:b w:val="1"/>
                <w:bCs w:val="1"/>
                <w:color w:val="auto"/>
                <w:w w:val="91"/>
              </w:rPr>
              <w:t>outstanding</w:t>
            </w:r>
          </w:p>
        </w:tc>
        <w:tc>
          <w:tcPr>
            <w:tcW w:w="17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0"/>
              </w:rPr>
              <w:t>equity compensation plans</w:t>
            </w:r>
          </w:p>
        </w:tc>
      </w:tr>
      <w:tr>
        <w:trPr>
          <w:trHeight w:val="149"/>
        </w:trPr>
        <w:tc>
          <w:tcPr>
            <w:tcW w:w="5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tcPr>
          <w:p>
            <w:pPr>
              <w:jc w:val="center"/>
              <w:spacing w:after="0"/>
              <w:rPr>
                <w:sz w:val="20"/>
                <w:szCs w:val="20"/>
                <w:color w:val="auto"/>
              </w:rPr>
            </w:pPr>
            <w:r>
              <w:rPr>
                <w:rFonts w:ascii="Arial" w:cs="Arial" w:eastAsia="Arial" w:hAnsi="Arial"/>
                <w:sz w:val="13"/>
                <w:szCs w:val="13"/>
                <w:b w:val="1"/>
                <w:bCs w:val="1"/>
                <w:color w:val="auto"/>
                <w:w w:val="91"/>
              </w:rPr>
              <w:t>outstanding options,</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80" w:type="dxa"/>
            <w:vAlign w:val="bottom"/>
            <w:gridSpan w:val="2"/>
          </w:tcPr>
          <w:p>
            <w:pPr>
              <w:jc w:val="center"/>
              <w:ind w:right="450"/>
              <w:spacing w:after="0"/>
              <w:rPr>
                <w:sz w:val="20"/>
                <w:szCs w:val="20"/>
                <w:color w:val="auto"/>
              </w:rPr>
            </w:pPr>
            <w:r>
              <w:rPr>
                <w:rFonts w:ascii="Arial" w:cs="Arial" w:eastAsia="Arial" w:hAnsi="Arial"/>
                <w:sz w:val="13"/>
                <w:szCs w:val="13"/>
                <w:b w:val="1"/>
                <w:bCs w:val="1"/>
                <w:color w:val="auto"/>
                <w:w w:val="92"/>
              </w:rPr>
              <w:t>options, warrants</w:t>
            </w:r>
          </w:p>
        </w:tc>
        <w:tc>
          <w:tcPr>
            <w:tcW w:w="17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9"/>
              </w:rPr>
              <w:t>(excluding securities</w:t>
            </w:r>
          </w:p>
        </w:tc>
      </w:tr>
      <w:tr>
        <w:trPr>
          <w:trHeight w:val="148"/>
        </w:trPr>
        <w:tc>
          <w:tcPr>
            <w:tcW w:w="5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tcPr>
          <w:p>
            <w:pPr>
              <w:jc w:val="center"/>
              <w:spacing w:after="0"/>
              <w:rPr>
                <w:sz w:val="20"/>
                <w:szCs w:val="20"/>
                <w:color w:val="auto"/>
              </w:rPr>
            </w:pPr>
            <w:r>
              <w:rPr>
                <w:rFonts w:ascii="Arial" w:cs="Arial" w:eastAsia="Arial" w:hAnsi="Arial"/>
                <w:sz w:val="13"/>
                <w:szCs w:val="13"/>
                <w:b w:val="1"/>
                <w:bCs w:val="1"/>
                <w:color w:val="auto"/>
                <w:w w:val="94"/>
              </w:rPr>
              <w:t>warrants and rights</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80" w:type="dxa"/>
            <w:vAlign w:val="bottom"/>
            <w:gridSpan w:val="2"/>
          </w:tcPr>
          <w:p>
            <w:pPr>
              <w:jc w:val="center"/>
              <w:ind w:right="450"/>
              <w:spacing w:after="0"/>
              <w:rPr>
                <w:sz w:val="20"/>
                <w:szCs w:val="20"/>
                <w:color w:val="auto"/>
              </w:rPr>
            </w:pPr>
            <w:r>
              <w:rPr>
                <w:rFonts w:ascii="Arial" w:cs="Arial" w:eastAsia="Arial" w:hAnsi="Arial"/>
                <w:sz w:val="13"/>
                <w:szCs w:val="13"/>
                <w:b w:val="1"/>
                <w:bCs w:val="1"/>
                <w:color w:val="auto"/>
                <w:w w:val="95"/>
              </w:rPr>
              <w:t>and rights</w:t>
            </w:r>
          </w:p>
        </w:tc>
        <w:tc>
          <w:tcPr>
            <w:tcW w:w="17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3"/>
              </w:rPr>
              <w:t>reflected in column (a))</w:t>
            </w:r>
          </w:p>
        </w:tc>
      </w:tr>
      <w:tr>
        <w:trPr>
          <w:trHeight w:val="161"/>
        </w:trPr>
        <w:tc>
          <w:tcPr>
            <w:tcW w:w="5640" w:type="dxa"/>
            <w:vAlign w:val="bottom"/>
            <w:gridSpan w:val="2"/>
          </w:tcPr>
          <w:p>
            <w:pPr>
              <w:spacing w:after="0"/>
              <w:rPr>
                <w:sz w:val="20"/>
                <w:szCs w:val="20"/>
                <w:color w:val="auto"/>
              </w:rPr>
            </w:pPr>
            <w:r>
              <w:rPr>
                <w:rFonts w:ascii="Arial" w:cs="Arial" w:eastAsia="Arial" w:hAnsi="Arial"/>
                <w:sz w:val="13"/>
                <w:szCs w:val="13"/>
                <w:b w:val="1"/>
                <w:bCs w:val="1"/>
                <w:color w:val="auto"/>
              </w:rPr>
              <w:t>Plan category</w:t>
            </w:r>
          </w:p>
        </w:tc>
        <w:tc>
          <w:tcPr>
            <w:tcW w:w="1640" w:type="dxa"/>
            <w:vAlign w:val="bottom"/>
          </w:tcPr>
          <w:p>
            <w:pPr>
              <w:jc w:val="center"/>
              <w:spacing w:after="0"/>
              <w:rPr>
                <w:sz w:val="20"/>
                <w:szCs w:val="20"/>
                <w:color w:val="auto"/>
              </w:rPr>
            </w:pPr>
            <w:r>
              <w:rPr>
                <w:rFonts w:ascii="Arial" w:cs="Arial" w:eastAsia="Arial" w:hAnsi="Arial"/>
                <w:sz w:val="13"/>
                <w:szCs w:val="13"/>
                <w:b w:val="1"/>
                <w:bCs w:val="1"/>
                <w:color w:val="auto"/>
              </w:rPr>
              <w:t>(a)</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80" w:type="dxa"/>
            <w:vAlign w:val="bottom"/>
            <w:gridSpan w:val="2"/>
          </w:tcPr>
          <w:p>
            <w:pPr>
              <w:jc w:val="center"/>
              <w:ind w:right="450"/>
              <w:spacing w:after="0"/>
              <w:rPr>
                <w:sz w:val="20"/>
                <w:szCs w:val="20"/>
                <w:color w:val="auto"/>
              </w:rPr>
            </w:pPr>
            <w:r>
              <w:rPr>
                <w:rFonts w:ascii="Arial" w:cs="Arial" w:eastAsia="Arial" w:hAnsi="Arial"/>
                <w:sz w:val="13"/>
                <w:szCs w:val="13"/>
                <w:b w:val="1"/>
                <w:bCs w:val="1"/>
                <w:color w:val="auto"/>
                <w:w w:val="96"/>
              </w:rPr>
              <w:t>(b)</w:t>
            </w:r>
          </w:p>
        </w:tc>
        <w:tc>
          <w:tcPr>
            <w:tcW w:w="17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rPr>
              <w:t>(c)</w:t>
            </w:r>
          </w:p>
        </w:tc>
      </w:tr>
      <w:tr>
        <w:trPr>
          <w:trHeight w:val="223"/>
        </w:trPr>
        <w:tc>
          <w:tcPr>
            <w:tcW w:w="55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 xml:space="preserve">Equity compensation plans approved by security holders </w:t>
            </w:r>
            <w:r>
              <w:rPr>
                <w:rFonts w:ascii="Arial" w:cs="Arial" w:eastAsia="Arial" w:hAnsi="Arial"/>
                <w:sz w:val="15"/>
                <w:szCs w:val="15"/>
                <w:color w:val="auto"/>
              </w:rPr>
              <w:t>(1)</w:t>
            </w:r>
          </w:p>
        </w:tc>
        <w:tc>
          <w:tcPr>
            <w:tcW w:w="120" w:type="dxa"/>
            <w:vAlign w:val="bottom"/>
            <w:tcBorders>
              <w:top w:val="single" w:sz="8" w:color="CFF0FC"/>
            </w:tcBorders>
            <w:shd w:val="clear" w:color="auto" w:fill="CFF0FC"/>
          </w:tcPr>
          <w:p>
            <w:pPr>
              <w:spacing w:after="0"/>
              <w:rPr>
                <w:sz w:val="19"/>
                <w:szCs w:val="19"/>
                <w:color w:val="auto"/>
              </w:rPr>
            </w:pPr>
          </w:p>
        </w:tc>
        <w:tc>
          <w:tcPr>
            <w:tcW w:w="1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5,618,441</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w:t>
            </w:r>
          </w:p>
        </w:tc>
        <w:tc>
          <w:tcPr>
            <w:tcW w:w="3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1,456,300</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640" w:type="dxa"/>
            <w:vAlign w:val="bottom"/>
            <w:gridSpan w:val="2"/>
          </w:tcPr>
          <w:p>
            <w:pPr>
              <w:spacing w:after="0"/>
              <w:rPr>
                <w:sz w:val="20"/>
                <w:szCs w:val="20"/>
                <w:color w:val="auto"/>
              </w:rPr>
            </w:pPr>
            <w:r>
              <w:rPr>
                <w:rFonts w:ascii="Arial" w:cs="Arial" w:eastAsia="Arial" w:hAnsi="Arial"/>
                <w:sz w:val="18"/>
                <w:szCs w:val="18"/>
                <w:color w:val="auto"/>
              </w:rPr>
              <w:t xml:space="preserve">Equity compensation plans not approved by security holders </w:t>
            </w:r>
            <w:r>
              <w:rPr>
                <w:rFonts w:ascii="Arial" w:cs="Arial" w:eastAsia="Arial" w:hAnsi="Arial"/>
                <w:sz w:val="15"/>
                <w:szCs w:val="15"/>
                <w:color w:val="auto"/>
              </w:rPr>
              <w:t>(3)</w:t>
            </w: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1,000,000</w:t>
            </w:r>
          </w:p>
        </w:tc>
        <w:tc>
          <w:tcPr>
            <w:tcW w:w="100" w:type="dxa"/>
            <w:vAlign w:val="bottom"/>
          </w:tcPr>
          <w:p>
            <w:pPr>
              <w:spacing w:after="0"/>
              <w:rPr>
                <w:sz w:val="19"/>
                <w:szCs w:val="19"/>
                <w:color w:val="auto"/>
              </w:rPr>
            </w:pPr>
          </w:p>
        </w:tc>
      </w:tr>
      <w:tr>
        <w:trPr>
          <w:trHeight w:val="223"/>
        </w:trPr>
        <w:tc>
          <w:tcPr>
            <w:tcW w:w="5640" w:type="dxa"/>
            <w:vAlign w:val="bottom"/>
            <w:tcBorders>
              <w:top w:val="single" w:sz="8" w:color="CFF0FC"/>
              <w:bottom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1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5,618,441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w:t>
            </w:r>
          </w:p>
        </w:tc>
        <w:tc>
          <w:tcPr>
            <w:tcW w:w="340" w:type="dxa"/>
            <w:vAlign w:val="bottom"/>
            <w:tcBorders>
              <w:top w:val="single" w:sz="8" w:color="CFF0FC"/>
              <w:bottom w:val="single" w:sz="8" w:color="CFF0FC"/>
            </w:tcBorders>
            <w:shd w:val="clear" w:color="auto" w:fill="CFF0FC"/>
          </w:tcPr>
          <w:p>
            <w:pPr>
              <w:spacing w:after="0"/>
              <w:rPr>
                <w:sz w:val="19"/>
                <w:szCs w:val="19"/>
                <w:color w:val="auto"/>
              </w:rPr>
            </w:pPr>
          </w:p>
        </w:tc>
        <w:tc>
          <w:tcPr>
            <w:tcW w:w="1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2,456,300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740" w:right="320" w:hanging="368"/>
        <w:spacing w:after="0" w:line="277" w:lineRule="auto"/>
        <w:tabs>
          <w:tab w:leader="none" w:pos="7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Includes 3,647,581 outstanding stock options, 815,292 outstanding RSUs, 720,000 outstanding PSUs and 435,568 outstanding deferred stock awards.</w:t>
      </w:r>
    </w:p>
    <w:p>
      <w:pPr>
        <w:spacing w:after="0" w:line="170" w:lineRule="exact"/>
        <w:rPr>
          <w:rFonts w:ascii="Arial" w:cs="Arial" w:eastAsia="Arial" w:hAnsi="Arial"/>
          <w:sz w:val="18"/>
          <w:szCs w:val="18"/>
          <w:color w:val="auto"/>
        </w:rPr>
      </w:pPr>
    </w:p>
    <w:p>
      <w:pPr>
        <w:ind w:left="740" w:right="400" w:hanging="368"/>
        <w:spacing w:after="0" w:line="277" w:lineRule="auto"/>
        <w:tabs>
          <w:tab w:leader="none" w:pos="7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weighted-average exercise price is calculated solely based upon outstanding stock options and excludes RSUs, PSUs and deferred stock awards.</w:t>
      </w:r>
    </w:p>
    <w:p>
      <w:pPr>
        <w:spacing w:after="0" w:line="62" w:lineRule="exact"/>
        <w:rPr>
          <w:rFonts w:ascii="Arial" w:cs="Arial" w:eastAsia="Arial" w:hAnsi="Arial"/>
          <w:sz w:val="18"/>
          <w:szCs w:val="18"/>
          <w:color w:val="auto"/>
        </w:rPr>
      </w:pPr>
    </w:p>
    <w:p>
      <w:pPr>
        <w:ind w:left="740" w:right="360" w:hanging="368"/>
        <w:spacing w:after="0" w:line="277" w:lineRule="auto"/>
        <w:tabs>
          <w:tab w:leader="none" w:pos="7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Pursuant to the Non-Employee Director Compensation Plan, we have 1,500,000 shares authorized for stock issuances in lieu of cash director fees, of which 1,000,000 shares were available at January 30, 2021.</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 and Director Independence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Seymour Holtzman/Jewelcor Management, Inc. (JMI)</w:t>
      </w:r>
    </w:p>
    <w:p>
      <w:pPr>
        <w:spacing w:after="0" w:line="11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Seymour Holtzman served as a member of the Board from April 2000 until August 12, 2020. During that time, Mr. Holtzman served as the Company’s Executive Chairman of the Board from August 2014 through January 2019, and as it Chairman of the Board from April 2000 to August 2014. Mr. Holtzman is the chairman, chief executive officer and president and, together with his wife, indirectly, the majority shareholder of Jewelcor Management, Inc. (“JMI”).</w:t>
      </w:r>
    </w:p>
    <w:p>
      <w:pPr>
        <w:spacing w:after="0" w:line="18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August 2014, the Company and Mr. Holtzman entered into an Employment and Chairman Compensation Agreement (the “Compensation Agreement”) for his services as Executive Chairman and as an employee of the Company. The Compensation Agreement was most recently amended on August 9, 2018 to reduce his annual compensation as Executive Chairman to $176,000, along with an annual base salary of $24,000 for his services as an employee of the Company. At that time, the Company also provided written notification to Mr. Holtzman that the Company would not be extending the term of the Compensation Agreement and, as a result, the Compensation Agreement terminated on August 7, 2020.</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Review, Approval or Ratification of Transactions with Related Persons</w:t>
      </w:r>
    </w:p>
    <w:p>
      <w:pPr>
        <w:spacing w:after="0" w:line="225"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Pursuant to its charter, the Audit Committee reviews all related party transactions on an ongoing basis and, to the extent required by the Sarbanes−Oxley Act of 2002, the SEC or applicable exchange (whether Nasdaq or OTCQX), all such transactions must be approved by the Audit Committee except as otherwise delegated by the Audit Committee to another independent body of the Board. The Audit Committee determined that, due to the nature of Mr. Holtzman’s ownership in the Company as well as our previous consulting agreement with JMI, the review and approval of all transactions pursuant to any arrangement with Mr. Holtzman was the primary responsibility of the Compensation Committee.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Independence</w:t>
      </w:r>
    </w:p>
    <w:p>
      <w:pPr>
        <w:spacing w:after="0" w:line="11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Our Board is currently comprised of seven members, a majority of whom are “independent” under the OTCQX Rules for U.S. Companies. The Board has determined that all of its current directors are independent, other than Mr. Kanter, the Company’s CEO.</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Accountant Fees and Services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Audit Committee engaged KPMG LLP to serve as our independent registered public accounting firm during the fiscal year ended January 30, 2021. KPMG LLP has served as the Company’s independent registered public accounting firm since June 6, 2013.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Accounting Fees and Services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following table sets forth the fees accrued or paid to the Company’s independent registered accounting firm for the fiscal years ended January 30, 2021 (“fiscal 2020”) and February 1, 2020 (“fiscal 2019”):</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60" w:type="dxa"/>
            <w:vAlign w:val="bottom"/>
            <w:gridSpan w:val="2"/>
          </w:tcPr>
          <w:p>
            <w:pPr>
              <w:ind w:left="180"/>
              <w:spacing w:after="0"/>
              <w:rPr>
                <w:sz w:val="20"/>
                <w:szCs w:val="20"/>
                <w:color w:val="auto"/>
              </w:rPr>
            </w:pPr>
            <w:r>
              <w:rPr>
                <w:rFonts w:ascii="Arial" w:cs="Arial" w:eastAsia="Arial" w:hAnsi="Arial"/>
                <w:sz w:val="13"/>
                <w:szCs w:val="13"/>
                <w:b w:val="1"/>
                <w:bCs w:val="1"/>
                <w:color w:val="auto"/>
              </w:rPr>
              <w:t>Fiscal 2020</w:t>
            </w:r>
          </w:p>
        </w:tc>
        <w:tc>
          <w:tcPr>
            <w:tcW w:w="280" w:type="dxa"/>
            <w:vAlign w:val="bottom"/>
          </w:tcPr>
          <w:p>
            <w:pPr>
              <w:spacing w:after="0"/>
              <w:rPr>
                <w:sz w:val="14"/>
                <w:szCs w:val="14"/>
                <w:color w:val="auto"/>
              </w:rPr>
            </w:pPr>
          </w:p>
        </w:tc>
        <w:tc>
          <w:tcPr>
            <w:tcW w:w="1400" w:type="dxa"/>
            <w:vAlign w:val="bottom"/>
            <w:gridSpan w:val="2"/>
          </w:tcPr>
          <w:p>
            <w:pPr>
              <w:ind w:left="180"/>
              <w:spacing w:after="0"/>
              <w:rPr>
                <w:sz w:val="20"/>
                <w:szCs w:val="20"/>
                <w:color w:val="auto"/>
              </w:rPr>
            </w:pPr>
            <w:r>
              <w:rPr>
                <w:rFonts w:ascii="Arial" w:cs="Arial" w:eastAsia="Arial" w:hAnsi="Arial"/>
                <w:sz w:val="13"/>
                <w:szCs w:val="13"/>
                <w:b w:val="1"/>
                <w:bCs w:val="1"/>
                <w:color w:val="auto"/>
              </w:rPr>
              <w:t>Fiscal 2019</w:t>
            </w: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Audit Fees (1)</w:t>
            </w: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730,000</w:t>
            </w:r>
          </w:p>
        </w:tc>
        <w:tc>
          <w:tcPr>
            <w:tcW w:w="2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905,777</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Audit-Related Fees</w:t>
            </w:r>
          </w:p>
        </w:tc>
        <w:tc>
          <w:tcPr>
            <w:tcW w:w="280" w:type="dxa"/>
            <w:vAlign w:val="bottom"/>
          </w:tcPr>
          <w:p>
            <w:pPr>
              <w:spacing w:after="0"/>
              <w:rPr>
                <w:sz w:val="19"/>
                <w:szCs w:val="19"/>
                <w:color w:val="auto"/>
              </w:rPr>
            </w:pPr>
          </w:p>
        </w:tc>
        <w:tc>
          <w:tcPr>
            <w:tcW w:w="15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Tax Fees (2)</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100,000</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All Other Fees (3)</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1,780</w:t>
            </w:r>
          </w:p>
        </w:tc>
        <w:tc>
          <w:tcPr>
            <w:tcW w:w="2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1,780</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Fees</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831,780</w:t>
            </w:r>
          </w:p>
        </w:tc>
        <w:tc>
          <w:tcPr>
            <w:tcW w:w="2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907,557</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0" w:lineRule="exact"/>
        <w:rPr>
          <w:sz w:val="20"/>
          <w:szCs w:val="20"/>
          <w:color w:val="auto"/>
        </w:rPr>
      </w:pPr>
    </w:p>
    <w:p>
      <w:pPr>
        <w:ind w:left="740" w:right="100" w:hanging="368"/>
        <w:spacing w:after="0" w:line="275" w:lineRule="auto"/>
        <w:tabs>
          <w:tab w:leader="none" w:pos="7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 xml:space="preserve">Audit Fees related to professional services rendered in connection with the audits of our financial statements included in our Annual Reports on Form 10-K for fiscal 2020 and fiscal 2019, services performed related to compliance with Section 404 of the Sarbanes-Oxley Act of 2002 for fiscal 2019, reviews of the financial statements included in each of our Quarterly Reports on Form 10-Q for fiscal 2020 and fiscal 2019, and </w:t>
      </w:r>
      <w:r>
        <w:rPr>
          <w:rFonts w:ascii="Arial" w:cs="Arial" w:eastAsia="Arial" w:hAnsi="Arial"/>
          <w:sz w:val="17"/>
          <w:szCs w:val="17"/>
          <w:color w:val="212121"/>
        </w:rPr>
        <w:t xml:space="preserve">services provided in connection with our registration statements filings on Form </w:t>
      </w:r>
      <w:r>
        <w:rPr>
          <w:rFonts w:ascii="Arial" w:cs="Arial" w:eastAsia="Arial" w:hAnsi="Arial"/>
          <w:sz w:val="17"/>
          <w:szCs w:val="17"/>
          <w:color w:val="252525"/>
        </w:rPr>
        <w:t>S</w:t>
      </w:r>
      <w:r>
        <w:rPr>
          <w:rFonts w:ascii="Arial" w:cs="Arial" w:eastAsia="Arial" w:hAnsi="Arial"/>
          <w:sz w:val="17"/>
          <w:szCs w:val="17"/>
          <w:color w:val="212121"/>
        </w:rPr>
        <w:t>-3 and Form S-</w:t>
      </w:r>
      <w:r>
        <w:rPr>
          <w:rFonts w:ascii="Arial" w:cs="Arial" w:eastAsia="Arial" w:hAnsi="Arial"/>
          <w:sz w:val="17"/>
          <w:szCs w:val="17"/>
          <w:color w:val="252525"/>
        </w:rPr>
        <w:t>8 in both fiscal years.</w:t>
      </w:r>
      <w:r>
        <w:rPr>
          <w:rFonts w:ascii="Arial" w:cs="Arial" w:eastAsia="Arial" w:hAnsi="Arial"/>
          <w:sz w:val="17"/>
          <w:szCs w:val="17"/>
          <w:color w:val="212121"/>
        </w:rPr>
        <w:t xml:space="preserve"> </w:t>
      </w:r>
      <w:r>
        <w:rPr>
          <w:rFonts w:ascii="Arial" w:cs="Arial" w:eastAsia="Arial" w:hAnsi="Arial"/>
          <w:sz w:val="17"/>
          <w:szCs w:val="17"/>
          <w:color w:val="000000"/>
        </w:rPr>
        <w:t>Audit Fees in fiscal 2019</w:t>
      </w:r>
      <w:r>
        <w:rPr>
          <w:rFonts w:ascii="Arial" w:cs="Arial" w:eastAsia="Arial" w:hAnsi="Arial"/>
          <w:sz w:val="17"/>
          <w:szCs w:val="17"/>
          <w:color w:val="212121"/>
        </w:rPr>
        <w:t xml:space="preserve"> </w:t>
      </w:r>
      <w:r>
        <w:rPr>
          <w:rFonts w:ascii="Arial" w:cs="Arial" w:eastAsia="Arial" w:hAnsi="Arial"/>
          <w:sz w:val="17"/>
          <w:szCs w:val="17"/>
          <w:color w:val="000000"/>
        </w:rPr>
        <w:t>also included work performed in connection with the Company’s adoption of ASC 842.</w:t>
      </w:r>
    </w:p>
    <w:p>
      <w:pPr>
        <w:spacing w:after="0" w:line="68" w:lineRule="exact"/>
        <w:rPr>
          <w:rFonts w:ascii="Arial" w:cs="Arial" w:eastAsia="Arial" w:hAnsi="Arial"/>
          <w:sz w:val="17"/>
          <w:szCs w:val="17"/>
          <w:color w:val="auto"/>
        </w:rPr>
      </w:pPr>
    </w:p>
    <w:p>
      <w:pPr>
        <w:ind w:left="740" w:hanging="368"/>
        <w:spacing w:after="0"/>
        <w:tabs>
          <w:tab w:leader="none" w:pos="7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Tax fees related to professional services rendered in connection with income tax return preparation and compliance services.</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All Other Fees related to an annual fee for access to an online accounting research tool.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of Services by Independent Auditors</w:t>
      </w:r>
    </w:p>
    <w:p>
      <w:pPr>
        <w:spacing w:after="0" w:line="229"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Audit Committee has adopted a policy governing the provision of audit and non-audit services by our independent registered public accounting firm. Pursuant to this policy, the Audit Committee will consider annually and approve the provision of audit services (including audit review and attest services) by our independent registered public accounting firm and consider and pre-approve the provision of certain defined permitted non-audit services within a specified dollar limit. It will also consider on a case-by-case basis and approve specific engagements that do not fit within the definition of pre-approved services or established fee limits, if appropriate.</w:t>
      </w:r>
    </w:p>
    <w:p>
      <w:pPr>
        <w:spacing w:after="0" w:line="18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policy provides that any proposed engagement that does not fit within the definition of a pre-approved service or is not within the fee limits must be presented to the Audit Committee for consideration at its next regular meeting or to the Chair of the Audit Committee in time sensitive cases. The Audit Committee will regularly review summary reports detailing all services (and related fees and expenses) being provided to us by the independent registered public accounting firm.</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All of the services provided in fiscal 2020 and fiscal 2019 under Audit Fees, Tax Fees and All Other Fees were pre-approved by the Audit Committee.</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and Financial Statement Schedules</w:t>
      </w:r>
    </w:p>
    <w:p>
      <w:pPr>
        <w:spacing w:after="0" w:line="24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15(a)(3) Exhibits</w:t>
      </w:r>
    </w:p>
    <w:p>
      <w:pPr>
        <w:spacing w:after="0" w:line="248"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Index to Exhibits</w:t>
      </w:r>
    </w:p>
    <w:p>
      <w:pPr>
        <w:spacing w:after="0" w:line="200" w:lineRule="exact"/>
        <w:rPr>
          <w:sz w:val="20"/>
          <w:szCs w:val="20"/>
          <w:color w:val="auto"/>
        </w:rPr>
      </w:pPr>
    </w:p>
    <w:p>
      <w:pPr>
        <w:spacing w:after="0" w:line="259" w:lineRule="exact"/>
        <w:rPr>
          <w:sz w:val="20"/>
          <w:szCs w:val="20"/>
          <w:color w:val="auto"/>
        </w:rPr>
      </w:pPr>
    </w:p>
    <w:p>
      <w:pPr>
        <w:ind w:left="1600" w:right="259" w:hanging="706"/>
        <w:spacing w:after="0" w:line="277" w:lineRule="auto"/>
        <w:tabs>
          <w:tab w:leader="none" w:pos="1580" w:val="left"/>
        </w:tabs>
        <w:rPr>
          <w:rFonts w:ascii="Arial" w:cs="Arial" w:eastAsia="Arial" w:hAnsi="Arial"/>
          <w:sz w:val="18"/>
          <w:szCs w:val="18"/>
          <w:u w:val="single" w:color="auto"/>
          <w:color w:val="0000EE"/>
        </w:rPr>
      </w:pPr>
      <w:r>
        <w:rPr>
          <w:rFonts w:ascii="Arial" w:cs="Arial" w:eastAsia="Arial" w:hAnsi="Arial"/>
          <w:sz w:val="18"/>
          <w:szCs w:val="18"/>
          <w:color w:val="auto"/>
        </w:rPr>
        <w:t>31.1</w:t>
      </w:r>
      <w:r>
        <w:rPr>
          <w:sz w:val="20"/>
          <w:szCs w:val="20"/>
          <w:color w:val="auto"/>
        </w:rPr>
        <w:tab/>
      </w:r>
      <w:hyperlink w:anchor="page36">
        <w:r>
          <w:rPr>
            <w:rFonts w:ascii="Arial" w:cs="Arial" w:eastAsia="Arial" w:hAnsi="Arial"/>
            <w:sz w:val="18"/>
            <w:szCs w:val="18"/>
            <w:u w:val="single" w:color="auto"/>
            <w:color w:val="0000EE"/>
          </w:rPr>
          <w:t>Certification of Chief Executive Officer of the Company pursuant to Rule 13a-14(a) under the Securities Exchange</w:t>
        </w:r>
      </w:hyperlink>
      <w:r>
        <w:rPr>
          <w:rFonts w:ascii="Arial" w:cs="Arial" w:eastAsia="Arial" w:hAnsi="Arial"/>
          <w:sz w:val="18"/>
          <w:szCs w:val="18"/>
          <w:u w:val="single" w:color="auto"/>
          <w:color w:val="0000EE"/>
        </w:rPr>
        <w:t xml:space="preserve"> </w:t>
      </w:r>
      <w:hyperlink w:anchor="page36">
        <w:r>
          <w:rPr>
            <w:rFonts w:ascii="Arial" w:cs="Arial" w:eastAsia="Arial" w:hAnsi="Arial"/>
            <w:sz w:val="18"/>
            <w:szCs w:val="18"/>
            <w:u w:val="single" w:color="auto"/>
            <w:color w:val="0000EE"/>
          </w:rPr>
          <w:t>Act of 1934.</w:t>
        </w:r>
      </w:hyperlink>
    </w:p>
    <w:p>
      <w:pPr>
        <w:spacing w:after="0" w:line="62" w:lineRule="exact"/>
        <w:rPr>
          <w:sz w:val="20"/>
          <w:szCs w:val="20"/>
          <w:color w:val="auto"/>
        </w:rPr>
      </w:pPr>
    </w:p>
    <w:p>
      <w:pPr>
        <w:ind w:left="1600" w:right="299" w:hanging="706"/>
        <w:spacing w:after="0" w:line="258" w:lineRule="auto"/>
        <w:tabs>
          <w:tab w:leader="none" w:pos="1580" w:val="left"/>
        </w:tabs>
        <w:rPr>
          <w:rFonts w:ascii="Arial" w:cs="Arial" w:eastAsia="Arial" w:hAnsi="Arial"/>
          <w:sz w:val="18"/>
          <w:szCs w:val="18"/>
          <w:u w:val="single" w:color="auto"/>
          <w:color w:val="0000EE"/>
        </w:rPr>
      </w:pPr>
      <w:r>
        <w:rPr>
          <w:rFonts w:ascii="Arial" w:cs="Arial" w:eastAsia="Arial" w:hAnsi="Arial"/>
          <w:sz w:val="18"/>
          <w:szCs w:val="18"/>
          <w:color w:val="auto"/>
        </w:rPr>
        <w:t>31.2</w:t>
      </w:r>
      <w:r>
        <w:rPr>
          <w:sz w:val="20"/>
          <w:szCs w:val="20"/>
          <w:color w:val="auto"/>
        </w:rPr>
        <w:tab/>
      </w:r>
      <w:hyperlink w:anchor="page37">
        <w:r>
          <w:rPr>
            <w:rFonts w:ascii="Arial" w:cs="Arial" w:eastAsia="Arial" w:hAnsi="Arial"/>
            <w:sz w:val="18"/>
            <w:szCs w:val="18"/>
            <w:u w:val="single" w:color="auto"/>
            <w:color w:val="0000EE"/>
          </w:rPr>
          <w:t>Certification of Chief Financial Officer of the Company pursuant to Rule 13a-14(a) under the Securities Exchange</w:t>
        </w:r>
      </w:hyperlink>
      <w:r>
        <w:rPr>
          <w:rFonts w:ascii="Arial" w:cs="Arial" w:eastAsia="Arial" w:hAnsi="Arial"/>
          <w:sz w:val="18"/>
          <w:szCs w:val="18"/>
          <w:u w:val="single" w:color="auto"/>
          <w:color w:val="0000EE"/>
        </w:rPr>
        <w:t xml:space="preserve"> </w:t>
      </w:r>
      <w:hyperlink w:anchor="page37">
        <w:r>
          <w:rPr>
            <w:rFonts w:ascii="Arial" w:cs="Arial" w:eastAsia="Arial" w:hAnsi="Arial"/>
            <w:sz w:val="18"/>
            <w:szCs w:val="18"/>
            <w:u w:val="single" w:color="auto"/>
            <w:color w:val="0000EE"/>
          </w:rPr>
          <w:t>Act of 1934.</w:t>
        </w:r>
      </w:hyperlink>
    </w:p>
    <w:p>
      <w:pPr>
        <w:spacing w:after="0" w:line="54" w:lineRule="exact"/>
        <w:rPr>
          <w:sz w:val="20"/>
          <w:szCs w:val="20"/>
          <w:color w:val="auto"/>
        </w:rPr>
      </w:pPr>
    </w:p>
    <w:p>
      <w:pPr>
        <w:ind w:left="1600" w:right="399" w:hanging="836"/>
        <w:spacing w:after="0" w:line="182" w:lineRule="auto"/>
        <w:tabs>
          <w:tab w:leader="none" w:pos="1600" w:val="left"/>
        </w:tabs>
        <w:numPr>
          <w:ilvl w:val="0"/>
          <w:numId w:val="38"/>
        </w:numPr>
        <w:rPr>
          <w:rFonts w:ascii="Arial" w:cs="Arial" w:eastAsia="Arial" w:hAnsi="Arial"/>
          <w:sz w:val="34"/>
          <w:szCs w:val="34"/>
          <w:color w:val="auto"/>
          <w:vertAlign w:val="subscript"/>
        </w:rPr>
      </w:pPr>
      <w:r>
        <w:rPr>
          <w:rFonts w:ascii="Arial" w:cs="Arial" w:eastAsia="Arial" w:hAnsi="Arial"/>
          <w:sz w:val="17"/>
          <w:szCs w:val="17"/>
          <w:u w:val="single" w:color="auto"/>
          <w:color w:val="auto"/>
        </w:rPr>
        <w:t>Cover Page Interactive Data File – The cover page interactive data file does not appear in the interactive data file because its XBRL tags are embedded within the Inline XBRL document.</w:t>
      </w:r>
    </w:p>
    <w:p>
      <w:pPr>
        <w:spacing w:after="0" w:line="200" w:lineRule="exact"/>
        <w:rPr>
          <w:sz w:val="20"/>
          <w:szCs w:val="20"/>
          <w:color w:val="auto"/>
        </w:rPr>
      </w:pPr>
    </w:p>
    <w:p>
      <w:pPr>
        <w:spacing w:after="0" w:line="38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37" w:right="1440" w:bottom="1440" w:gutter="0" w:footer="0" w:header="0"/>
        </w:sectPr>
      </w:pPr>
    </w:p>
    <w:bookmarkStart w:id="34" w:name="page35"/>
    <w:bookmarkEnd w:id="34"/>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720" w:type="dxa"/>
            <w:vAlign w:val="bottom"/>
            <w:gridSpan w:val="3"/>
          </w:tcPr>
          <w:p>
            <w:pPr>
              <w:ind w:left="4680"/>
              <w:spacing w:after="0"/>
              <w:rPr>
                <w:sz w:val="20"/>
                <w:szCs w:val="20"/>
                <w:color w:val="auto"/>
              </w:rPr>
            </w:pPr>
            <w:r>
              <w:rPr>
                <w:rFonts w:ascii="Arial" w:cs="Arial" w:eastAsia="Arial" w:hAnsi="Arial"/>
                <w:sz w:val="18"/>
                <w:szCs w:val="18"/>
                <w:color w:val="auto"/>
              </w:rPr>
              <w:t>D</w:t>
            </w:r>
            <w:r>
              <w:rPr>
                <w:rFonts w:ascii="Arial" w:cs="Arial" w:eastAsia="Arial" w:hAnsi="Arial"/>
                <w:sz w:val="13"/>
                <w:szCs w:val="13"/>
                <w:color w:val="auto"/>
              </w:rPr>
              <w:t>ESTINATION</w:t>
            </w:r>
            <w:r>
              <w:rPr>
                <w:rFonts w:ascii="Arial" w:cs="Arial" w:eastAsia="Arial" w:hAnsi="Arial"/>
                <w:sz w:val="18"/>
                <w:szCs w:val="18"/>
                <w:color w:val="auto"/>
              </w:rPr>
              <w:t xml:space="preserve"> XL G</w:t>
            </w:r>
            <w:r>
              <w:rPr>
                <w:rFonts w:ascii="Arial" w:cs="Arial" w:eastAsia="Arial" w:hAnsi="Arial"/>
                <w:sz w:val="13"/>
                <w:szCs w:val="13"/>
                <w:color w:val="auto"/>
              </w:rPr>
              <w:t>ROUP</w:t>
            </w:r>
            <w:r>
              <w:rPr>
                <w:rFonts w:ascii="Arial" w:cs="Arial" w:eastAsia="Arial" w:hAnsi="Arial"/>
                <w:sz w:val="18"/>
                <w:szCs w:val="18"/>
                <w:color w:val="auto"/>
              </w:rPr>
              <w:t>, I</w:t>
            </w:r>
            <w:r>
              <w:rPr>
                <w:rFonts w:ascii="Arial" w:cs="Arial" w:eastAsia="Arial" w:hAnsi="Arial"/>
                <w:sz w:val="13"/>
                <w:szCs w:val="13"/>
                <w:color w:val="auto"/>
              </w:rPr>
              <w:t>NC</w:t>
            </w:r>
            <w:r>
              <w:rPr>
                <w:rFonts w:ascii="Arial" w:cs="Arial" w:eastAsia="Arial" w:hAnsi="Arial"/>
                <w:sz w:val="18"/>
                <w:szCs w:val="18"/>
                <w:color w:val="auto"/>
              </w:rPr>
              <w:t>.</w:t>
            </w:r>
          </w:p>
        </w:tc>
      </w:tr>
      <w:tr>
        <w:trPr>
          <w:trHeight w:val="230"/>
        </w:trPr>
        <w:tc>
          <w:tcPr>
            <w:tcW w:w="6160" w:type="dxa"/>
            <w:vAlign w:val="bottom"/>
            <w:gridSpan w:val="2"/>
          </w:tcPr>
          <w:p>
            <w:pPr>
              <w:spacing w:after="0"/>
              <w:rPr>
                <w:sz w:val="20"/>
                <w:szCs w:val="20"/>
                <w:color w:val="auto"/>
              </w:rPr>
            </w:pPr>
            <w:r>
              <w:rPr>
                <w:rFonts w:ascii="Arial" w:cs="Arial" w:eastAsia="Arial" w:hAnsi="Arial"/>
                <w:sz w:val="18"/>
                <w:szCs w:val="18"/>
                <w:color w:val="auto"/>
              </w:rPr>
              <w:t>June 1, 2021</w:t>
            </w:r>
          </w:p>
        </w:tc>
        <w:tc>
          <w:tcPr>
            <w:tcW w:w="3560" w:type="dxa"/>
            <w:vAlign w:val="bottom"/>
          </w:tcPr>
          <w:p>
            <w:pPr>
              <w:spacing w:after="0"/>
              <w:rPr>
                <w:sz w:val="20"/>
                <w:szCs w:val="20"/>
                <w:color w:val="auto"/>
              </w:rPr>
            </w:pPr>
          </w:p>
        </w:tc>
      </w:tr>
      <w:tr>
        <w:trPr>
          <w:trHeight w:val="432"/>
        </w:trPr>
        <w:tc>
          <w:tcPr>
            <w:tcW w:w="6160" w:type="dxa"/>
            <w:vAlign w:val="bottom"/>
            <w:gridSpan w:val="2"/>
          </w:tcPr>
          <w:p>
            <w:pPr>
              <w:ind w:left="4680"/>
              <w:spacing w:after="0"/>
              <w:rPr>
                <w:sz w:val="20"/>
                <w:szCs w:val="20"/>
                <w:color w:val="auto"/>
              </w:rPr>
            </w:pPr>
            <w:r>
              <w:rPr>
                <w:rFonts w:ascii="Arial" w:cs="Arial" w:eastAsia="Arial" w:hAnsi="Arial"/>
                <w:sz w:val="18"/>
                <w:szCs w:val="18"/>
                <w:color w:val="auto"/>
              </w:rPr>
              <w:t>By:</w:t>
            </w:r>
          </w:p>
        </w:tc>
        <w:tc>
          <w:tcPr>
            <w:tcW w:w="3560" w:type="dxa"/>
            <w:vAlign w:val="bottom"/>
          </w:tcPr>
          <w:p>
            <w:pPr>
              <w:ind w:left="40"/>
              <w:spacing w:after="0"/>
              <w:rPr>
                <w:sz w:val="20"/>
                <w:szCs w:val="20"/>
                <w:color w:val="auto"/>
              </w:rPr>
            </w:pPr>
            <w:r>
              <w:rPr>
                <w:rFonts w:ascii="Arial" w:cs="Arial" w:eastAsia="Arial" w:hAnsi="Arial"/>
                <w:sz w:val="18"/>
                <w:szCs w:val="18"/>
                <w:color w:val="auto"/>
              </w:rPr>
              <w:t>/s/  HARVEY S. KANTER</w:t>
            </w:r>
          </w:p>
        </w:tc>
      </w:tr>
      <w:tr>
        <w:trPr>
          <w:trHeight w:val="129"/>
        </w:trPr>
        <w:tc>
          <w:tcPr>
            <w:tcW w:w="4980" w:type="dxa"/>
            <w:vAlign w:val="bottom"/>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c>
          <w:tcPr>
            <w:tcW w:w="3560" w:type="dxa"/>
            <w:vAlign w:val="bottom"/>
            <w:tcBorders>
              <w:top w:val="single" w:sz="8" w:color="auto"/>
            </w:tcBorders>
          </w:tcPr>
          <w:p>
            <w:pPr>
              <w:jc w:val="center"/>
              <w:ind w:right="1104"/>
              <w:spacing w:after="0" w:line="129" w:lineRule="exact"/>
              <w:rPr>
                <w:sz w:val="20"/>
                <w:szCs w:val="20"/>
                <w:color w:val="auto"/>
              </w:rPr>
            </w:pPr>
            <w:r>
              <w:rPr>
                <w:rFonts w:ascii="Arial" w:cs="Arial" w:eastAsia="Arial" w:hAnsi="Arial"/>
                <w:sz w:val="13"/>
                <w:szCs w:val="13"/>
                <w:b w:val="1"/>
                <w:bCs w:val="1"/>
                <w:color w:val="auto"/>
                <w:w w:val="97"/>
              </w:rPr>
              <w:t>Harvey S. Kanter</w:t>
            </w:r>
          </w:p>
        </w:tc>
      </w:tr>
      <w:tr>
        <w:trPr>
          <w:trHeight w:val="174"/>
        </w:trPr>
        <w:tc>
          <w:tcPr>
            <w:tcW w:w="49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560" w:type="dxa"/>
            <w:vAlign w:val="bottom"/>
          </w:tcPr>
          <w:p>
            <w:pPr>
              <w:jc w:val="center"/>
              <w:ind w:right="1104"/>
              <w:spacing w:after="0"/>
              <w:rPr>
                <w:sz w:val="20"/>
                <w:szCs w:val="20"/>
                <w:color w:val="auto"/>
              </w:rPr>
            </w:pPr>
            <w:r>
              <w:rPr>
                <w:rFonts w:ascii="Arial" w:cs="Arial" w:eastAsia="Arial" w:hAnsi="Arial"/>
                <w:sz w:val="13"/>
                <w:szCs w:val="13"/>
                <w:b w:val="1"/>
                <w:bCs w:val="1"/>
                <w:color w:val="auto"/>
                <w:w w:val="93"/>
              </w:rPr>
              <w:t>President and Chief Executive Officer</w:t>
            </w:r>
          </w:p>
        </w:tc>
      </w:tr>
      <w:tr>
        <w:trPr>
          <w:trHeight w:val="419"/>
        </w:trPr>
        <w:tc>
          <w:tcPr>
            <w:tcW w:w="4980" w:type="dxa"/>
            <w:vAlign w:val="bottom"/>
          </w:tcPr>
          <w:p>
            <w:pPr>
              <w:spacing w:after="0"/>
              <w:rPr>
                <w:sz w:val="24"/>
                <w:szCs w:val="24"/>
                <w:color w:val="auto"/>
              </w:rPr>
            </w:pPr>
          </w:p>
        </w:tc>
        <w:tc>
          <w:tcPr>
            <w:tcW w:w="1180" w:type="dxa"/>
            <w:vAlign w:val="bottom"/>
            <w:tcBorders>
              <w:bottom w:val="single" w:sz="8" w:color="auto"/>
            </w:tcBorders>
          </w:tcPr>
          <w:p>
            <w:pPr>
              <w:ind w:left="980"/>
              <w:spacing w:after="0"/>
              <w:rPr>
                <w:sz w:val="20"/>
                <w:szCs w:val="20"/>
                <w:color w:val="auto"/>
              </w:rPr>
            </w:pPr>
            <w:r>
              <w:rPr>
                <w:rFonts w:ascii="Arial" w:cs="Arial" w:eastAsia="Arial" w:hAnsi="Arial"/>
                <w:sz w:val="18"/>
                <w:szCs w:val="18"/>
                <w:color w:val="auto"/>
                <w:w w:val="94"/>
              </w:rPr>
              <w:t>/s/</w:t>
            </w:r>
          </w:p>
        </w:tc>
        <w:tc>
          <w:tcPr>
            <w:tcW w:w="3560" w:type="dxa"/>
            <w:vAlign w:val="bottom"/>
            <w:tcBorders>
              <w:bottom w:val="single" w:sz="8" w:color="auto"/>
            </w:tcBorders>
          </w:tcPr>
          <w:p>
            <w:pPr>
              <w:jc w:val="center"/>
              <w:ind w:right="1104"/>
              <w:spacing w:after="0"/>
              <w:rPr>
                <w:sz w:val="20"/>
                <w:szCs w:val="20"/>
                <w:color w:val="auto"/>
              </w:rPr>
            </w:pPr>
            <w:r>
              <w:rPr>
                <w:rFonts w:ascii="Arial" w:cs="Arial" w:eastAsia="Arial" w:hAnsi="Arial"/>
                <w:sz w:val="18"/>
                <w:szCs w:val="18"/>
                <w:color w:val="auto"/>
                <w:w w:val="92"/>
              </w:rPr>
              <w:t>PETER H. STRATTON, JR.</w:t>
            </w:r>
          </w:p>
        </w:tc>
      </w:tr>
      <w:tr>
        <w:trPr>
          <w:trHeight w:val="143"/>
        </w:trPr>
        <w:tc>
          <w:tcPr>
            <w:tcW w:w="49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560" w:type="dxa"/>
            <w:vAlign w:val="bottom"/>
          </w:tcPr>
          <w:p>
            <w:pPr>
              <w:jc w:val="center"/>
              <w:ind w:right="1104"/>
              <w:spacing w:after="0" w:line="143" w:lineRule="exact"/>
              <w:rPr>
                <w:sz w:val="20"/>
                <w:szCs w:val="20"/>
                <w:color w:val="auto"/>
              </w:rPr>
            </w:pPr>
            <w:r>
              <w:rPr>
                <w:rFonts w:ascii="Arial" w:cs="Arial" w:eastAsia="Arial" w:hAnsi="Arial"/>
                <w:sz w:val="13"/>
                <w:szCs w:val="13"/>
                <w:b w:val="1"/>
                <w:bCs w:val="1"/>
                <w:color w:val="auto"/>
                <w:w w:val="97"/>
              </w:rPr>
              <w:t>Peter H. Stratton, Jr.</w:t>
            </w:r>
          </w:p>
        </w:tc>
      </w:tr>
    </w:tbl>
    <w:p>
      <w:pPr>
        <w:ind w:left="5520"/>
        <w:spacing w:after="0"/>
        <w:rPr>
          <w:sz w:val="20"/>
          <w:szCs w:val="20"/>
          <w:color w:val="auto"/>
        </w:rPr>
      </w:pPr>
      <w:r>
        <w:rPr>
          <w:rFonts w:ascii="Arial" w:cs="Arial" w:eastAsia="Arial" w:hAnsi="Arial"/>
          <w:sz w:val="13"/>
          <w:szCs w:val="13"/>
          <w:b w:val="1"/>
          <w:bCs w:val="1"/>
          <w:color w:val="auto"/>
        </w:rPr>
        <w:t>Executive Vice President, Chief Financial Officer and Treasurer</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20"/>
          </w:cols>
          <w:pgMar w:left="320" w:top="499" w:right="35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31.1</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 CERTIFICATION</w:t>
      </w:r>
    </w:p>
    <w:p>
      <w:pPr>
        <w:spacing w:after="0" w:line="175" w:lineRule="exact"/>
        <w:rPr>
          <w:sz w:val="20"/>
          <w:szCs w:val="20"/>
          <w:color w:val="auto"/>
        </w:rPr>
      </w:pPr>
    </w:p>
    <w:p>
      <w:pPr>
        <w:ind w:left="20"/>
        <w:spacing w:after="0"/>
        <w:rPr>
          <w:sz w:val="20"/>
          <w:szCs w:val="20"/>
          <w:color w:val="auto"/>
        </w:rPr>
      </w:pPr>
      <w:r>
        <w:rPr>
          <w:rFonts w:ascii="Arial" w:cs="Arial" w:eastAsia="Arial" w:hAnsi="Arial"/>
          <w:sz w:val="18"/>
          <w:szCs w:val="18"/>
          <w:color w:val="auto"/>
        </w:rPr>
        <w:t>I, Harvey S. Kanter, certify that:</w:t>
      </w:r>
    </w:p>
    <w:p>
      <w:pPr>
        <w:spacing w:after="0" w:line="90" w:lineRule="exact"/>
        <w:rPr>
          <w:sz w:val="20"/>
          <w:szCs w:val="20"/>
          <w:color w:val="auto"/>
        </w:rPr>
      </w:pPr>
    </w:p>
    <w:p>
      <w:pPr>
        <w:ind w:left="580" w:hanging="572"/>
        <w:spacing w:after="0"/>
        <w:tabs>
          <w:tab w:leader="none" w:pos="5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Annual Report on Form 10-K/A of Destination XL Group, Inc.;</w:t>
      </w:r>
    </w:p>
    <w:p>
      <w:pPr>
        <w:spacing w:after="0" w:line="157" w:lineRule="exact"/>
        <w:rPr>
          <w:rFonts w:ascii="Arial" w:cs="Arial" w:eastAsia="Arial" w:hAnsi="Arial"/>
          <w:sz w:val="18"/>
          <w:szCs w:val="18"/>
          <w:color w:val="auto"/>
        </w:rPr>
      </w:pPr>
    </w:p>
    <w:p>
      <w:pPr>
        <w:jc w:val="both"/>
        <w:ind w:left="580" w:right="180" w:hanging="572"/>
        <w:spacing w:after="0" w:line="263" w:lineRule="auto"/>
        <w:tabs>
          <w:tab w:leader="none" w:pos="5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46" w:lineRule="exact"/>
        <w:rPr>
          <w:sz w:val="20"/>
          <w:szCs w:val="20"/>
          <w:color w:val="auto"/>
        </w:rPr>
      </w:pPr>
    </w:p>
    <w:p>
      <w:pPr>
        <w:spacing w:after="0"/>
        <w:tabs>
          <w:tab w:leader="none" w:pos="6720" w:val="left"/>
          <w:tab w:leader="none" w:pos="8360" w:val="left"/>
        </w:tabs>
        <w:rPr>
          <w:sz w:val="20"/>
          <w:szCs w:val="20"/>
          <w:color w:val="auto"/>
        </w:rPr>
      </w:pPr>
      <w:r>
        <w:rPr>
          <w:rFonts w:ascii="Arial" w:cs="Arial" w:eastAsia="Arial" w:hAnsi="Arial"/>
          <w:sz w:val="18"/>
          <w:szCs w:val="18"/>
          <w:color w:val="auto"/>
        </w:rPr>
        <w:t>Date:June 1,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Harvey S. Kanter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14605</wp:posOffset>
            </wp:positionV>
            <wp:extent cx="269176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691765" cy="8255"/>
                    </a:xfrm>
                    <a:prstGeom prst="rect">
                      <a:avLst/>
                    </a:prstGeom>
                    <a:noFill/>
                  </pic:spPr>
                </pic:pic>
              </a:graphicData>
            </a:graphic>
          </wp:anchor>
        </w:drawing>
      </w:r>
    </w:p>
    <w:p>
      <w:pPr>
        <w:jc w:val="center"/>
        <w:ind w:left="6980"/>
        <w:spacing w:after="0"/>
        <w:rPr>
          <w:sz w:val="20"/>
          <w:szCs w:val="20"/>
          <w:color w:val="auto"/>
        </w:rPr>
      </w:pPr>
      <w:r>
        <w:rPr>
          <w:rFonts w:ascii="Arial" w:cs="Arial" w:eastAsia="Arial" w:hAnsi="Arial"/>
          <w:sz w:val="14"/>
          <w:szCs w:val="14"/>
          <w:b w:val="1"/>
          <w:bCs w:val="1"/>
          <w:color w:val="auto"/>
        </w:rPr>
        <w:t>Harvey S. Kanter</w:t>
      </w:r>
    </w:p>
    <w:p>
      <w:pPr>
        <w:jc w:val="center"/>
        <w:ind w:left="6980"/>
        <w:spacing w:after="0"/>
        <w:rPr>
          <w:sz w:val="20"/>
          <w:szCs w:val="20"/>
          <w:color w:val="auto"/>
        </w:rPr>
      </w:pPr>
      <w:r>
        <w:rPr>
          <w:rFonts w:ascii="Arial" w:cs="Arial" w:eastAsia="Arial" w:hAnsi="Arial"/>
          <w:sz w:val="14"/>
          <w:szCs w:val="14"/>
          <w:b w:val="1"/>
          <w:bCs w:val="1"/>
          <w:color w:val="auto"/>
        </w:rPr>
        <w:t>President and Chief Executive Officer</w:t>
      </w:r>
    </w:p>
    <w:p>
      <w:pPr>
        <w:sectPr>
          <w:pgSz w:w="11900" w:h="16838" w:orient="portrait"/>
          <w:cols w:equalWidth="0" w:num="1">
            <w:col w:w="11240"/>
          </w:cols>
          <w:pgMar w:left="320" w:top="121"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31.2</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FINANCIAL OFFICER CERTIFICATION</w:t>
      </w:r>
    </w:p>
    <w:p>
      <w:pPr>
        <w:spacing w:after="0" w:line="175" w:lineRule="exact"/>
        <w:rPr>
          <w:sz w:val="20"/>
          <w:szCs w:val="20"/>
          <w:color w:val="auto"/>
        </w:rPr>
      </w:pPr>
    </w:p>
    <w:p>
      <w:pPr>
        <w:ind w:left="20"/>
        <w:spacing w:after="0"/>
        <w:rPr>
          <w:sz w:val="20"/>
          <w:szCs w:val="20"/>
          <w:color w:val="auto"/>
        </w:rPr>
      </w:pPr>
      <w:r>
        <w:rPr>
          <w:rFonts w:ascii="Arial" w:cs="Arial" w:eastAsia="Arial" w:hAnsi="Arial"/>
          <w:sz w:val="18"/>
          <w:szCs w:val="18"/>
          <w:color w:val="auto"/>
        </w:rPr>
        <w:t>I, Peter H. Stratton, Jr., certify that:</w:t>
      </w:r>
    </w:p>
    <w:p>
      <w:pPr>
        <w:spacing w:after="0" w:line="90" w:lineRule="exact"/>
        <w:rPr>
          <w:sz w:val="20"/>
          <w:szCs w:val="20"/>
          <w:color w:val="auto"/>
        </w:rPr>
      </w:pPr>
    </w:p>
    <w:p>
      <w:pPr>
        <w:ind w:left="580" w:hanging="572"/>
        <w:spacing w:after="0"/>
        <w:tabs>
          <w:tab w:leader="none" w:pos="5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Annual Report on Form 10-K/A of Destination XL Group, Inc.;</w:t>
      </w:r>
    </w:p>
    <w:p>
      <w:pPr>
        <w:spacing w:after="0" w:line="157" w:lineRule="exact"/>
        <w:rPr>
          <w:rFonts w:ascii="Arial" w:cs="Arial" w:eastAsia="Arial" w:hAnsi="Arial"/>
          <w:sz w:val="18"/>
          <w:szCs w:val="18"/>
          <w:color w:val="auto"/>
        </w:rPr>
      </w:pPr>
    </w:p>
    <w:p>
      <w:pPr>
        <w:jc w:val="both"/>
        <w:ind w:left="580" w:right="180" w:hanging="572"/>
        <w:spacing w:after="0" w:line="263" w:lineRule="auto"/>
        <w:tabs>
          <w:tab w:leader="none" w:pos="5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46" w:lineRule="exact"/>
        <w:rPr>
          <w:sz w:val="20"/>
          <w:szCs w:val="20"/>
          <w:color w:val="auto"/>
        </w:rPr>
      </w:pPr>
    </w:p>
    <w:p>
      <w:pPr>
        <w:spacing w:after="0"/>
        <w:tabs>
          <w:tab w:leader="none" w:pos="6720" w:val="left"/>
          <w:tab w:leader="none" w:pos="8260" w:val="left"/>
        </w:tabs>
        <w:rPr>
          <w:sz w:val="20"/>
          <w:szCs w:val="20"/>
          <w:color w:val="auto"/>
        </w:rPr>
      </w:pPr>
      <w:r>
        <w:rPr>
          <w:rFonts w:ascii="Arial" w:cs="Arial" w:eastAsia="Arial" w:hAnsi="Arial"/>
          <w:sz w:val="18"/>
          <w:szCs w:val="18"/>
          <w:color w:val="auto"/>
        </w:rPr>
        <w:t>Date:June 1,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Peter H. Stratton,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14605</wp:posOffset>
            </wp:positionV>
            <wp:extent cx="269176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691765" cy="8255"/>
                    </a:xfrm>
                    <a:prstGeom prst="rect">
                      <a:avLst/>
                    </a:prstGeom>
                    <a:noFill/>
                  </pic:spPr>
                </pic:pic>
              </a:graphicData>
            </a:graphic>
          </wp:anchor>
        </w:drawing>
      </w:r>
    </w:p>
    <w:p>
      <w:pPr>
        <w:jc w:val="center"/>
        <w:ind w:left="6980"/>
        <w:spacing w:after="0"/>
        <w:rPr>
          <w:sz w:val="20"/>
          <w:szCs w:val="20"/>
          <w:color w:val="auto"/>
        </w:rPr>
      </w:pPr>
      <w:r>
        <w:rPr>
          <w:rFonts w:ascii="Arial" w:cs="Arial" w:eastAsia="Arial" w:hAnsi="Arial"/>
          <w:sz w:val="14"/>
          <w:szCs w:val="14"/>
          <w:b w:val="1"/>
          <w:bCs w:val="1"/>
          <w:color w:val="auto"/>
        </w:rPr>
        <w:t>Peter H. Stratton, Jr.</w:t>
      </w:r>
    </w:p>
    <w:p>
      <w:pPr>
        <w:jc w:val="center"/>
        <w:ind w:left="6980"/>
        <w:spacing w:after="0"/>
        <w:rPr>
          <w:sz w:val="20"/>
          <w:szCs w:val="20"/>
          <w:color w:val="auto"/>
        </w:rPr>
      </w:pPr>
      <w:r>
        <w:rPr>
          <w:rFonts w:ascii="Arial" w:cs="Arial" w:eastAsia="Arial" w:hAnsi="Arial"/>
          <w:sz w:val="14"/>
          <w:szCs w:val="14"/>
          <w:b w:val="1"/>
          <w:bCs w:val="1"/>
          <w:color w:val="auto"/>
        </w:rPr>
        <w:t>Executive Vice President, Chief Financial Officer and Treasurer</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1)"/>
      <w:numFmt w:val="decimal"/>
      <w:start w:val="1"/>
    </w:lvl>
  </w:abstractNum>
  <w:abstractNum w:abstractNumId="3">
    <w:nsid w:val="721DA317"/>
    <w:multiLevelType w:val="hybridMultilevel"/>
    <w:lvl w:ilvl="0">
      <w:lvlJc w:val="left"/>
      <w:lvlText w:val="➣"/>
      <w:numFmt w:val="bullet"/>
      <w:start w:val="1"/>
    </w:lvl>
  </w:abstractNum>
  <w:abstractNum w:abstractNumId="4">
    <w:nsid w:val="2443A858"/>
    <w:multiLevelType w:val="hybridMultilevel"/>
    <w:lvl w:ilvl="0">
      <w:lvlJc w:val="left"/>
      <w:lvlText w:val="(%1)"/>
      <w:numFmt w:val="decimal"/>
      <w:start w:val="1"/>
    </w:lvl>
  </w:abstractNum>
  <w:abstractNum w:abstractNumId="5">
    <w:nsid w:val="2D1D5AE9"/>
    <w:multiLevelType w:val="hybridMultilevel"/>
    <w:lvl w:ilvl="0">
      <w:lvlJc w:val="left"/>
      <w:lvlText w:val="•"/>
      <w:numFmt w:val="bullet"/>
      <w:start w:val="1"/>
    </w:lvl>
  </w:abstractNum>
  <w:abstractNum w:abstractNumId="6">
    <w:nsid w:val="6763845E"/>
    <w:multiLevelType w:val="hybridMultilevel"/>
    <w:lvl w:ilvl="0">
      <w:lvlJc w:val="left"/>
      <w:lvlText w:val="✓"/>
      <w:numFmt w:val="bullet"/>
      <w:start w:val="1"/>
    </w:lvl>
  </w:abstractNum>
  <w:abstractNum w:abstractNumId="7">
    <w:nsid w:val="75A2A8D4"/>
    <w:multiLevelType w:val="hybridMultilevel"/>
    <w:lvl w:ilvl="0">
      <w:lvlJc w:val="left"/>
      <w:lvlText w:val="•"/>
      <w:numFmt w:val="bullet"/>
      <w:start w:val="1"/>
    </w:lvl>
  </w:abstractNum>
  <w:abstractNum w:abstractNumId="8">
    <w:nsid w:val="8EDBDAB"/>
    <w:multiLevelType w:val="hybridMultilevel"/>
    <w:lvl w:ilvl="0">
      <w:lvlJc w:val="left"/>
      <w:lvlText w:val="(%1)"/>
      <w:numFmt w:val="decimal"/>
      <w:start w:val="1"/>
    </w:lvl>
  </w:abstractNum>
  <w:abstractNum w:abstractNumId="9">
    <w:nsid w:val="79838CB2"/>
    <w:multiLevelType w:val="hybridMultilevel"/>
    <w:lvl w:ilvl="0">
      <w:lvlJc w:val="left"/>
      <w:lvlText w:val="(%1)"/>
      <w:numFmt w:val="decimal"/>
      <w:start w:val="1"/>
    </w:lvl>
  </w:abstractNum>
  <w:abstractNum w:abstractNumId="10">
    <w:nsid w:val="4353D0CD"/>
    <w:multiLevelType w:val="hybridMultilevel"/>
    <w:lvl w:ilvl="0">
      <w:lvlJc w:val="left"/>
      <w:lvlText w:val="•"/>
      <w:numFmt w:val="bullet"/>
      <w:start w:val="1"/>
    </w:lvl>
  </w:abstractNum>
  <w:abstractNum w:abstractNumId="11">
    <w:nsid w:val="B03E0C6"/>
    <w:multiLevelType w:val="hybridMultilevel"/>
    <w:lvl w:ilvl="0">
      <w:lvlJc w:val="left"/>
      <w:lvlText w:val="(%1)"/>
      <w:numFmt w:val="decimal"/>
      <w:start w:val="1"/>
    </w:lvl>
  </w:abstractNum>
  <w:abstractNum w:abstractNumId="12">
    <w:nsid w:val="189A769B"/>
    <w:multiLevelType w:val="hybridMultilevel"/>
    <w:lvl w:ilvl="0">
      <w:lvlJc w:val="left"/>
      <w:lvlText w:val="(%1)"/>
      <w:numFmt w:val="decimal"/>
      <w:start w:val="1"/>
    </w:lvl>
  </w:abstractNum>
  <w:abstractNum w:abstractNumId="13">
    <w:nsid w:val="54E49EB4"/>
    <w:multiLevelType w:val="hybridMultilevel"/>
    <w:lvl w:ilvl="0">
      <w:lvlJc w:val="left"/>
      <w:lvlText w:val="(%1)"/>
      <w:numFmt w:val="decimal"/>
      <w:start w:val="1"/>
    </w:lvl>
  </w:abstractNum>
  <w:abstractNum w:abstractNumId="14">
    <w:nsid w:val="71F32454"/>
    <w:multiLevelType w:val="hybridMultilevel"/>
    <w:lvl w:ilvl="0">
      <w:lvlJc w:val="left"/>
      <w:lvlText w:val="•"/>
      <w:numFmt w:val="bullet"/>
      <w:start w:val="1"/>
    </w:lvl>
  </w:abstractNum>
  <w:abstractNum w:abstractNumId="15">
    <w:nsid w:val="2CA88611"/>
    <w:multiLevelType w:val="hybridMultilevel"/>
    <w:lvl w:ilvl="0">
      <w:lvlJc w:val="left"/>
      <w:lvlText w:val="•"/>
      <w:numFmt w:val="bullet"/>
      <w:start w:val="1"/>
    </w:lvl>
  </w:abstractNum>
  <w:abstractNum w:abstractNumId="16">
    <w:nsid w:val="836C40E"/>
    <w:multiLevelType w:val="hybridMultilevel"/>
    <w:lvl w:ilvl="0">
      <w:lvlJc w:val="left"/>
      <w:lvlText w:val="•"/>
      <w:numFmt w:val="bullet"/>
      <w:start w:val="1"/>
    </w:lvl>
  </w:abstractNum>
  <w:abstractNum w:abstractNumId="17">
    <w:nsid w:val="2901D82"/>
    <w:multiLevelType w:val="hybridMultilevel"/>
    <w:lvl w:ilvl="0">
      <w:lvlJc w:val="left"/>
      <w:lvlText w:val="(%1)"/>
      <w:numFmt w:val="decimal"/>
      <w:start w:val="1"/>
    </w:lvl>
  </w:abstractNum>
  <w:abstractNum w:abstractNumId="18">
    <w:nsid w:val="3A95F874"/>
    <w:multiLevelType w:val="hybridMultilevel"/>
    <w:lvl w:ilvl="0">
      <w:lvlJc w:val="left"/>
      <w:lvlText w:val="(%1)"/>
      <w:numFmt w:val="decimal"/>
      <w:start w:val="3"/>
    </w:lvl>
  </w:abstractNum>
  <w:abstractNum w:abstractNumId="19">
    <w:nsid w:val="8138641"/>
    <w:multiLevelType w:val="hybridMultilevel"/>
    <w:lvl w:ilvl="0">
      <w:lvlJc w:val="left"/>
      <w:lvlText w:val="(%1)"/>
      <w:numFmt w:val="decimal"/>
      <w:start w:val="1"/>
    </w:lvl>
  </w:abstractNum>
  <w:abstractNum w:abstractNumId="20">
    <w:nsid w:val="1E7FF521"/>
    <w:multiLevelType w:val="hybridMultilevel"/>
    <w:lvl w:ilvl="0">
      <w:lvlJc w:val="left"/>
      <w:lvlText w:val="(%1)"/>
      <w:numFmt w:val="decimal"/>
      <w:start w:val="1"/>
    </w:lvl>
  </w:abstractNum>
  <w:abstractNum w:abstractNumId="21">
    <w:nsid w:val="7C3DBD3D"/>
    <w:multiLevelType w:val="hybridMultilevel"/>
    <w:lvl w:ilvl="0">
      <w:lvlJc w:val="left"/>
      <w:lvlText w:val="•"/>
      <w:numFmt w:val="bullet"/>
      <w:start w:val="1"/>
    </w:lvl>
  </w:abstractNum>
  <w:abstractNum w:abstractNumId="22">
    <w:nsid w:val="737B8DDC"/>
    <w:multiLevelType w:val="hybridMultilevel"/>
    <w:lvl w:ilvl="0">
      <w:lvlJc w:val="left"/>
      <w:lvlText w:val="(%1)"/>
      <w:numFmt w:val="lowerRoman"/>
      <w:start w:val="1"/>
    </w:lvl>
  </w:abstractNum>
  <w:abstractNum w:abstractNumId="23">
    <w:nsid w:val="6CEAF087"/>
    <w:multiLevelType w:val="hybridMultilevel"/>
    <w:lvl w:ilvl="0">
      <w:lvlJc w:val="left"/>
      <w:lvlText w:val="(%1)"/>
      <w:numFmt w:val="lowerRoman"/>
      <w:start w:val="2"/>
    </w:lvl>
  </w:abstractNum>
  <w:abstractNum w:abstractNumId="24">
    <w:nsid w:val="22221A70"/>
    <w:multiLevelType w:val="hybridMultilevel"/>
    <w:lvl w:ilvl="0">
      <w:lvlJc w:val="left"/>
      <w:lvlText w:val="(%1)"/>
      <w:numFmt w:val="lowerRoman"/>
      <w:start w:val="1"/>
    </w:lvl>
  </w:abstractNum>
  <w:abstractNum w:abstractNumId="25">
    <w:nsid w:val="4516DDE9"/>
    <w:multiLevelType w:val="hybridMultilevel"/>
    <w:lvl w:ilvl="0">
      <w:lvlJc w:val="left"/>
      <w:lvlText w:val="(%1)"/>
      <w:numFmt w:val="decimal"/>
      <w:start w:val="1"/>
    </w:lvl>
  </w:abstractNum>
  <w:abstractNum w:abstractNumId="26">
    <w:nsid w:val="3006C83E"/>
    <w:multiLevelType w:val="hybridMultilevel"/>
    <w:lvl w:ilvl="0">
      <w:lvlJc w:val="left"/>
      <w:lvlText w:val="(%1)"/>
      <w:numFmt w:val="decimal"/>
      <w:start w:val="1"/>
    </w:lvl>
  </w:abstractNum>
  <w:abstractNum w:abstractNumId="27">
    <w:nsid w:val="614FD4A1"/>
    <w:multiLevelType w:val="hybridMultilevel"/>
    <w:lvl w:ilvl="0">
      <w:lvlJc w:val="left"/>
      <w:lvlText w:val="(%1)"/>
      <w:numFmt w:val="decimal"/>
      <w:start w:val="1"/>
    </w:lvl>
  </w:abstractNum>
  <w:abstractNum w:abstractNumId="28">
    <w:nsid w:val="419AC241"/>
    <w:multiLevelType w:val="hybridMultilevel"/>
    <w:lvl w:ilvl="0">
      <w:lvlJc w:val="left"/>
      <w:lvlText w:val="(%1)"/>
      <w:numFmt w:val="decimal"/>
      <w:start w:val="5"/>
    </w:lvl>
  </w:abstractNum>
  <w:abstractNum w:abstractNumId="29">
    <w:nsid w:val="5577F8E1"/>
    <w:multiLevelType w:val="hybridMultilevel"/>
    <w:lvl w:ilvl="0">
      <w:lvlJc w:val="left"/>
      <w:lvlText w:val="(%1)"/>
      <w:numFmt w:val="decimal"/>
      <w:start w:val="1"/>
    </w:lvl>
  </w:abstractNum>
  <w:abstractNum w:abstractNumId="30">
    <w:nsid w:val="440BADFC"/>
    <w:multiLevelType w:val="hybridMultilevel"/>
    <w:lvl w:ilvl="0">
      <w:lvlJc w:val="left"/>
      <w:lvlText w:val="•"/>
      <w:numFmt w:val="bullet"/>
      <w:start w:val="1"/>
    </w:lvl>
  </w:abstractNum>
  <w:abstractNum w:abstractNumId="31">
    <w:nsid w:val="5072367"/>
    <w:multiLevelType w:val="hybridMultilevel"/>
    <w:lvl w:ilvl="0">
      <w:lvlJc w:val="left"/>
      <w:lvlText w:val="(%1)"/>
      <w:numFmt w:val="decimal"/>
      <w:start w:val="1"/>
    </w:lvl>
  </w:abstractNum>
  <w:abstractNum w:abstractNumId="32">
    <w:nsid w:val="3804823E"/>
    <w:multiLevelType w:val="hybridMultilevel"/>
    <w:lvl w:ilvl="0">
      <w:lvlJc w:val="left"/>
      <w:lvlText w:val="(%1)"/>
      <w:numFmt w:val="decimal"/>
      <w:start w:val="1"/>
    </w:lvl>
  </w:abstractNum>
  <w:abstractNum w:abstractNumId="33">
    <w:nsid w:val="77465F01"/>
    <w:multiLevelType w:val="hybridMultilevel"/>
    <w:lvl w:ilvl="0">
      <w:lvlJc w:val="left"/>
      <w:lvlText w:val="(%1)"/>
      <w:numFmt w:val="decimal"/>
      <w:start w:val="4"/>
    </w:lvl>
  </w:abstractNum>
  <w:abstractNum w:abstractNumId="34">
    <w:nsid w:val="7724C67E"/>
    <w:multiLevelType w:val="hybridMultilevel"/>
    <w:lvl w:ilvl="0">
      <w:lvlJc w:val="left"/>
      <w:lvlText w:val="(%1)"/>
      <w:numFmt w:val="decimal"/>
      <w:start w:val="1"/>
    </w:lvl>
  </w:abstractNum>
  <w:abstractNum w:abstractNumId="35">
    <w:nsid w:val="5C482A97"/>
    <w:multiLevelType w:val="hybridMultilevel"/>
    <w:lvl w:ilvl="0">
      <w:lvlJc w:val="left"/>
      <w:lvlText w:val="(%1)"/>
      <w:numFmt w:val="decimal"/>
      <w:start w:val="1"/>
    </w:lvl>
  </w:abstractNum>
  <w:abstractNum w:abstractNumId="36">
    <w:nsid w:val="2463B9EA"/>
    <w:multiLevelType w:val="hybridMultilevel"/>
    <w:lvl w:ilvl="0">
      <w:lvlJc w:val="left"/>
      <w:lvlText w:val="(%1)"/>
      <w:numFmt w:val="decimal"/>
      <w:start w:val="1"/>
    </w:lvl>
  </w:abstractNum>
  <w:abstractNum w:abstractNumId="37">
    <w:nsid w:val="5E884ADC"/>
    <w:multiLevelType w:val="hybridMultilevel"/>
    <w:lvl w:ilvl="0">
      <w:lvlJc w:val="left"/>
      <w:lvlText w:val="%1"/>
      <w:numFmt w:val="decimal"/>
      <w:start w:val="104"/>
    </w:lvl>
  </w:abstractNum>
  <w:abstractNum w:abstractNumId="38">
    <w:nsid w:val="51EAD36B"/>
    <w:multiLevelType w:val="hybridMultilevel"/>
    <w:lvl w:ilvl="0">
      <w:lvlJc w:val="left"/>
      <w:lvlText w:val="%1."/>
      <w:numFmt w:val="decimal"/>
      <w:start w:val="1"/>
    </w:lvl>
  </w:abstractNum>
  <w:abstractNum w:abstractNumId="39">
    <w:nsid w:val="2D51779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2021-06-01T15:15:42Z</dcterms:created>
  <dcterms:modified xsi:type="dcterms:W3CDTF">2021-06-01T15:15:42Z</dcterms:modified>
</cp:coreProperties>
</file>