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Times New Roman" w:cs="Times New Roman" w:eastAsia="Times New Roman" w:hAnsi="Times New Roman"/>
          <w:sz w:val="16"/>
          <w:szCs w:val="16"/>
          <w:color w:val="auto"/>
        </w:rPr>
        <w:t>OMB Number: 3235-0145</w:t>
      </w:r>
    </w:p>
    <w:p>
      <w:pPr>
        <w:spacing w:after="0" w:line="21"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6"/>
          <w:szCs w:val="16"/>
          <w:color w:val="auto"/>
        </w:rPr>
        <w:t>Expires: February 28, 2009</w:t>
      </w:r>
    </w:p>
    <w:p>
      <w:pPr>
        <w:spacing w:after="0" w:line="79"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8"/>
          <w:szCs w:val="18"/>
          <w:color w:val="auto"/>
        </w:rPr>
        <w:t>Estimated average burden</w:t>
      </w:r>
    </w:p>
    <w:p>
      <w:pPr>
        <w:spacing w:after="0" w:line="21"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8"/>
          <w:szCs w:val="18"/>
          <w:color w:val="auto"/>
        </w:rPr>
        <w:t>hours per response. . . 11</w:t>
      </w:r>
    </w:p>
    <w:p>
      <w:pPr>
        <w:spacing w:after="0" w:line="200" w:lineRule="exact"/>
        <w:rPr>
          <w:sz w:val="24"/>
          <w:szCs w:val="24"/>
          <w:color w:val="auto"/>
        </w:rPr>
      </w:pPr>
    </w:p>
    <w:p>
      <w:pPr>
        <w:spacing w:after="0" w:line="239"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9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(Amendment No. 1 )</w:t>
      </w:r>
    </w:p>
    <w:p>
      <w:pPr>
        <w:spacing w:after="0" w:line="250"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77470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November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0219"/>
          </w:cols>
          <w:pgMar w:left="240" w:top="274" w:right="1440" w:bottom="175" w:gutter="0" w:footer="0" w:header="0"/>
        </w:sectPr>
      </w:pP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10" w:lineRule="exact"/>
        <w:rPr>
          <w:sz w:val="24"/>
          <w:szCs w:val="24"/>
          <w:color w:val="auto"/>
        </w:rPr>
      </w:pPr>
    </w:p>
    <w:p>
      <w:pPr>
        <w:sectPr>
          <w:pgSz w:w="11900" w:h="16838" w:orient="portrait"/>
          <w:cols w:equalWidth="0" w:num="2">
            <w:col w:w="200" w:space="420"/>
            <w:col w:w="9599"/>
          </w:cols>
          <w:pgMar w:left="240" w:top="274" w:right="1440" w:bottom="175"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200" w:space="420"/>
            <w:col w:w="9599"/>
          </w:cols>
          <w:pgMar w:left="240" w:top="274" w:right="1440" w:bottom="175" w:gutter="0" w:footer="0" w:header="0"/>
          <w:type w:val="continuous"/>
        </w:sectPr>
      </w:pPr>
    </w:p>
    <w:p>
      <w:pPr>
        <w:spacing w:after="0" w:line="85" w:lineRule="exact"/>
        <w:rPr>
          <w:sz w:val="24"/>
          <w:szCs w:val="24"/>
          <w:color w:val="auto"/>
        </w:rPr>
      </w:pPr>
    </w:p>
    <w:p>
      <w:pPr>
        <w:jc w:val="both"/>
        <w:ind w:left="20" w:right="1259"/>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jc w:val="both"/>
        <w:ind w:left="20" w:right="1259"/>
        <w:spacing w:after="0" w:line="239"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color w:val="auto"/>
        </w:rPr>
        <w:t>CUSIP No. 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09" w:lineRule="exact"/>
        <w:rPr>
          <w:sz w:val="24"/>
          <w:szCs w:val="24"/>
          <w:color w:val="auto"/>
        </w:rPr>
      </w:pPr>
    </w:p>
    <w:p>
      <w:pPr>
        <w:ind w:left="700" w:right="6699" w:hanging="435"/>
        <w:spacing w:after="0" w:line="282" w:lineRule="auto"/>
        <w:tabs>
          <w:tab w:leader="none" w:pos="7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Wells Fargo &amp; Company</w:t>
      </w:r>
    </w:p>
    <w:p>
      <w:pPr>
        <w:spacing w:after="0" w:line="27" w:lineRule="exact"/>
        <w:rPr>
          <w:sz w:val="24"/>
          <w:szCs w:val="24"/>
          <w:color w:val="auto"/>
        </w:rPr>
      </w:pPr>
    </w:p>
    <w:p>
      <w:pPr>
        <w:ind w:left="700" w:right="8479" w:hanging="3"/>
        <w:spacing w:after="0" w:line="282" w:lineRule="auto"/>
        <w:tabs>
          <w:tab w:leader="none" w:pos="100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41-0449260</w:t>
      </w:r>
    </w:p>
    <w:p>
      <w:pPr>
        <w:spacing w:after="0" w:line="377" w:lineRule="exact"/>
        <w:rPr>
          <w:rFonts w:ascii="Times New Roman" w:cs="Times New Roman" w:eastAsia="Times New Roman" w:hAnsi="Times New Roman"/>
          <w:sz w:val="21"/>
          <w:szCs w:val="21"/>
          <w:color w:val="auto"/>
        </w:rPr>
      </w:pPr>
    </w:p>
    <w:p>
      <w:pPr>
        <w:ind w:left="700" w:hanging="435"/>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040" w:hanging="343"/>
        <w:spacing w:after="0"/>
        <w:tabs>
          <w:tab w:leader="none" w:pos="1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63"/>
        <w:spacing w:after="0"/>
        <w:tabs>
          <w:tab w:leader="none" w:pos="10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-744855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74" w:right="1440" w:bottom="175" w:gutter="0" w:footer="0" w:header="0"/>
          <w:type w:val="continuous"/>
        </w:sectPr>
      </w:pPr>
    </w:p>
    <w:bookmarkStart w:id="1" w:name="page2"/>
    <w:bookmarkEnd w:id="1"/>
    <w:p>
      <w:pPr>
        <w:ind w:left="640" w:hanging="43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 0</w:t>
            </w:r>
          </w:p>
        </w:tc>
        <w:tc>
          <w:tcPr>
            <w:tcW w:w="0" w:type="dxa"/>
            <w:vAlign w:val="bottom"/>
          </w:tcPr>
          <w:p>
            <w:pPr>
              <w:spacing w:after="0"/>
              <w:rPr>
                <w:sz w:val="1"/>
                <w:szCs w:val="1"/>
                <w:color w:val="auto"/>
              </w:rPr>
            </w:pPr>
          </w:p>
        </w:tc>
      </w:tr>
      <w:tr>
        <w:trPr>
          <w:trHeight w:val="214"/>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420" w:type="dxa"/>
            <w:vAlign w:val="bottom"/>
            <w:vMerge w:val="continue"/>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 0</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20" w:type="dxa"/>
            <w:vAlign w:val="bottom"/>
            <w:vMerge w:val="continue"/>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-997585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-997585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-551815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-551815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-105410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-105410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 w:lineRule="exact"/>
        <w:rPr>
          <w:sz w:val="20"/>
          <w:szCs w:val="20"/>
          <w:color w:val="auto"/>
        </w:rPr>
      </w:pPr>
    </w:p>
    <w:p>
      <w:pPr>
        <w:ind w:left="1640" w:hanging="220"/>
        <w:spacing w:after="0"/>
        <w:tabs>
          <w:tab w:leader="none" w:pos="16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Five percent or less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-1637030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CASUAL MALE RETAIL GROUP, INC</w:t>
      </w:r>
    </w:p>
    <w:p>
      <w:pPr>
        <w:spacing w:after="0" w:line="74" w:lineRule="exact"/>
        <w:rPr>
          <w:rFonts w:ascii="Times New Roman" w:cs="Times New Roman" w:eastAsia="Times New Roman" w:hAnsi="Times New Roman"/>
          <w:sz w:val="22"/>
          <w:szCs w:val="22"/>
          <w:color w:val="auto"/>
        </w:rPr>
      </w:pPr>
    </w:p>
    <w:p>
      <w:pPr>
        <w:ind w:left="700" w:right="5139" w:hanging="374"/>
        <w:spacing w:after="0" w:line="346" w:lineRule="auto"/>
        <w:tabs>
          <w:tab w:leader="none" w:pos="7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555 TURNPIKE STREET, CANTON, MA 02021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right="731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Person Filing Wells Fargo &amp; Company</w:t>
      </w:r>
    </w:p>
    <w:p>
      <w:pPr>
        <w:spacing w:after="0" w:line="26" w:lineRule="exact"/>
        <w:rPr>
          <w:rFonts w:ascii="Times New Roman" w:cs="Times New Roman" w:eastAsia="Times New Roman" w:hAnsi="Times New Roman"/>
          <w:sz w:val="21"/>
          <w:szCs w:val="21"/>
          <w:color w:val="auto"/>
        </w:rPr>
      </w:pPr>
    </w:p>
    <w:p>
      <w:pPr>
        <w:ind w:left="700" w:right="433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420 Montgomery Street, San Francisco, CA 94104</w:t>
      </w:r>
    </w:p>
    <w:p>
      <w:pPr>
        <w:spacing w:after="0" w:line="26" w:lineRule="exact"/>
        <w:rPr>
          <w:rFonts w:ascii="Times New Roman" w:cs="Times New Roman" w:eastAsia="Times New Roman" w:hAnsi="Times New Roman"/>
          <w:sz w:val="21"/>
          <w:szCs w:val="21"/>
          <w:color w:val="auto"/>
        </w:rPr>
      </w:pPr>
    </w:p>
    <w:p>
      <w:pPr>
        <w:ind w:left="700" w:right="847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Delaware</w:t>
      </w:r>
    </w:p>
    <w:p>
      <w:pPr>
        <w:spacing w:after="0" w:line="26" w:lineRule="exact"/>
        <w:rPr>
          <w:rFonts w:ascii="Times New Roman" w:cs="Times New Roman" w:eastAsia="Times New Roman" w:hAnsi="Times New Roman"/>
          <w:sz w:val="21"/>
          <w:szCs w:val="21"/>
          <w:color w:val="auto"/>
        </w:rPr>
      </w:pPr>
    </w:p>
    <w:p>
      <w:pPr>
        <w:ind w:left="700" w:right="717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 Common Stock</w:t>
      </w:r>
    </w:p>
    <w:p>
      <w:pPr>
        <w:spacing w:after="0" w:line="26" w:lineRule="exact"/>
        <w:rPr>
          <w:rFonts w:ascii="Times New Roman" w:cs="Times New Roman" w:eastAsia="Times New Roman" w:hAnsi="Times New Roman"/>
          <w:sz w:val="21"/>
          <w:szCs w:val="21"/>
          <w:color w:val="auto"/>
        </w:rPr>
      </w:pPr>
    </w:p>
    <w:p>
      <w:pPr>
        <w:ind w:left="700" w:right="809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148711104</w:t>
      </w:r>
    </w:p>
    <w:p>
      <w:pPr>
        <w:spacing w:after="0" w:line="374" w:lineRule="exact"/>
        <w:rPr>
          <w:sz w:val="20"/>
          <w:szCs w:val="20"/>
          <w:color w:val="auto"/>
        </w:rPr>
      </w:pPr>
    </w:p>
    <w:p>
      <w:pPr>
        <w:ind w:left="780" w:right="139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240" w:right="1299" w:hanging="936"/>
        <w:spacing w:after="0" w:line="258" w:lineRule="auto"/>
        <w:tabs>
          <w:tab w:leader="none" w:pos="79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240.13d-1(b)(1)(ii)(E);</w:t>
      </w:r>
    </w:p>
    <w:p>
      <w:pPr>
        <w:sectPr>
          <w:pgSz w:w="11900" w:h="16838" w:orient="portrait"/>
          <w:cols w:equalWidth="0" w:num="1">
            <w:col w:w="10159"/>
          </w:cols>
          <w:pgMar w:left="300" w:top="111" w:right="1440" w:bottom="0" w:gutter="0" w:footer="0" w:header="0"/>
        </w:sectPr>
      </w:pPr>
    </w:p>
    <w:bookmarkStart w:id="2" w:name="page3"/>
    <w:bookmarkEnd w:id="2"/>
    <w:p>
      <w:pPr>
        <w:ind w:left="1240" w:right="1559" w:hanging="900"/>
        <w:spacing w:after="0" w:line="259" w:lineRule="auto"/>
        <w:tabs>
          <w:tab w:leader="none" w:pos="79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240.13d-1(b)(1)(ii) (F);</w:t>
      </w:r>
    </w:p>
    <w:p>
      <w:pPr>
        <w:spacing w:after="0" w:line="49" w:lineRule="exact"/>
        <w:rPr>
          <w:sz w:val="20"/>
          <w:szCs w:val="20"/>
          <w:color w:val="auto"/>
        </w:rPr>
      </w:pPr>
    </w:p>
    <w:p>
      <w:pPr>
        <w:ind w:left="300"/>
        <w:spacing w:after="0"/>
        <w:tabs>
          <w:tab w:leader="none" w:pos="760" w:val="left"/>
          <w:tab w:leader="none" w:pos="1220" w:val="left"/>
        </w:tabs>
        <w:rPr>
          <w:sz w:val="20"/>
          <w:szCs w:val="20"/>
          <w:color w:val="auto"/>
        </w:rPr>
      </w:pPr>
      <w:r>
        <w:rPr>
          <w:rFonts w:ascii="Times New Roman" w:cs="Times New Roman" w:eastAsia="Times New Roman" w:hAnsi="Times New Roman"/>
          <w:sz w:val="22"/>
          <w:szCs w:val="22"/>
          <w:color w:val="auto"/>
        </w:rPr>
        <w:t>(g)</w:t>
        <w:tab/>
        <w:t>[X</w:t>
      </w:r>
      <w:r>
        <w:rPr>
          <w:sz w:val="20"/>
          <w:szCs w:val="20"/>
          <w:color w:val="auto"/>
        </w:rPr>
        <w:tab/>
      </w:r>
      <w:r>
        <w:rPr>
          <w:rFonts w:ascii="Times New Roman" w:cs="Times New Roman" w:eastAsia="Times New Roman" w:hAnsi="Times New Roman"/>
          <w:sz w:val="21"/>
          <w:szCs w:val="21"/>
          <w:color w:val="auto"/>
        </w:rPr>
        <w:t>A parent holding company or control person in accordance with 240.13d-1(b)(1)(ii)(G);</w:t>
      </w:r>
    </w:p>
    <w:p>
      <w:pPr>
        <w:spacing w:after="0" w:line="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w:t>
      </w:r>
    </w:p>
    <w:p>
      <w:pPr>
        <w:spacing w:after="0" w:line="74" w:lineRule="exact"/>
        <w:rPr>
          <w:sz w:val="20"/>
          <w:szCs w:val="20"/>
          <w:color w:val="auto"/>
        </w:rPr>
      </w:pPr>
    </w:p>
    <w:p>
      <w:pPr>
        <w:ind w:left="1240" w:right="1459" w:hanging="936"/>
        <w:spacing w:after="0" w:line="258" w:lineRule="auto"/>
        <w:tabs>
          <w:tab w:leader="none" w:pos="79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240" w:right="1719" w:hanging="888"/>
        <w:spacing w:after="0" w:line="242" w:lineRule="auto"/>
        <w:tabs>
          <w:tab w:leader="none" w:pos="79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ind w:left="1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02" w:lineRule="exact"/>
        <w:rPr>
          <w:sz w:val="20"/>
          <w:szCs w:val="20"/>
          <w:color w:val="auto"/>
        </w:rPr>
      </w:pPr>
    </w:p>
    <w:p>
      <w:pPr>
        <w:ind w:right="177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1360" w:hanging="359"/>
        <w:spacing w:after="0"/>
        <w:tabs>
          <w:tab w:leader="none" w:pos="13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CASUAL MALE RETAIL GROUP, INC</w:t>
      </w:r>
    </w:p>
    <w:p>
      <w:pPr>
        <w:spacing w:after="0" w:line="98" w:lineRule="exact"/>
        <w:rPr>
          <w:rFonts w:ascii="Times New Roman" w:cs="Times New Roman" w:eastAsia="Times New Roman" w:hAnsi="Times New Roman"/>
          <w:sz w:val="22"/>
          <w:szCs w:val="22"/>
          <w:color w:val="auto"/>
        </w:rPr>
      </w:pPr>
    </w:p>
    <w:p>
      <w:pPr>
        <w:ind w:left="1360" w:hanging="359"/>
        <w:spacing w:after="0"/>
        <w:tabs>
          <w:tab w:leader="none" w:pos="13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Five percent or less%</w:t>
      </w:r>
    </w:p>
    <w:p>
      <w:pPr>
        <w:spacing w:after="0" w:line="98" w:lineRule="exact"/>
        <w:rPr>
          <w:rFonts w:ascii="Times New Roman" w:cs="Times New Roman" w:eastAsia="Times New Roman" w:hAnsi="Times New Roman"/>
          <w:sz w:val="22"/>
          <w:szCs w:val="22"/>
          <w:color w:val="auto"/>
        </w:rPr>
      </w:pPr>
    </w:p>
    <w:p>
      <w:pPr>
        <w:ind w:left="1360" w:hanging="359"/>
        <w:spacing w:after="0"/>
        <w:tabs>
          <w:tab w:leader="none" w:pos="13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800" w:hanging="434"/>
        <w:spacing w:after="0"/>
        <w:tabs>
          <w:tab w:leader="none" w:pos="18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98" w:lineRule="exact"/>
        <w:rPr>
          <w:rFonts w:ascii="Times New Roman" w:cs="Times New Roman" w:eastAsia="Times New Roman" w:hAnsi="Times New Roman"/>
          <w:sz w:val="22"/>
          <w:szCs w:val="22"/>
          <w:color w:val="auto"/>
        </w:rPr>
      </w:pPr>
    </w:p>
    <w:p>
      <w:pPr>
        <w:ind w:left="1800" w:hanging="434"/>
        <w:spacing w:after="0"/>
        <w:tabs>
          <w:tab w:leader="none" w:pos="18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98" w:lineRule="exact"/>
        <w:rPr>
          <w:rFonts w:ascii="Times New Roman" w:cs="Times New Roman" w:eastAsia="Times New Roman" w:hAnsi="Times New Roman"/>
          <w:sz w:val="22"/>
          <w:szCs w:val="22"/>
          <w:color w:val="auto"/>
        </w:rPr>
      </w:pPr>
    </w:p>
    <w:p>
      <w:pPr>
        <w:ind w:left="1800" w:hanging="434"/>
        <w:spacing w:after="0"/>
        <w:tabs>
          <w:tab w:leader="none" w:pos="18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98" w:lineRule="exact"/>
        <w:rPr>
          <w:rFonts w:ascii="Times New Roman" w:cs="Times New Roman" w:eastAsia="Times New Roman" w:hAnsi="Times New Roman"/>
          <w:sz w:val="22"/>
          <w:szCs w:val="22"/>
          <w:color w:val="auto"/>
        </w:rPr>
      </w:pPr>
    </w:p>
    <w:p>
      <w:pPr>
        <w:ind w:left="1800" w:hanging="434"/>
        <w:spacing w:after="0"/>
        <w:tabs>
          <w:tab w:leader="none" w:pos="18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00" w:lineRule="exact"/>
        <w:rPr>
          <w:sz w:val="20"/>
          <w:szCs w:val="20"/>
          <w:color w:val="auto"/>
        </w:rPr>
      </w:pPr>
    </w:p>
    <w:p>
      <w:pPr>
        <w:spacing w:after="0" w:line="24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7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following.[X ].</w:t>
      </w:r>
    </w:p>
    <w:p>
      <w:pPr>
        <w:sectPr>
          <w:pgSz w:w="11900" w:h="16838" w:orient="portrait"/>
          <w:cols w:equalWidth="0" w:num="1">
            <w:col w:w="10159"/>
          </w:cols>
          <w:pgMar w:left="300" w:top="111"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t>
      </w:r>
    </w:p>
    <w:p>
      <w:pPr>
        <w:spacing w:after="0" w:line="14" w:lineRule="exact"/>
        <w:rPr>
          <w:sz w:val="20"/>
          <w:szCs w:val="20"/>
          <w:color w:val="auto"/>
        </w:rPr>
      </w:pPr>
    </w:p>
    <w:p>
      <w:pPr>
        <w:ind w:right="300"/>
        <w:spacing w:after="0" w:line="188" w:lineRule="auto"/>
        <w:rPr>
          <w:sz w:val="20"/>
          <w:szCs w:val="20"/>
          <w:color w:val="auto"/>
        </w:rPr>
      </w:pPr>
      <w:r>
        <w:rPr>
          <w:rFonts w:ascii="Times New Roman" w:cs="Times New Roman" w:eastAsia="Times New Roman" w:hAnsi="Times New Roman"/>
          <w:sz w:val="21"/>
          <w:szCs w:val="21"/>
          <w:color w:val="auto"/>
        </w:rPr>
        <w:t xml:space="preserve">applicable </w:t>
      </w:r>
      <w:r>
        <w:rPr>
          <w:rFonts w:ascii="Times New Roman" w:cs="Times New Roman" w:eastAsia="Times New Roman" w:hAnsi="Times New Roman"/>
          <w:sz w:val="21"/>
          <w:szCs w:val="21"/>
          <w:b w:val="1"/>
          <w:bCs w:val="1"/>
          <w:color w:val="auto"/>
        </w:rPr>
        <w:t>Item 7.</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Exhibit B</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459"/>
        <w:spacing w:after="0" w:line="286" w:lineRule="auto"/>
        <w:rPr>
          <w:sz w:val="20"/>
          <w:szCs w:val="20"/>
          <w:color w:val="auto"/>
        </w:rPr>
      </w:pPr>
      <w:r>
        <w:rPr>
          <w:rFonts w:ascii="Times New Roman" w:cs="Times New Roman" w:eastAsia="Times New Roman" w:hAnsi="Times New Roman"/>
          <w:sz w:val="21"/>
          <w:szCs w:val="21"/>
          <w:b w:val="1"/>
          <w:bCs w:val="1"/>
          <w:color w:val="auto"/>
        </w:rPr>
        <w:t>Identification and Classification of the Subsidiary Which Acquired the Security Being Reported on By the Parent Holding Company or Control Person.</w:t>
      </w:r>
    </w:p>
    <w:p>
      <w:pPr>
        <w:spacing w:after="0" w:line="370" w:lineRule="exact"/>
        <w:rPr>
          <w:sz w:val="20"/>
          <w:szCs w:val="20"/>
          <w:color w:val="auto"/>
        </w:rPr>
      </w:pPr>
    </w:p>
    <w:p>
      <w:pPr>
        <w:sectPr>
          <w:pgSz w:w="11900" w:h="16838" w:orient="portrait"/>
          <w:cols w:equalWidth="0" w:num="2">
            <w:col w:w="1200" w:space="160"/>
            <w:col w:w="8799"/>
          </w:cols>
          <w:pgMar w:left="300" w:top="111" w:right="1440" w:bottom="0" w:gutter="0" w:footer="0" w:header="0"/>
          <w:type w:val="continuous"/>
        </w:sect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48" w:lineRule="exact"/>
        <w:rPr>
          <w:sz w:val="20"/>
          <w:szCs w:val="20"/>
          <w:color w:val="auto"/>
        </w:rPr>
      </w:pPr>
    </w:p>
    <w:p>
      <w:pPr>
        <w:jc w:val="both"/>
        <w:ind w:left="480" w:right="1979"/>
        <w:spacing w:after="0" w:line="236"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322" w:lineRule="exact"/>
        <w:rPr>
          <w:sz w:val="20"/>
          <w:szCs w:val="20"/>
          <w:color w:val="auto"/>
        </w:rPr>
      </w:pPr>
    </w:p>
    <w:p>
      <w:pPr>
        <w:ind w:left="240" w:right="115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5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December 18,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0159"/>
          </w:cols>
          <w:pgMar w:left="300" w:top="111" w:right="1440" w:bottom="0" w:gutter="0" w:footer="0" w:header="0"/>
          <w:type w:val="continuous"/>
        </w:sectPr>
      </w:pPr>
    </w:p>
    <w:bookmarkStart w:id="3" w:name="page4"/>
    <w:bookmarkEnd w:id="3"/>
    <w:p>
      <w:pPr>
        <w:ind w:left="4280"/>
        <w:spacing w:after="0"/>
        <w:rPr>
          <w:sz w:val="20"/>
          <w:szCs w:val="20"/>
          <w:color w:val="auto"/>
        </w:rPr>
      </w:pPr>
      <w:r>
        <w:rPr>
          <w:rFonts w:ascii="Times New Roman" w:cs="Times New Roman" w:eastAsia="Times New Roman" w:hAnsi="Times New Roman"/>
          <w:sz w:val="22"/>
          <w:szCs w:val="22"/>
          <w:color w:val="auto"/>
        </w:rPr>
        <w:t>Signature</w:t>
      </w:r>
    </w:p>
    <w:p>
      <w:pPr>
        <w:spacing w:after="0" w:line="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Mark B. Kraske, VP Trust Operations Management Support</w:t>
      </w:r>
    </w:p>
    <w:p>
      <w:pPr>
        <w:spacing w:after="0" w:line="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22"/>
          <w:szCs w:val="22"/>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4445</wp:posOffset>
            </wp:positionV>
            <wp:extent cx="3395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22"/>
          <w:szCs w:val="22"/>
          <w:color w:val="auto"/>
        </w:rPr>
        <w:t>Name/Title</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EXPLANATORY NOTE</w:t>
      </w:r>
    </w:p>
    <w:p>
      <w:pPr>
        <w:spacing w:after="0" w:line="233" w:lineRule="exact"/>
        <w:rPr>
          <w:sz w:val="20"/>
          <w:szCs w:val="20"/>
          <w:color w:val="auto"/>
        </w:rPr>
      </w:pPr>
    </w:p>
    <w:p>
      <w:pPr>
        <w:ind w:left="20" w:right="1379"/>
        <w:spacing w:after="0" w:line="239" w:lineRule="auto"/>
        <w:rPr>
          <w:sz w:val="20"/>
          <w:szCs w:val="20"/>
          <w:color w:val="auto"/>
        </w:rPr>
      </w:pPr>
      <w:r>
        <w:rPr>
          <w:rFonts w:ascii="Times New Roman" w:cs="Times New Roman" w:eastAsia="Times New Roman" w:hAnsi="Times New Roman"/>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02" w:lineRule="exact"/>
        <w:rPr>
          <w:sz w:val="20"/>
          <w:szCs w:val="20"/>
          <w:color w:val="auto"/>
        </w:rPr>
      </w:pPr>
    </w:p>
    <w:p>
      <w:pPr>
        <w:ind w:left="20" w:right="1299"/>
        <w:spacing w:after="0" w:line="258" w:lineRule="auto"/>
        <w:rPr>
          <w:sz w:val="20"/>
          <w:szCs w:val="20"/>
          <w:color w:val="auto"/>
        </w:rPr>
      </w:pPr>
      <w:r>
        <w:rPr>
          <w:rFonts w:ascii="Times New Roman" w:cs="Times New Roman" w:eastAsia="Times New Roman" w:hAnsi="Times New Roman"/>
          <w:sz w:val="22"/>
          <w:szCs w:val="22"/>
          <w:color w:val="auto"/>
        </w:rPr>
        <w:t>The Schedule 13G to which this attachment is appended is filed by Wells Fargo &amp; Company on behalf of the following subsidiaries: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Wells Capital Management Incorporated (1)</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Wells Fargo Funds Management, LLC (1)</w:t>
      </w:r>
    </w:p>
    <w:p>
      <w:pPr>
        <w:ind w:left="20"/>
        <w:spacing w:after="0"/>
        <w:rPr>
          <w:sz w:val="20"/>
          <w:szCs w:val="20"/>
          <w:color w:val="auto"/>
        </w:rPr>
      </w:pPr>
      <w:r>
        <w:rPr>
          <w:rFonts w:ascii="Times New Roman" w:cs="Times New Roman" w:eastAsia="Times New Roman" w:hAnsi="Times New Roman"/>
          <w:sz w:val="22"/>
          <w:szCs w:val="22"/>
          <w:color w:val="auto"/>
        </w:rPr>
        <w:t>Wells Fargo Bank, National Association (2)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0" w:hanging="298"/>
        <w:spacing w:after="0"/>
        <w:tabs>
          <w:tab w:leader="none" w:pos="3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registered investment advisor in accordance with Regulation</w:t>
      </w:r>
    </w:p>
    <w:p>
      <w:pPr>
        <w:spacing w:after="0" w:line="14" w:lineRule="exact"/>
        <w:rPr>
          <w:rFonts w:ascii="Times New Roman" w:cs="Times New Roman" w:eastAsia="Times New Roman" w:hAnsi="Times New Roman"/>
          <w:sz w:val="22"/>
          <w:szCs w:val="22"/>
          <w:color w:val="auto"/>
        </w:rPr>
      </w:pPr>
    </w:p>
    <w:p>
      <w:pPr>
        <w:ind w:left="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13d-1(b)(1)(ii)(E).</w:t>
      </w:r>
    </w:p>
    <w:p>
      <w:pPr>
        <w:ind w:left="320" w:hanging="298"/>
        <w:spacing w:after="0"/>
        <w:tabs>
          <w:tab w:leader="none" w:pos="3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bank in accordance with Regulation 13d 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right="1379" w:hanging="1079"/>
        <w:spacing w:after="0" w:line="262"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Attention:</w:t>
        <w:tab/>
        <w:t>Intentional misstatements or omissions of fact constitute Federal criminal violations (See 18 U.S.C. 1001)</w:t>
      </w:r>
    </w:p>
    <w:p>
      <w:pPr>
        <w:spacing w:after="0" w:line="47"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Advisor Consultant Network, Inc. Copyright © 2006-2007</w:t>
      </w:r>
    </w:p>
    <w:sectPr>
      <w:pgSz w:w="11900" w:h="16838" w:orient="portrait"/>
      <w:cols w:equalWidth="0" w:num="1">
        <w:col w:w="10179"/>
      </w:cols>
      <w:pgMar w:left="28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lowerLetter"/>
      <w:start w:val="2"/>
    </w:lvl>
  </w:abstractNum>
  <w:abstractNum w:abstractNumId="3">
    <w:nsid w:val="5BD062C2"/>
    <w:multiLevelType w:val="hybridMultilevel"/>
    <w:lvl w:ilvl="0">
      <w:lvlJc w:val="left"/>
      <w:lvlText w:val="%1."/>
      <w:numFmt w:val="decimal"/>
      <w:start w:val="2"/>
    </w:lvl>
    <w:lvl w:ilvl="1">
      <w:lvlJc w:val="left"/>
      <w:lvlText w:val="(%2)"/>
      <w:numFmt w:val="lowerLetter"/>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1"/>
    </w:lvl>
    <w:lvl w:ilvl="1">
      <w:lvlJc w:val="left"/>
      <w:lvlText w:val="%2."/>
      <w:numFmt w:val="decimal"/>
      <w:start w:val="8"/>
    </w:lvl>
  </w:abstractNum>
  <w:abstractNum w:abstractNumId="6">
    <w:nsid w:val="216231B"/>
    <w:multiLevelType w:val="hybridMultilevel"/>
    <w:lvl w:ilvl="0">
      <w:lvlJc w:val="left"/>
      <w:lvlText w:val="%1."/>
      <w:numFmt w:val="decimal"/>
      <w:start w:val="9"/>
    </w:lvl>
    <w:lvl w:ilvl="1">
      <w:lvlJc w:val="left"/>
      <w:lvlText w:val="%2"/>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6"/>
    </w:lvl>
  </w:abstractNum>
  <w:abstractNum w:abstractNumId="11">
    <w:nsid w:val="3352255A"/>
    <w:multiLevelType w:val="hybridMultilevel"/>
    <w:lvl w:ilvl="0">
      <w:lvlJc w:val="left"/>
      <w:lvlText w:val="(%1)"/>
      <w:numFmt w:val="lowerLetter"/>
      <w:start w:val="8"/>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2019-12-20T13:55:37Z</dcterms:created>
  <dcterms:modified xsi:type="dcterms:W3CDTF">2019-12-20T13:55:37Z</dcterms:modified>
</cp:coreProperties>
</file>