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13D</w:t>
      </w:r>
    </w:p>
    <w:p>
      <w:pPr>
        <w:spacing w:after="0" w:line="1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xml:space="preserve">(Amendment No. 5) </w:t>
      </w:r>
      <w:r>
        <w:rPr>
          <w:rFonts w:ascii="Arial" w:cs="Arial" w:eastAsia="Arial" w:hAnsi="Arial"/>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23" w:lineRule="exact"/>
        <w:rPr>
          <w:sz w:val="24"/>
          <w:szCs w:val="24"/>
          <w:color w:val="auto"/>
        </w:rPr>
      </w:pPr>
    </w:p>
    <w:p>
      <w:pPr>
        <w:jc w:val="center"/>
        <w:ind w:right="-219"/>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Issuer)</w:t>
      </w:r>
    </w:p>
    <w:p>
      <w:pPr>
        <w:spacing w:after="0" w:line="115"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(Title of Class of Securities)</w:t>
      </w:r>
    </w:p>
    <w:p>
      <w:pPr>
        <w:spacing w:after="0" w:line="19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25065K104</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(CUSIP Number)</w:t>
      </w:r>
    </w:p>
    <w:p>
      <w:pPr>
        <w:spacing w:after="0" w:line="20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J. Carlo Cannell</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Cannell Capital LLC</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245 Meriwether Circle</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Alta, WY 83414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(307) 733-2284</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Address and Telephone Number of Person</w:t>
      </w:r>
    </w:p>
    <w:p>
      <w:pPr>
        <w:spacing w:after="0" w:line="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to Receive Notices and Communications)</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March 11, 2019</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3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13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(Page 1 of 8 pages)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25" w:lineRule="exact"/>
        <w:rPr>
          <w:sz w:val="24"/>
          <w:szCs w:val="24"/>
          <w:color w:val="auto"/>
        </w:rPr>
      </w:pPr>
    </w:p>
    <w:p>
      <w:pPr>
        <w:ind w:right="540" w:firstLine="8"/>
        <w:spacing w:after="0" w:line="277"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6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720"/>
        <w:spacing w:after="0" w:line="277" w:lineRule="auto"/>
        <w:rPr>
          <w:sz w:val="20"/>
          <w:szCs w:val="20"/>
          <w:color w:val="auto"/>
        </w:rPr>
      </w:pPr>
      <w:r>
        <w:rPr>
          <w:rFonts w:ascii="Arial" w:cs="Arial" w:eastAsia="Arial" w:hAnsi="Arial"/>
          <w:sz w:val="18"/>
          <w:szCs w:val="18"/>
          <w:color w:val="auto"/>
        </w:rPr>
        <w:t>Potential persons who are to respond to the collection of information contained in this form are not required to respond unless the form displays a current valid OMB control number.</w:t>
      </w:r>
    </w:p>
    <w:p>
      <w:pPr>
        <w:sectPr>
          <w:pgSz w:w="11900" w:h="16838" w:orient="portrait"/>
          <w:cols w:equalWidth="0" w:num="1">
            <w:col w:w="11200"/>
          </w:cols>
          <w:pgMar w:left="240" w:top="233" w:right="459" w:bottom="1440" w:gutter="0" w:footer="0" w:header="0"/>
        </w:sectPr>
      </w:pPr>
    </w:p>
    <w:bookmarkStart w:id="1" w:name="page2"/>
    <w:bookmarkEnd w:id="1"/>
    <w:p>
      <w:pPr>
        <w:spacing w:after="0"/>
        <w:tabs>
          <w:tab w:leader="none" w:pos="10000" w:val="left"/>
        </w:tabs>
        <w:rPr>
          <w:sz w:val="20"/>
          <w:szCs w:val="20"/>
          <w:color w:val="auto"/>
        </w:rPr>
      </w:pPr>
      <w:r>
        <w:rPr>
          <w:rFonts w:ascii="Arial" w:cs="Arial" w:eastAsia="Arial" w:hAnsi="Arial"/>
          <w:sz w:val="18"/>
          <w:szCs w:val="18"/>
          <w:b w:val="1"/>
          <w:bCs w:val="1"/>
          <w:color w:val="auto"/>
        </w:rPr>
        <w:t>CUSIP No. 25065K104</w:t>
      </w:r>
      <w:r>
        <w:rPr>
          <w:sz w:val="20"/>
          <w:szCs w:val="20"/>
          <w:color w:val="auto"/>
        </w:rPr>
        <w:tab/>
      </w:r>
      <w:r>
        <w:rPr>
          <w:rFonts w:ascii="Arial" w:cs="Arial" w:eastAsia="Arial" w:hAnsi="Arial"/>
          <w:sz w:val="15"/>
          <w:szCs w:val="15"/>
          <w:b w:val="1"/>
          <w:bCs w:val="1"/>
          <w:color w:val="auto"/>
        </w:rPr>
        <w:t>Page 2 of 8 pages</w:t>
      </w:r>
    </w:p>
    <w:sectPr>
      <w:pgSz w:w="11900" w:h="16838" w:orient="portrait"/>
      <w:cols w:equalWidth="0" w:num="1">
        <w:col w:w="11340"/>
      </w:cols>
      <w:pgMar w:left="280" w:top="702"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2019-12-05T00:01:59Z</dcterms:created>
  <dcterms:modified xsi:type="dcterms:W3CDTF">2019-12-05T00:01:59Z</dcterms:modified>
</cp:coreProperties>
</file>