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1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1197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DAVID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04/11/2013</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President and CEO</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00"/>
          </w:cols>
          <w:pgMar w:left="240" w:top="226"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7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8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7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$.01 par value</w:t>
            </w:r>
          </w:p>
        </w:tc>
        <w:tc>
          <w:tcPr>
            <w:tcW w:w="15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04/11/2013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50,000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5.27</w:t>
            </w:r>
            <w:r>
              <w:rPr>
                <w:rFonts w:ascii="Arial" w:cs="Arial" w:eastAsia="Arial" w:hAnsi="Arial"/>
                <w:sz w:val="22"/>
                <w:szCs w:val="22"/>
                <w:color w:val="008000"/>
                <w:w w:val="95"/>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997,528</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780" w:type="dxa"/>
            <w:vAlign w:val="bottom"/>
            <w:vMerge w:val="restart"/>
          </w:tcPr>
          <w:p>
            <w:pPr>
              <w:ind w:left="60"/>
              <w:spacing w:after="0"/>
              <w:rPr>
                <w:sz w:val="20"/>
                <w:szCs w:val="20"/>
                <w:color w:val="auto"/>
              </w:rPr>
            </w:pPr>
            <w:r>
              <w:rPr>
                <w:rFonts w:ascii="Arial" w:cs="Arial" w:eastAsia="Arial" w:hAnsi="Arial"/>
                <w:sz w:val="18"/>
                <w:szCs w:val="18"/>
                <w:color w:val="0000FF"/>
              </w:rPr>
              <w:t>Common Stock, $.01 par value</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15,500</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spouse's</w:t>
            </w:r>
          </w:p>
        </w:tc>
        <w:tc>
          <w:tcPr>
            <w:tcW w:w="0" w:type="dxa"/>
            <w:vAlign w:val="bottom"/>
          </w:tcPr>
          <w:p>
            <w:pPr>
              <w:spacing w:after="0"/>
              <w:rPr>
                <w:sz w:val="1"/>
                <w:szCs w:val="1"/>
                <w:color w:val="auto"/>
              </w:rPr>
            </w:pPr>
          </w:p>
        </w:tc>
      </w:tr>
      <w:tr>
        <w:trPr>
          <w:trHeight w:val="114"/>
        </w:trPr>
        <w:tc>
          <w:tcPr>
            <w:tcW w:w="278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IRA</w:t>
            </w:r>
          </w:p>
        </w:tc>
        <w:tc>
          <w:tcPr>
            <w:tcW w:w="0" w:type="dxa"/>
            <w:vAlign w:val="bottom"/>
          </w:tcPr>
          <w:p>
            <w:pPr>
              <w:spacing w:after="0"/>
              <w:rPr>
                <w:sz w:val="1"/>
                <w:szCs w:val="1"/>
                <w:color w:val="auto"/>
              </w:rPr>
            </w:pPr>
          </w:p>
        </w:tc>
      </w:tr>
      <w:tr>
        <w:trPr>
          <w:trHeight w:val="102"/>
        </w:trPr>
        <w:tc>
          <w:tcPr>
            <w:tcW w:w="2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63"/>
        </w:trPr>
        <w:tc>
          <w:tcPr>
            <w:tcW w:w="27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held in</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0" w:type="dxa"/>
            <w:vAlign w:val="bottom"/>
          </w:tcPr>
          <w:p>
            <w:pPr>
              <w:spacing w:after="0"/>
              <w:rPr>
                <w:sz w:val="1"/>
                <w:szCs w:val="1"/>
                <w:color w:val="auto"/>
              </w:rPr>
            </w:pPr>
          </w:p>
        </w:tc>
      </w:tr>
      <w:tr>
        <w:trPr>
          <w:trHeight w:val="230"/>
        </w:trPr>
        <w:tc>
          <w:tcPr>
            <w:tcW w:w="2780" w:type="dxa"/>
            <w:vAlign w:val="bottom"/>
          </w:tcPr>
          <w:p>
            <w:pPr>
              <w:ind w:left="60"/>
              <w:spacing w:after="0"/>
              <w:rPr>
                <w:sz w:val="20"/>
                <w:szCs w:val="20"/>
                <w:color w:val="auto"/>
              </w:rPr>
            </w:pPr>
            <w:r>
              <w:rPr>
                <w:rFonts w:ascii="Arial" w:cs="Arial" w:eastAsia="Arial" w:hAnsi="Arial"/>
                <w:sz w:val="18"/>
                <w:szCs w:val="18"/>
                <w:color w:val="0000FF"/>
              </w:rPr>
              <w:t>Common Stock, $.01 par value</w:t>
            </w:r>
          </w:p>
        </w:tc>
        <w:tc>
          <w:tcPr>
            <w:tcW w:w="1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3,539</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8"/>
          <w:szCs w:val="18"/>
          <w:color w:val="0000FF"/>
        </w:rPr>
        <w:t>Plan as</w:t>
      </w:r>
    </w:p>
    <w:p>
      <w:pPr>
        <w:spacing w:after="0" w:line="1"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stated in</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Plan</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Statement</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dated</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04/10/13.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$5.25 to $5.33. The Reporting Person hereby undertakes to provide upon request to the SEC, the Issuer of any stockholder of the Issuer, full information regarding the number of shares and prices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David A. Levin</w:t>
            </w: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04/11/2013</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2019-12-16T05:22:23Z</dcterms:created>
  <dcterms:modified xsi:type="dcterms:W3CDTF">2019-12-16T05:22:23Z</dcterms:modified>
</cp:coreProperties>
</file>