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Advisors,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w w:val="81"/>
              </w:rPr>
              <w:t>(b)</w:t>
            </w:r>
          </w:p>
        </w:tc>
        <w:tc>
          <w:tcPr>
            <w:tcW w:w="9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4,697,731</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4"/>
                <w:szCs w:val="4"/>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1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1,016,963</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5"/>
                <w:szCs w:val="15"/>
                <w:color w:val="auto"/>
              </w:rPr>
            </w:pPr>
          </w:p>
        </w:tc>
        <w:tc>
          <w:tcPr>
            <w:tcW w:w="99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76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900" w:type="dxa"/>
            <w:vAlign w:val="bottom"/>
          </w:tcPr>
          <w:p>
            <w:pPr>
              <w:ind w:left="220"/>
              <w:spacing w:after="0" w:line="244" w:lineRule="exact"/>
              <w:rPr>
                <w:sz w:val="20"/>
                <w:szCs w:val="20"/>
                <w:color w:val="auto"/>
              </w:rPr>
            </w:pPr>
            <w:r>
              <w:rPr>
                <w:rFonts w:ascii="Arial" w:cs="Arial" w:eastAsia="Arial" w:hAnsi="Arial"/>
                <w:sz w:val="22"/>
                <w:szCs w:val="22"/>
                <w:color w:val="auto"/>
              </w:rPr>
              <w:t>5,714,694</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97"/>
              </w:rPr>
              <w:t>With:</w:t>
            </w: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2"/>
                <w:szCs w:val="12"/>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5,714,694</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3"/>
              </w:rPr>
              <w:t>11.2%</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IA, HC</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Glenn J. Krevlin</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w w:val="81"/>
              </w:rPr>
              <w:t>(b)</w:t>
            </w:r>
          </w:p>
        </w:tc>
        <w:tc>
          <w:tcPr>
            <w:tcW w:w="9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jc w:val="center"/>
              <w:ind w:right="9122"/>
              <w:spacing w:after="0"/>
              <w:rPr>
                <w:sz w:val="20"/>
                <w:szCs w:val="20"/>
                <w:color w:val="auto"/>
              </w:rPr>
            </w:pPr>
            <w:r>
              <w:rPr>
                <w:rFonts w:ascii="Arial" w:cs="Arial" w:eastAsia="Arial" w:hAnsi="Arial"/>
                <w:sz w:val="22"/>
                <w:szCs w:val="22"/>
                <w:color w:val="auto"/>
                <w:w w:val="87"/>
              </w:rPr>
              <w:t>United States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4,697,731</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4"/>
                <w:szCs w:val="4"/>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1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1,016,963</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5"/>
                <w:szCs w:val="15"/>
                <w:color w:val="auto"/>
              </w:rPr>
            </w:pPr>
          </w:p>
        </w:tc>
        <w:tc>
          <w:tcPr>
            <w:tcW w:w="99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76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900" w:type="dxa"/>
            <w:vAlign w:val="bottom"/>
          </w:tcPr>
          <w:p>
            <w:pPr>
              <w:ind w:left="220"/>
              <w:spacing w:after="0" w:line="244" w:lineRule="exact"/>
              <w:rPr>
                <w:sz w:val="20"/>
                <w:szCs w:val="20"/>
                <w:color w:val="auto"/>
              </w:rPr>
            </w:pPr>
            <w:r>
              <w:rPr>
                <w:rFonts w:ascii="Arial" w:cs="Arial" w:eastAsia="Arial" w:hAnsi="Arial"/>
                <w:sz w:val="22"/>
                <w:szCs w:val="22"/>
                <w:color w:val="auto"/>
              </w:rPr>
              <w:t>5,714,694</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97"/>
              </w:rPr>
              <w:t>With:</w:t>
            </w: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2"/>
                <w:szCs w:val="12"/>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9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5,714,694</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3"/>
              </w:rPr>
              <w:t>11.2%</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IN, HC</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Advisors,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w w:val="81"/>
              </w:rPr>
              <w:t>(b)</w:t>
            </w:r>
          </w:p>
        </w:tc>
        <w:tc>
          <w:tcPr>
            <w:tcW w:w="9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4"/>
                <w:szCs w:val="4"/>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1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5,714,694</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5"/>
                <w:szCs w:val="15"/>
                <w:color w:val="auto"/>
              </w:rPr>
            </w:pPr>
          </w:p>
        </w:tc>
        <w:tc>
          <w:tcPr>
            <w:tcW w:w="99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6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2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97"/>
              </w:rPr>
              <w:t>With:</w:t>
            </w: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1"/>
                <w:szCs w:val="11"/>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5,714,694</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5,714,694</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83"/>
              </w:rPr>
              <w:t>11.2%</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IA, HC</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Management,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1"/>
              </w:rPr>
              <w:t>(b)</w:t>
            </w:r>
          </w:p>
        </w:tc>
        <w:tc>
          <w:tcPr>
            <w:tcW w:w="9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4,697,731</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9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6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2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97"/>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4,697,731</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4,697,731</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5"/>
              </w:rPr>
              <w:t>9.2%</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IA, HC</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Overseas Master Fund, LP</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81"/>
              </w:rPr>
              <w:t>(b)</w:t>
            </w:r>
          </w:p>
        </w:tc>
        <w:tc>
          <w:tcPr>
            <w:tcW w:w="99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8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2,903,116</w:t>
            </w:r>
          </w:p>
        </w:tc>
        <w:tc>
          <w:tcPr>
            <w:tcW w:w="0" w:type="dxa"/>
            <w:vAlign w:val="bottom"/>
          </w:tcPr>
          <w:p>
            <w:pPr>
              <w:spacing w:after="0"/>
              <w:rPr>
                <w:sz w:val="1"/>
                <w:szCs w:val="1"/>
                <w:color w:val="auto"/>
              </w:rPr>
            </w:pPr>
          </w:p>
        </w:tc>
      </w:tr>
      <w:tr>
        <w:trPr>
          <w:trHeight w:val="230"/>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6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99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6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2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97"/>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1"/>
                <w:szCs w:val="11"/>
                <w:color w:val="auto"/>
              </w:rPr>
            </w:pPr>
          </w:p>
        </w:tc>
        <w:tc>
          <w:tcPr>
            <w:tcW w:w="9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2,903,116</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2,903,116</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spacing w:after="0"/>
              <w:rPr>
                <w:sz w:val="16"/>
                <w:szCs w:val="16"/>
                <w:color w:val="auto"/>
              </w:rPr>
            </w:pPr>
          </w:p>
        </w:tc>
        <w:tc>
          <w:tcPr>
            <w:tcW w:w="100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5"/>
              </w:rPr>
              <w:t>5.7%</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Destination XL Group, Inc.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Canton, MA 02021</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Glenhill Advisors, LLC, Glenn J. Krevlin, Glenhill Capital Advisors, LLC, Glenhill Capital Management, LLC and Glenhill Capital Overseas Master Fund, LP.</w:t>
      </w:r>
    </w:p>
    <w:p>
      <w:pPr>
        <w:spacing w:after="0" w:line="62"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Issuer.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w:t>
      </w:r>
    </w:p>
    <w:p>
      <w:pPr>
        <w:spacing w:after="0" w:line="70"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 As of the date of this filing, there are 1,016,963 shares of common stock of the Issuer held in such third party managed accounts, and the securities reported on the attached cover page(s) include such shares.</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600 Fifth Avenue, 11th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10020</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the response(s) to Item 4 on the attached cover page(s).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1420"/>
          </w:cols>
          <w:pgMar w:left="240" w:top="270" w:right="23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25065K104</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jc w:val="both"/>
        <w:ind w:left="1500"/>
        <w:spacing w:after="0" w:line="264" w:lineRule="auto"/>
        <w:rPr>
          <w:rFonts w:ascii="Arial" w:cs="Arial" w:eastAsia="Arial" w:hAnsi="Arial"/>
          <w:sz w:val="18"/>
          <w:szCs w:val="18"/>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 Person by 50,823,803, the number of shares of common stock issued and outstanding as reported in the Issuer’s Form 10-Q filed with the Securities and Exchange Commission on November 18, 2016.</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30" w:lineRule="exact"/>
        <w:rPr>
          <w:rFonts w:ascii="Arial" w:cs="Arial" w:eastAsia="Arial" w:hAnsi="Arial"/>
          <w:sz w:val="18"/>
          <w:szCs w:val="18"/>
          <w:color w:val="auto"/>
        </w:rPr>
      </w:pPr>
    </w:p>
    <w:p>
      <w:pPr>
        <w:ind w:left="1920" w:right="5220" w:hanging="440"/>
        <w:spacing w:after="0" w:line="500"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0" w:right="2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70" w:right="27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14,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ADVISORS, LLC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GLENN J. KREVLIN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ADVISORS, LLC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KREVLIN MANAGEMENT, INC.</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GLENHILL ADVISORS, LLC</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GLENHILL CAPITAL OVERSEAS MASTER FUND, LP</w:t>
      </w:r>
    </w:p>
    <w:p>
      <w:pPr>
        <w:sectPr>
          <w:pgSz w:w="11900" w:h="16838" w:orient="portrait"/>
          <w:cols w:equalWidth="0" w:num="1">
            <w:col w:w="11360"/>
          </w:cols>
          <w:pgMar w:left="240" w:top="270" w:right="299" w:bottom="1440" w:gutter="0" w:footer="0" w:header="0"/>
        </w:sect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GLENHILL CAPITAL OVERSEAS GP,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7120" w:space="320"/>
            <w:col w:w="3920"/>
          </w:cols>
          <w:pgMar w:left="240" w:top="270" w:right="299" w:bottom="1440" w:gutter="0" w:footer="0" w:header="0"/>
          <w:type w:val="continuous"/>
        </w:sectPr>
      </w:pP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GLENHILL CAPITAL MANAGEMENT, LLC Sole Shareholder</w:t>
      </w:r>
    </w:p>
    <w:p>
      <w:pPr>
        <w:sectPr>
          <w:pgSz w:w="11900" w:h="16838" w:orient="portrait"/>
          <w:cols w:equalWidth="0" w:num="2">
            <w:col w:w="7120" w:space="320"/>
            <w:col w:w="3920"/>
          </w:cols>
          <w:pgMar w:left="240" w:top="270" w:right="299" w:bottom="1440" w:gutter="0" w:footer="0" w:header="0"/>
          <w:type w:val="continuous"/>
        </w:sectPr>
      </w:pPr>
    </w:p>
    <w:bookmarkStart w:id="10" w:name="page11"/>
    <w:bookmarkEnd w:id="10"/>
    <w:p>
      <w:pPr>
        <w:ind w:left="5660"/>
        <w:spacing w:after="0"/>
        <w:tabs>
          <w:tab w:leader="none" w:pos="62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r>
        <w:rPr>
          <w:sz w:val="20"/>
          <w:szCs w:val="20"/>
          <w:color w:val="auto"/>
        </w:rPr>
        <w:tab/>
      </w:r>
      <w:r>
        <w:rPr>
          <w:rFonts w:ascii="Arial" w:cs="Arial" w:eastAsia="Arial" w:hAnsi="Arial"/>
          <w:sz w:val="17"/>
          <w:szCs w:val="17"/>
          <w:color w:val="auto"/>
        </w:rPr>
        <w:t>GLENHILL ADVISORS, LLC</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Member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2019-12-20T22:29:18Z</dcterms:created>
  <dcterms:modified xsi:type="dcterms:W3CDTF">2019-12-20T22:29:18Z</dcterms:modified>
</cp:coreProperties>
</file>