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31,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633"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633"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31, 2005, Casual Male Retail Group, Inc. (the "Company") issued a press release announcing the Company's results of operations for the fourth quarter and fiscal year ended January 29, 2005. A copy of this press release is attached hereto as Exhibit 99.1.</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w:t>
      </w:r>
    </w:p>
    <w:p>
      <w:pPr>
        <w:spacing w:after="0" w:line="5" w:lineRule="exact"/>
        <w:rPr>
          <w:sz w:val="24"/>
          <w:szCs w:val="24"/>
          <w:color w:val="auto"/>
        </w:rPr>
      </w:pPr>
    </w:p>
    <w:p>
      <w:pPr>
        <w:ind w:left="2440" w:right="1779"/>
        <w:spacing w:after="0" w:line="235" w:lineRule="auto"/>
        <w:rPr>
          <w:sz w:val="20"/>
          <w:szCs w:val="20"/>
          <w:color w:val="auto"/>
        </w:rPr>
      </w:pPr>
      <w:r>
        <w:rPr>
          <w:rFonts w:ascii="Courier New" w:cs="Courier New" w:eastAsia="Courier New" w:hAnsi="Courier New"/>
          <w:sz w:val="18"/>
          <w:szCs w:val="18"/>
          <w:color w:val="auto"/>
        </w:rPr>
        <w:t>the fourth quarter and fiscal year ended January 29, 2005 for Casual Male Retail Group, Inc.</w:t>
      </w:r>
    </w:p>
    <w:p>
      <w:pPr>
        <w:sectPr>
          <w:pgSz w:w="11900" w:h="16838" w:orient="portrait"/>
          <w:cols w:equalWidth="0" w:num="1">
            <w:col w:w="10219"/>
          </w:cols>
          <w:pgMar w:left="240" w:top="447" w:right="1440" w:bottom="633"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31,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238" w:lineRule="auto"/>
        <w:rPr>
          <w:sz w:val="20"/>
          <w:szCs w:val="20"/>
          <w:color w:val="auto"/>
        </w:rPr>
      </w:pPr>
      <w:r>
        <w:rPr>
          <w:rFonts w:ascii="Courier New" w:cs="Courier New" w:eastAsia="Courier New" w:hAnsi="Courier New"/>
          <w:sz w:val="18"/>
          <w:szCs w:val="18"/>
          <w:color w:val="auto"/>
        </w:rPr>
        <w:t>Vice President of Investor Relations</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561-514-0115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w:t>
      </w:r>
    </w:p>
    <w:p>
      <w:pPr>
        <w:spacing w:after="0" w:line="238" w:lineRule="auto"/>
        <w:rPr>
          <w:sz w:val="20"/>
          <w:szCs w:val="20"/>
          <w:color w:val="auto"/>
        </w:rPr>
      </w:pPr>
      <w:r>
        <w:rPr>
          <w:rFonts w:ascii="Courier New" w:cs="Courier New" w:eastAsia="Courier New" w:hAnsi="Courier New"/>
          <w:sz w:val="18"/>
          <w:szCs w:val="18"/>
          <w:color w:val="auto"/>
        </w:rPr>
        <w:t>Weber Shandwick</w:t>
      </w:r>
    </w:p>
    <w:p>
      <w:pPr>
        <w:spacing w:after="0"/>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0"/>
          <w:szCs w:val="20"/>
          <w:color w:val="auto"/>
        </w:rPr>
      </w:pPr>
    </w:p>
    <w:p>
      <w:pPr>
        <w:ind w:left="1480" w:right="3159" w:firstLine="211"/>
        <w:spacing w:after="0" w:line="290" w:lineRule="auto"/>
        <w:rPr>
          <w:sz w:val="20"/>
          <w:szCs w:val="20"/>
          <w:color w:val="auto"/>
        </w:rPr>
      </w:pPr>
      <w:r>
        <w:rPr>
          <w:rFonts w:ascii="Courier New" w:cs="Courier New" w:eastAsia="Courier New" w:hAnsi="Courier New"/>
          <w:sz w:val="16"/>
          <w:szCs w:val="16"/>
          <w:color w:val="auto"/>
        </w:rPr>
        <w:t>REPORTS FOURTH QUARTER AND FISCAL 2004 RESULTS CMRG earns $0.15 in the Fourth Quarter of Fiscal 2004</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CANTON, MA (March 31, 2005) -- Casual Male Retail Group, Inc. (NASDAQ/NMS: "CMRG"), retail brand operator of Casual Male Big &amp; Tall, Rochester Big &amp; Tall and the exclusive retailer of George Foreman's clothing collection, announced its operating results for the fourth quarter and fiscal year ended January 29, 2005 ("fiscal 2004").</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fourth quarter of fiscal 2004, net income was $7.9 million, or $0.22 per diluted share, compared to a net loss of $(8.8) million, or $(0.25) per diluted share for the fourth quarter of fiscal 2003. Income from continuing operations for the fourth quarter of fiscal 2004 was $8.3 million, or $0.23 per diluted share, compared to a loss from continuing operations of $(7.6) million, or $(0.21) per diluted share in the fourth quarter of fiscal 2003. Assuming a normalized tax rate of 37%, earnings per share, on a continuing basis, for the fourth quarter of fiscal 2004 was $0.15 per diluted share compared to loss of $(0.14) per diluted share for the fourth quarter of fiscal 2003. Results from continuing operations for fiscal 2004 included the operating results of Rochester Big &amp; Tall Clothing since October 29, 2004, the date of the Company's acquisition of Rochester. Continuing operations for the fourth quarter of fiscal 2003 included approximately $13.7 million of costs associated with the early retirement of long-term debt.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fiscal 2004, the Company reported net income of $1.5 million, or $0.04 per diluted share, compared to a net loss of $(12.1) million, or $(0.34) per diluted share in fiscal 2003. Income from continuing operations for fiscal 2004 was reduced by approximately $0.07 per diluted share from previously reported results for the first nine months of fiscal 2004 due to the divestiture of the Levi's?/Dockers? outlet business and the reclassification of its operating results to discontinued operations. The results from continuing operations for fiscal 2003 include $14.1 million of costs associated primarily with the early retirement of long-term debt.</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Dennis Hernreich, Executive Vice President, COO and CFO stated, "Fiscal 2004 was a very significant year in the Company's turnaround, Casual Male divested its non-core businesses and the proceeds were used to acquire the premier big and tall clothing store chain, Rochester Big &amp; Tall. The Company posted solid sales and operating income results for the fourth quarter of the year, and the Company is very well positioned for the continued positive trends in sales and operating income into fiscal 2005."</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table below reflects results from continuing operations on a segment basis for the Company for the three months ended January 29, 2005 compared to the results from continuing operations for the three months ended January 31, 2004. The Company's Big &amp; Tall Apparel business includes the operating results from the Company's Casual Male business and since October 29, 2004, the operations of its Rochester business. The Company's Other Branded Apparel business includes the results of operations for its Ecko Unltd.(r) outlet stores through July 30, 2004, the date the Company sold its interest in the Ecko Unltd.(r) joint venture.</w:t>
      </w:r>
    </w:p>
    <w:p>
      <w:pPr>
        <w:spacing w:after="0" w:line="200" w:lineRule="exact"/>
        <w:rPr>
          <w:sz w:val="20"/>
          <w:szCs w:val="20"/>
          <w:color w:val="auto"/>
        </w:rPr>
      </w:pPr>
    </w:p>
    <w:p>
      <w:pPr>
        <w:spacing w:after="0" w:line="216" w:lineRule="exact"/>
        <w:rPr>
          <w:sz w:val="20"/>
          <w:szCs w:val="20"/>
          <w:color w:val="auto"/>
        </w:rPr>
      </w:pPr>
    </w:p>
    <w:p>
      <w:pPr>
        <w:jc w:val="both"/>
        <w:ind w:right="2319"/>
        <w:spacing w:after="0" w:line="279" w:lineRule="auto"/>
        <w:rPr>
          <w:sz w:val="20"/>
          <w:szCs w:val="20"/>
          <w:color w:val="auto"/>
        </w:rPr>
      </w:pPr>
      <w:r>
        <w:rPr>
          <w:rFonts w:ascii="Courier New" w:cs="Courier New" w:eastAsia="Courier New" w:hAnsi="Courier New"/>
          <w:sz w:val="16"/>
          <w:szCs w:val="16"/>
          <w:color w:val="auto"/>
        </w:rPr>
        <w:t>The operating results for the Company's Levi's(r)/Dockers(r) outlet stores, which have historically been included in the Other Branded Apparel business segment, have been reclassed to discontinued operations for all periods.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w:t>
      </w:r>
    </w:p>
    <w:p>
      <w:pPr>
        <w:sectPr>
          <w:pgSz w:w="11900" w:h="16838" w:orient="portrait"/>
          <w:cols w:equalWidth="0" w:num="1">
            <w:col w:w="10219"/>
          </w:cols>
          <w:pgMar w:left="240" w:top="339"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6"/>
          <w:szCs w:val="16"/>
          <w:color w:val="auto"/>
        </w:rPr>
        <w:t>January 29, 2005</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Other</w:t>
      </w:r>
    </w:p>
    <w:p>
      <w:pPr>
        <w:spacing w:after="0"/>
        <w:tabs>
          <w:tab w:leader="none" w:pos="1240" w:val="left"/>
        </w:tabs>
        <w:rPr>
          <w:sz w:val="20"/>
          <w:szCs w:val="20"/>
          <w:color w:val="auto"/>
        </w:rPr>
      </w:pPr>
      <w:r>
        <w:rPr>
          <w:rFonts w:ascii="Courier New" w:cs="Courier New" w:eastAsia="Courier New" w:hAnsi="Courier New"/>
          <w:sz w:val="18"/>
          <w:szCs w:val="18"/>
          <w:color w:val="auto"/>
        </w:rPr>
        <w:t>Big &amp; Tall</w:t>
      </w:r>
      <w:r>
        <w:rPr>
          <w:sz w:val="20"/>
          <w:szCs w:val="20"/>
          <w:color w:val="auto"/>
        </w:rPr>
        <w:tab/>
      </w:r>
      <w:r>
        <w:rPr>
          <w:rFonts w:ascii="Courier New" w:cs="Courier New" w:eastAsia="Courier New" w:hAnsi="Courier New"/>
          <w:sz w:val="16"/>
          <w:szCs w:val="16"/>
          <w:color w:val="auto"/>
        </w:rPr>
        <w:t>Branded</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6"/>
          <w:szCs w:val="16"/>
          <w:color w:val="auto"/>
        </w:rPr>
        <w:t>January 31, 2004</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Other</w:t>
      </w:r>
    </w:p>
    <w:p>
      <w:pPr>
        <w:spacing w:after="0" w:line="238" w:lineRule="auto"/>
        <w:rPr>
          <w:sz w:val="20"/>
          <w:szCs w:val="20"/>
          <w:color w:val="auto"/>
        </w:rPr>
      </w:pPr>
      <w:r>
        <w:rPr>
          <w:rFonts w:ascii="Courier New" w:cs="Courier New" w:eastAsia="Courier New" w:hAnsi="Courier New"/>
          <w:sz w:val="18"/>
          <w:szCs w:val="18"/>
          <w:color w:val="auto"/>
        </w:rPr>
        <w:t>Big &amp; Tall Branded</w:t>
      </w:r>
    </w:p>
    <w:p>
      <w:pPr>
        <w:spacing w:after="0" w:line="200" w:lineRule="exact"/>
        <w:rPr>
          <w:sz w:val="20"/>
          <w:szCs w:val="20"/>
          <w:color w:val="auto"/>
        </w:rPr>
      </w:pPr>
    </w:p>
    <w:p>
      <w:pPr>
        <w:sectPr>
          <w:pgSz w:w="11900" w:h="16838" w:orient="portrait"/>
          <w:cols w:equalWidth="0" w:num="3">
            <w:col w:w="1380" w:space="420"/>
            <w:col w:w="2760" w:space="720"/>
            <w:col w:w="4939"/>
          </w:cols>
          <w:pgMar w:left="240" w:top="339" w:right="1440" w:bottom="0" w:gutter="0" w:footer="0" w:header="0"/>
          <w:type w:val="continuous"/>
        </w:sectPr>
      </w:pPr>
    </w:p>
    <w:p>
      <w:pPr>
        <w:spacing w:after="0" w:line="210" w:lineRule="exact"/>
        <w:rPr>
          <w:sz w:val="20"/>
          <w:szCs w:val="20"/>
          <w:color w:val="auto"/>
        </w:rPr>
      </w:pPr>
    </w:p>
    <w:p>
      <w:pPr>
        <w:ind w:left="1800" w:right="1879"/>
        <w:spacing w:after="0" w:line="235" w:lineRule="auto"/>
        <w:rPr>
          <w:sz w:val="20"/>
          <w:szCs w:val="20"/>
          <w:color w:val="auto"/>
        </w:rPr>
      </w:pPr>
      <w:r>
        <w:rPr>
          <w:rFonts w:ascii="Courier New" w:cs="Courier New" w:eastAsia="Courier New" w:hAnsi="Courier New"/>
          <w:sz w:val="18"/>
          <w:szCs w:val="18"/>
          <w:color w:val="auto"/>
        </w:rPr>
        <w:t>Apparel Apparel Combined Apparel Apparel Combined business business Company business business Company</w:t>
      </w:r>
    </w:p>
    <w:p>
      <w:pPr>
        <w:sectPr>
          <w:pgSz w:w="11900" w:h="16838" w:orient="portrait"/>
          <w:cols w:equalWidth="0" w:num="1">
            <w:col w:w="10219"/>
          </w:cols>
          <w:pgMar w:left="240" w:top="339" w:right="1440" w:bottom="0" w:gutter="0" w:footer="0" w:header="0"/>
          <w:type w:val="continuous"/>
        </w:sectPr>
      </w:pP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118.2</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94.5</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102.1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net of occupancy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w:t>
            </w:r>
          </w:p>
        </w:tc>
        <w:tc>
          <w:tcPr>
            <w:tcW w:w="4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w:t>
            </w:r>
          </w:p>
        </w:tc>
        <w:tc>
          <w:tcPr>
            <w:tcW w:w="2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4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rate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w:t>
            </w:r>
          </w:p>
        </w:tc>
        <w:tc>
          <w:tcPr>
            <w:tcW w:w="4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and administrative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37.4</w:t>
            </w:r>
          </w:p>
        </w:tc>
        <w:tc>
          <w:tcPr>
            <w:tcW w:w="4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37.4</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w:t>
            </w:r>
          </w:p>
        </w:tc>
        <w:tc>
          <w:tcPr>
            <w:tcW w:w="2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spacing w:after="0"/>
              <w:rPr>
                <w:sz w:val="17"/>
                <w:szCs w:val="17"/>
                <w:color w:val="auto"/>
              </w:rPr>
            </w:pP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gridSpan w:val="11"/>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 $</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   $</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800" w:type="dxa"/>
            <w:vAlign w:val="bottom"/>
          </w:tcPr>
          <w:p>
            <w:pPr>
              <w:spacing w:after="0"/>
              <w:rPr>
                <w:sz w:val="17"/>
                <w:szCs w:val="17"/>
                <w:color w:val="auto"/>
              </w:rPr>
            </w:pPr>
          </w:p>
        </w:tc>
        <w:tc>
          <w:tcPr>
            <w:tcW w:w="642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Investors are invited to listen to a broadcast of the Company's conference call to discuss its fiscal 2004 earnings results. The conference call will broadcast live today on Thursday, March 31, 2005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which is a non-GAAP measure. Normalized tax basis reflects a 37% effective tax rate on pre-tax income (loss).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income from continuing operations of $0.15 per diluted share for the fourth quarter of fiscal 2004 as compared to a loss of $(0.14) per diluted share for the fourth quarter of fiscal 2003 on a GAAP basis effected for the adjustment for normalized taxes: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29,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2004</w:t>
      </w:r>
    </w:p>
    <w:p>
      <w:pPr>
        <w:spacing w:after="0" w:line="21" w:lineRule="exact"/>
        <w:rPr>
          <w:sz w:val="20"/>
          <w:szCs w:val="20"/>
          <w:color w:val="auto"/>
        </w:rPr>
      </w:pPr>
    </w:p>
    <w:p>
      <w:pPr>
        <w:sectPr>
          <w:pgSz w:w="11900" w:h="16838" w:orient="portrait"/>
          <w:cols w:equalWidth="0" w:num="3">
            <w:col w:w="2860" w:space="620"/>
            <w:col w:w="2120" w:space="720"/>
            <w:col w:w="3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 millions, except for per</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amounts)</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Earnings</w:t>
      </w:r>
    </w:p>
    <w:p>
      <w:pPr>
        <w:ind w:left="1160"/>
        <w:spacing w:after="0" w:line="238" w:lineRule="auto"/>
        <w:rPr>
          <w:sz w:val="20"/>
          <w:szCs w:val="20"/>
          <w:color w:val="auto"/>
        </w:rPr>
      </w:pPr>
      <w:r>
        <w:rPr>
          <w:rFonts w:ascii="Courier New" w:cs="Courier New" w:eastAsia="Courier New" w:hAnsi="Courier New"/>
          <w:sz w:val="18"/>
          <w:szCs w:val="18"/>
          <w:color w:val="auto"/>
        </w:rPr>
        <w:t>Per</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Loss Per</w:t>
      </w:r>
    </w:p>
    <w:p>
      <w:pPr>
        <w:spacing w:after="0" w:line="16"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3">
            <w:col w:w="2560" w:space="720"/>
            <w:col w:w="2100" w:space="520"/>
            <w:col w:w="43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Income (loss)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 as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8.3</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0.23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(7.6)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$(0.21)</w:t>
      </w:r>
    </w:p>
    <w:p>
      <w:pPr>
        <w:spacing w:after="0" w:line="17" w:lineRule="exact"/>
        <w:rPr>
          <w:sz w:val="20"/>
          <w:szCs w:val="20"/>
          <w:color w:val="auto"/>
        </w:rPr>
      </w:pPr>
    </w:p>
    <w:p>
      <w:pPr>
        <w:sectPr>
          <w:pgSz w:w="11900" w:h="16838" w:orient="portrait"/>
          <w:cols w:equalWidth="0" w:num="5">
            <w:col w:w="2560" w:space="720"/>
            <w:col w:w="620" w:space="420"/>
            <w:col w:w="860" w:space="720"/>
            <w:col w:w="840" w:space="440"/>
            <w:col w:w="3039"/>
          </w:cols>
          <w:pgMar w:left="24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Income tax (provision)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benefit, assuming normalized</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tax rate of 37%</w:t>
      </w:r>
    </w:p>
    <w:p>
      <w:pPr>
        <w:spacing w:after="0" w:line="20" w:lineRule="exact"/>
        <w:rPr>
          <w:sz w:val="20"/>
          <w:szCs w:val="20"/>
          <w:color w:val="auto"/>
        </w:rPr>
      </w:pPr>
      <w:r>
        <w:rPr>
          <w:sz w:val="20"/>
          <w:szCs w:val="20"/>
          <w:color w:val="auto"/>
        </w:rPr>
        <w:br w:type="column"/>
      </w: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(0.08)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0.07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3">
            <w:col w:w="2440" w:space="720"/>
            <w:col w:w="2220" w:space="520"/>
            <w:col w:w="43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Adjusted income (loss) from</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continuing operations, after</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normalized tax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20"/>
        <w:spacing w:after="0"/>
        <w:tabs>
          <w:tab w:leader="none" w:pos="400" w:val="left"/>
          <w:tab w:leader="none" w:pos="1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0.15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$(0.14)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2440" w:space="720"/>
            <w:col w:w="120" w:space="0"/>
            <w:col w:w="2100" w:space="420"/>
            <w:col w:w="100" w:space="0"/>
            <w:col w:w="4319"/>
          </w:cols>
          <w:pgMar w:left="24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shares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Outstanding -diluted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600"/>
        <w:spacing w:after="0"/>
        <w:rPr>
          <w:sz w:val="20"/>
          <w:szCs w:val="20"/>
          <w:color w:val="auto"/>
        </w:rPr>
      </w:pPr>
      <w:r>
        <w:rPr>
          <w:rFonts w:ascii="Courier New" w:cs="Courier New" w:eastAsia="Courier New" w:hAnsi="Courier New"/>
          <w:sz w:val="16"/>
          <w:szCs w:val="16"/>
          <w:color w:val="auto"/>
        </w:rPr>
        <w:t>35.7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35.2</w:t>
      </w:r>
    </w:p>
    <w:p>
      <w:pPr>
        <w:spacing w:after="0" w:line="200" w:lineRule="exact"/>
        <w:rPr>
          <w:sz w:val="20"/>
          <w:szCs w:val="20"/>
          <w:color w:val="auto"/>
        </w:rPr>
      </w:pPr>
    </w:p>
    <w:p>
      <w:pPr>
        <w:sectPr>
          <w:pgSz w:w="11900" w:h="16838" w:orient="portrait"/>
          <w:cols w:equalWidth="0" w:num="3">
            <w:col w:w="3920" w:space="720"/>
            <w:col w:w="2020" w:space="720"/>
            <w:col w:w="2839"/>
          </w:cols>
          <w:pgMar w:left="240" w:top="136" w:right="1440" w:bottom="0" w:gutter="0" w:footer="0" w:header="0"/>
          <w:type w:val="continuous"/>
        </w:sectPr>
      </w:pPr>
    </w:p>
    <w:p>
      <w:pPr>
        <w:spacing w:after="0" w:line="22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will be presenting at the Sidoti &amp; Company, LLC, Ninth Annual New York Emerging Growth Institutional Investor Forum on April 7, 2005 at 9:05 AM. The presentation will not be web cast, however, the presentation material will be posted on Casual Male's corporate web site at www.casualmale.com/investor. CMRG, the largest retailer of big and tall men's apparel with retail operations throughout the United States, London, England and Canada, operates 493 Casual Male Big &amp; Tall stores, the Casual Male e-commerce site, Casual Male catalog business, 13 Casual Male at Sears-Canada stores and 22 Rochester Big &amp; Tall stores and a direct to consumer business. The Company is headquartered in Canton, Massachusetts and its common stock is listed on the Nasdaq National Market under the symbol "CMRG."</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w:t>
      </w:r>
    </w:p>
    <w:p>
      <w:pPr>
        <w:sectPr>
          <w:pgSz w:w="11900" w:h="16838" w:orient="portrait"/>
          <w:cols w:equalWidth="0" w:num="1">
            <w:col w:w="10219"/>
          </w:cols>
          <w:pgMar w:left="240" w:top="136" w:right="1440" w:bottom="0" w:gutter="0" w:footer="0" w:header="0"/>
          <w:type w:val="continuous"/>
        </w:sectPr>
      </w:pPr>
    </w:p>
    <w:bookmarkStart w:id="4" w:name="page5"/>
    <w:bookmarkEnd w:id="4"/>
    <w:p>
      <w:pPr>
        <w:ind w:right="2199"/>
        <w:spacing w:after="0" w:line="236" w:lineRule="auto"/>
        <w:rPr>
          <w:sz w:val="20"/>
          <w:szCs w:val="20"/>
          <w:color w:val="auto"/>
        </w:rPr>
      </w:pPr>
      <w:r>
        <w:rPr>
          <w:rFonts w:ascii="Courier New" w:cs="Courier New" w:eastAsia="Courier New" w:hAnsi="Courier New"/>
          <w:sz w:val="18"/>
          <w:szCs w:val="18"/>
          <w:color w:val="auto"/>
        </w:rPr>
        <w:t>results and direction of the Company. The Company does not report on its progress during a quarter until after the quarter has been completed and its results have been appropriately disclosed.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Tables to follow.</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900" w:type="dxa"/>
            <w:vAlign w:val="bottom"/>
            <w:gridSpan w:val="5"/>
          </w:tcPr>
          <w:p>
            <w:pPr>
              <w:jc w:val="right"/>
              <w:ind w:right="432"/>
              <w:spacing w:after="0"/>
              <w:rPr>
                <w:sz w:val="20"/>
                <w:szCs w:val="20"/>
                <w:color w:val="auto"/>
              </w:rPr>
            </w:pPr>
            <w:r>
              <w:rPr>
                <w:rFonts w:ascii="Courier New" w:cs="Courier New" w:eastAsia="Courier New" w:hAnsi="Courier New"/>
                <w:sz w:val="18"/>
                <w:szCs w:val="18"/>
                <w:color w:val="auto"/>
              </w:rPr>
              <w:t>CASUAL MALE RETAIL GROUP, INC.</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900" w:type="dxa"/>
            <w:vAlign w:val="bottom"/>
            <w:gridSpan w:val="5"/>
          </w:tcPr>
          <w:p>
            <w:pPr>
              <w:ind w:left="1900"/>
              <w:spacing w:after="0" w:line="203" w:lineRule="exact"/>
              <w:rPr>
                <w:sz w:val="20"/>
                <w:szCs w:val="20"/>
                <w:color w:val="auto"/>
              </w:rPr>
            </w:pPr>
            <w:r>
              <w:rPr>
                <w:rFonts w:ascii="Courier New" w:cs="Courier New" w:eastAsia="Courier New" w:hAnsi="Courier New"/>
                <w:sz w:val="18"/>
                <w:szCs w:val="18"/>
                <w:color w:val="auto"/>
                <w:w w:val="99"/>
              </w:rPr>
              <w:t>CONSOLIDATED STATEMENTS OF OPERATIONS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900" w:type="dxa"/>
            <w:vAlign w:val="bottom"/>
            <w:gridSpan w:val="5"/>
          </w:tcPr>
          <w:p>
            <w:pPr>
              <w:ind w:left="2000"/>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the</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For the</w:t>
            </w:r>
          </w:p>
        </w:tc>
      </w:tr>
      <w:tr>
        <w:trPr>
          <w:trHeight w:val="203"/>
        </w:trPr>
        <w:tc>
          <w:tcPr>
            <w:tcW w:w="3320" w:type="dxa"/>
            <w:vAlign w:val="bottom"/>
          </w:tcPr>
          <w:p>
            <w:pPr>
              <w:spacing w:after="0"/>
              <w:rPr>
                <w:sz w:val="17"/>
                <w:szCs w:val="17"/>
                <w:color w:val="auto"/>
              </w:rPr>
            </w:pPr>
          </w:p>
        </w:tc>
        <w:tc>
          <w:tcPr>
            <w:tcW w:w="258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the twelve months ended</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1/29/2005</w:t>
            </w:r>
          </w:p>
        </w:tc>
        <w:tc>
          <w:tcPr>
            <w:tcW w:w="13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1/31/2004</w:t>
            </w:r>
          </w:p>
        </w:tc>
        <w:tc>
          <w:tcPr>
            <w:tcW w:w="1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1/29/2005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1/31/2004</w:t>
            </w:r>
          </w:p>
        </w:tc>
      </w:tr>
      <w:tr>
        <w:trPr>
          <w:trHeight w:val="203"/>
        </w:trPr>
        <w:tc>
          <w:tcPr>
            <w:tcW w:w="3320" w:type="dxa"/>
            <w:vAlign w:val="bottom"/>
          </w:tcPr>
          <w:p>
            <w:pPr>
              <w:spacing w:after="0"/>
              <w:rPr>
                <w:sz w:val="17"/>
                <w:szCs w:val="17"/>
                <w:color w:val="auto"/>
              </w:rPr>
            </w:pPr>
          </w:p>
        </w:tc>
        <w:tc>
          <w:tcPr>
            <w:tcW w:w="258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118,150</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102,121</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$ 365,047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$ 339,305</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67,827</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58,982</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214,607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199,129</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50,323</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43,139</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150,440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140,176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37,379</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32,463</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132,554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115,570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2,643</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2,136</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9,858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7,478</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40,022</w:t>
            </w:r>
          </w:p>
        </w:tc>
        <w:tc>
          <w:tcPr>
            <w:tcW w:w="26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34,599</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142,412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123,048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8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10,301</w:t>
            </w:r>
          </w:p>
        </w:tc>
        <w:tc>
          <w:tcPr>
            <w:tcW w:w="26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8,540</w:t>
            </w:r>
          </w:p>
        </w:tc>
        <w:tc>
          <w:tcPr>
            <w:tcW w:w="3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8,028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17,128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38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(13,688)</w:t>
            </w:r>
          </w:p>
        </w:tc>
        <w:tc>
          <w:tcPr>
            <w:tcW w:w="3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(14,113)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(2,030)</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(2,193)</w:t>
            </w:r>
          </w:p>
        </w:tc>
        <w:tc>
          <w:tcPr>
            <w:tcW w:w="3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(11,189)</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continuing</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operations before minority interest</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income taxes</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8,271</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(7,341)</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(8,174)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3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225</w:t>
            </w:r>
          </w:p>
        </w:tc>
        <w:tc>
          <w:tcPr>
            <w:tcW w:w="3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(701)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3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38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8,271</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(7,566)</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(8,454)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Income (loss) from discontinued</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(1,195)</w:t>
            </w:r>
          </w:p>
        </w:tc>
        <w:tc>
          <w:tcPr>
            <w:tcW w:w="3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7,885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$(12,061)</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income(loss) per share -basic</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from continuing</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(0.24)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(loss) from discontinued</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(0.01)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(0.10)</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(0.34)</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w w:val="97"/>
              </w:rPr>
              <w:t>Net income(loss) per share -diluted</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from continuing</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(0.24)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(loss) from discontinued</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(0.01)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(0.10)</w:t>
            </w:r>
          </w:p>
        </w:tc>
      </w:tr>
      <w:tr>
        <w:trPr>
          <w:trHeight w:val="203"/>
        </w:trPr>
        <w:tc>
          <w:tcPr>
            <w:tcW w:w="33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(0.34)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Weighted-average number</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shares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2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34,224</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35,240</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34,511</w:t>
            </w: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35,702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12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35,670</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35,240</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36,733</w:t>
            </w: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35,702</w:t>
            </w:r>
          </w:p>
        </w:tc>
      </w:tr>
    </w:tbl>
    <w:p>
      <w:pPr>
        <w:sectPr>
          <w:pgSz w:w="11900" w:h="16838" w:orient="portrait"/>
          <w:cols w:equalWidth="0" w:num="1">
            <w:col w:w="10219"/>
          </w:cols>
          <w:pgMar w:left="240" w:top="142"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120"/>
        <w:spacing w:after="0"/>
        <w:rPr>
          <w:sz w:val="20"/>
          <w:szCs w:val="20"/>
          <w:color w:val="auto"/>
        </w:rPr>
      </w:pPr>
      <w:r>
        <w:rPr>
          <w:rFonts w:ascii="Courier New" w:cs="Courier New" w:eastAsia="Courier New" w:hAnsi="Courier New"/>
          <w:sz w:val="18"/>
          <w:szCs w:val="18"/>
          <w:color w:val="auto"/>
        </w:rPr>
        <w:t>January 29, 2005 and January 31, 2004</w:t>
      </w:r>
    </w:p>
    <w:tbl>
      <w:tblPr>
        <w:tblLayout w:type="fixed"/>
        <w:tblInd w:w="0" w:type="dxa"/>
        <w:tblCellMar>
          <w:top w:w="0" w:type="dxa"/>
          <w:left w:w="0" w:type="dxa"/>
          <w:bottom w:w="0" w:type="dxa"/>
          <w:right w:w="0" w:type="dxa"/>
        </w:tblCellMar>
      </w:tblPr>
      <w:tr>
        <w:trPr>
          <w:trHeight w:val="202"/>
        </w:trPr>
        <w:tc>
          <w:tcPr>
            <w:tcW w:w="5480" w:type="dxa"/>
            <w:vAlign w:val="bottom"/>
            <w:gridSpan w:val="3"/>
          </w:tcPr>
          <w:p>
            <w:pPr>
              <w:jc w:val="right"/>
              <w:ind w:right="752"/>
              <w:spacing w:after="0" w:line="202" w:lineRule="exact"/>
              <w:rPr>
                <w:sz w:val="20"/>
                <w:szCs w:val="20"/>
                <w:color w:val="auto"/>
              </w:rPr>
            </w:pPr>
            <w:r>
              <w:rPr>
                <w:rFonts w:ascii="Courier New" w:cs="Courier New" w:eastAsia="Courier New" w:hAnsi="Courier New"/>
                <w:sz w:val="18"/>
                <w:szCs w:val="18"/>
                <w:color w:val="auto"/>
              </w:rPr>
              <w:t>(In thousands)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3800" w:type="dxa"/>
            <w:vAlign w:val="bottom"/>
          </w:tcPr>
          <w:p>
            <w:pPr>
              <w:spacing w:after="0"/>
              <w:rPr>
                <w:sz w:val="24"/>
                <w:szCs w:val="24"/>
                <w:color w:val="auto"/>
              </w:rPr>
            </w:pPr>
          </w:p>
        </w:tc>
        <w:tc>
          <w:tcPr>
            <w:tcW w:w="16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5"/>
              </w:rPr>
              <w:t>January 29,</w:t>
            </w:r>
          </w:p>
        </w:tc>
        <w:tc>
          <w:tcPr>
            <w:tcW w:w="18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5"/>
              </w:rPr>
              <w:t>January 31,</w:t>
            </w:r>
          </w:p>
        </w:tc>
      </w:tr>
      <w:tr>
        <w:trPr>
          <w:trHeight w:val="203"/>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2005</w:t>
            </w:r>
          </w:p>
        </w:tc>
        <w:tc>
          <w:tcPr>
            <w:tcW w:w="80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00" w:type="dxa"/>
            <w:vAlign w:val="bottom"/>
          </w:tcPr>
          <w:p>
            <w:pPr>
              <w:spacing w:after="0"/>
              <w:rPr>
                <w:sz w:val="17"/>
                <w:szCs w:val="17"/>
                <w:color w:val="auto"/>
              </w:rPr>
            </w:pP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5,731</w:t>
            </w:r>
          </w:p>
        </w:tc>
        <w:tc>
          <w:tcPr>
            <w:tcW w:w="80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4,179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79,858</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98,673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9,178</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10,831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74,651</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68,345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87,893</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81,306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10,477</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9,408</w:t>
            </w:r>
          </w:p>
        </w:tc>
      </w:tr>
      <w:tr>
        <w:trPr>
          <w:trHeight w:val="203"/>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267,788</w:t>
            </w:r>
          </w:p>
        </w:tc>
        <w:tc>
          <w:tcPr>
            <w:tcW w:w="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272,742</w:t>
            </w:r>
          </w:p>
        </w:tc>
      </w:tr>
      <w:tr>
        <w:trPr>
          <w:trHeight w:val="203"/>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53,729</w:t>
            </w:r>
          </w:p>
        </w:tc>
        <w:tc>
          <w:tcPr>
            <w:tcW w:w="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59,155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19,311</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reserves</w:t>
            </w:r>
          </w:p>
        </w:tc>
        <w:tc>
          <w:tcPr>
            <w:tcW w:w="10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portion</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117,784</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122,374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76,964</w:t>
            </w:r>
          </w:p>
        </w:tc>
        <w:tc>
          <w:tcPr>
            <w:tcW w:w="80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80,841</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267,788</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$ 272,742</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40" w:right="1440" w:bottom="335" w:gutter="0" w:footer="0" w:header="0"/>
        </w:sectPr>
      </w:pPr>
    </w:p>
    <w:bookmarkStart w:id="6" w:name="page7"/>
    <w:bookmarkEnd w:id="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2019-12-19T21:59:37Z</dcterms:created>
  <dcterms:modified xsi:type="dcterms:W3CDTF">2019-12-19T21:59:37Z</dcterms:modified>
</cp:coreProperties>
</file>