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Filed Pursuant to Rule 424(b)(3)</w:t>
      </w:r>
    </w:p>
    <w:p>
      <w:pPr>
        <w:spacing w:after="0" w:line="31"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Registration No. 333-118966</w:t>
      </w:r>
    </w:p>
    <w:p>
      <w:pPr>
        <w:spacing w:after="0" w:line="1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90" w:lineRule="exact"/>
        <w:rPr>
          <w:sz w:val="24"/>
          <w:szCs w:val="24"/>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We are providing this prospectus supplement to update the table in the prospectus under the caption "Selling Securityholders" to reflect a transfer of warrants to purchase 90,000 shares of common stock from Zeke, LP to Capital Ventures International. The amounts set forth below are based upon information provided to us by the selling stockholder (or their representatives), or on our records, and are accurate to the best of our knowledge. Unless we indicate otherwise, the information in this prospectus supplement is as of June 13, 2006</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Number of Shares</w:t>
            </w:r>
          </w:p>
        </w:tc>
        <w:tc>
          <w:tcPr>
            <w:tcW w:w="168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Number of Shares</w:t>
            </w:r>
          </w:p>
        </w:tc>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7"/>
              </w:rPr>
              <w:t>Common Stock Beneficially</w:t>
            </w:r>
          </w:p>
        </w:tc>
        <w:tc>
          <w:tcPr>
            <w:tcW w:w="0" w:type="dxa"/>
            <w:vAlign w:val="bottom"/>
          </w:tcPr>
          <w:p>
            <w:pPr>
              <w:spacing w:after="0"/>
              <w:rPr>
                <w:sz w:val="1"/>
                <w:szCs w:val="1"/>
                <w:color w:val="auto"/>
              </w:rPr>
            </w:pPr>
          </w:p>
        </w:tc>
      </w:tr>
      <w:tr>
        <w:trPr>
          <w:trHeight w:val="203"/>
        </w:trPr>
        <w:tc>
          <w:tcPr>
            <w:tcW w:w="1860" w:type="dxa"/>
            <w:vAlign w:val="bottom"/>
            <w:vMerge w:val="restart"/>
          </w:tcPr>
          <w:p>
            <w:pPr>
              <w:spacing w:after="0"/>
              <w:rPr>
                <w:sz w:val="20"/>
                <w:szCs w:val="20"/>
                <w:color w:val="auto"/>
              </w:rPr>
            </w:pPr>
            <w:r>
              <w:rPr>
                <w:rFonts w:ascii="Courier New" w:cs="Courier New" w:eastAsia="Courier New" w:hAnsi="Courier New"/>
                <w:sz w:val="18"/>
                <w:szCs w:val="18"/>
                <w:color w:val="auto"/>
              </w:rPr>
              <w:t>Selling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Common Stock</w:t>
            </w:r>
          </w:p>
        </w:tc>
        <w:tc>
          <w:tcPr>
            <w:tcW w:w="1680" w:type="dxa"/>
            <w:vAlign w:val="bottom"/>
            <w:vMerge w:val="continue"/>
          </w:tcPr>
          <w:p>
            <w:pPr>
              <w:spacing w:after="0"/>
              <w:rPr>
                <w:sz w:val="17"/>
                <w:szCs w:val="17"/>
                <w:color w:val="auto"/>
              </w:rPr>
            </w:pP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Owned After the Sales</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Stock</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Before Any Sale</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 to Sale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311"/>
        </w:trPr>
        <w:tc>
          <w:tcPr>
            <w:tcW w:w="1860" w:type="dxa"/>
            <w:vAlign w:val="bottom"/>
          </w:tcPr>
          <w:p>
            <w:pPr>
              <w:spacing w:after="0"/>
              <w:rPr>
                <w:sz w:val="20"/>
                <w:szCs w:val="20"/>
                <w:color w:val="auto"/>
              </w:rPr>
            </w:pPr>
            <w:r>
              <w:rPr>
                <w:rFonts w:ascii="Courier New" w:cs="Courier New" w:eastAsia="Courier New" w:hAnsi="Courier New"/>
                <w:sz w:val="18"/>
                <w:szCs w:val="18"/>
                <w:color w:val="auto"/>
              </w:rPr>
              <w:t>Zeke, LP</w:t>
            </w:r>
          </w:p>
        </w:tc>
        <w:tc>
          <w:tcPr>
            <w:tcW w:w="2160" w:type="dxa"/>
            <w:vAlign w:val="bottom"/>
          </w:tcPr>
          <w:p>
            <w:pPr>
              <w:ind w:left="1200"/>
              <w:spacing w:after="0"/>
              <w:rPr>
                <w:sz w:val="20"/>
                <w:szCs w:val="20"/>
                <w:color w:val="auto"/>
              </w:rPr>
            </w:pPr>
            <w:r>
              <w:rPr>
                <w:rFonts w:ascii="Courier New" w:cs="Courier New" w:eastAsia="Courier New" w:hAnsi="Courier New"/>
                <w:sz w:val="18"/>
                <w:szCs w:val="18"/>
                <w:color w:val="auto"/>
              </w:rPr>
              <w:t>N/A</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Ventures</w:t>
            </w:r>
          </w:p>
        </w:tc>
        <w:tc>
          <w:tcPr>
            <w:tcW w:w="21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90,000</w:t>
            </w:r>
          </w:p>
        </w:tc>
        <w:tc>
          <w:tcPr>
            <w:tcW w:w="1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90,000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860" w:type="dxa"/>
            <w:vAlign w:val="bottom"/>
          </w:tcPr>
          <w:p>
            <w:pPr>
              <w:spacing w:after="0"/>
              <w:rPr>
                <w:sz w:val="20"/>
                <w:szCs w:val="20"/>
                <w:color w:val="auto"/>
              </w:rPr>
            </w:pPr>
            <w:r>
              <w:rPr>
                <w:rFonts w:ascii="Courier New" w:cs="Courier New" w:eastAsia="Courier New" w:hAnsi="Courier New"/>
                <w:sz w:val="18"/>
                <w:szCs w:val="18"/>
                <w:color w:val="auto"/>
              </w:rPr>
              <w:t>International (1)</w:t>
            </w:r>
          </w:p>
        </w:tc>
        <w:tc>
          <w:tcPr>
            <w:tcW w:w="216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169" w:lineRule="exact"/>
        <w:rPr>
          <w:sz w:val="24"/>
          <w:szCs w:val="24"/>
          <w:color w:val="auto"/>
        </w:rPr>
      </w:pPr>
    </w:p>
    <w:p>
      <w:pPr>
        <w:ind w:right="1679" w:firstLine="8"/>
        <w:spacing w:after="0" w:line="250"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169" w:lineRule="exact"/>
        <w:rPr>
          <w:rFonts w:ascii="Courier New" w:cs="Courier New" w:eastAsia="Courier New" w:hAnsi="Courier New"/>
          <w:sz w:val="18"/>
          <w:szCs w:val="18"/>
          <w:color w:val="auto"/>
        </w:rPr>
      </w:pPr>
    </w:p>
    <w:p>
      <w:pPr>
        <w:ind w:right="1999" w:firstLine="8"/>
        <w:spacing w:after="0" w:line="274"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34,937,872 shares of common stock outstanding as of June 13, 2006, plus securities deemed to be outstanding with respect to individual stockholders pursuant to Rule 13d-3(d)(1) under the Securities Exchange Act of 1934.</w:t>
      </w:r>
    </w:p>
    <w:p>
      <w:pPr>
        <w:spacing w:after="0" w:line="82" w:lineRule="exact"/>
        <w:rPr>
          <w:sz w:val="24"/>
          <w:szCs w:val="24"/>
          <w:color w:val="auto"/>
        </w:rPr>
      </w:pPr>
    </w:p>
    <w:p>
      <w:pPr>
        <w:ind w:right="1579" w:firstLine="8"/>
        <w:spacing w:after="0" w:line="250"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Heights Capital Management, Inc., the authorized agent of Capital Ventures International ("CVI"), has discretionary authority to vote and dispose of the shares held by CVI and may be deemed to be the beneficial owner of these</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169"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date of this prospectus supplement is June 21, 2006.</w:t>
      </w:r>
    </w:p>
    <w:sectPr>
      <w:pgSz w:w="11900" w:h="16838" w:orient="portrait"/>
      <w:cols w:equalWidth="0" w:num="1">
        <w:col w:w="10219"/>
      </w:cols>
      <w:pgMar w:left="24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2019-12-11T21:23:02Z</dcterms:created>
  <dcterms:modified xsi:type="dcterms:W3CDTF">2019-12-11T21:23:02Z</dcterms:modified>
</cp:coreProperties>
</file>