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SCHEDULE 13D/A</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(Amendment No. 58)</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Under the Securities Exchange Act of 1934</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Casual Male Retail Group, Inc.</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Common Stock</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25057L102</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Seymour Holtzman</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c/o Jewelcor Companies</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100 N. Wilkes Barre Blvd.</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Wilkes-Barre, Pennsylvania 18702</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(570) 822-6277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Address and Telephone Number of</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Person Authorized to Receive Notices</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and Communications)</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August 27, 2009</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Event which Requires Filing</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of this Statement)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 240.13d-1(e), 240.13d-1(f), or 240.13d-1(g),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76" w:right="6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SCHEDULE 13D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CUSIP No. 25057L102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67575" cy="7542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7542530"/>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2</w:t>
      </w: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3</w:t>
      </w: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4</w:t>
      </w: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5</w:t>
      </w: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6</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
        <w:spacing w:after="0"/>
        <w:rPr>
          <w:sz w:val="20"/>
          <w:szCs w:val="20"/>
          <w:color w:val="auto"/>
        </w:rPr>
      </w:pPr>
      <w:r>
        <w:rPr>
          <w:rFonts w:ascii="Arial" w:cs="Arial" w:eastAsia="Arial" w:hAnsi="Arial"/>
          <w:sz w:val="18"/>
          <w:szCs w:val="18"/>
          <w:color w:val="auto"/>
        </w:rPr>
        <w:t>NAMES OF REPORTING PERSONS:</w:t>
      </w:r>
    </w:p>
    <w:p>
      <w:pPr>
        <w:spacing w:after="0" w:line="279" w:lineRule="exact"/>
        <w:rPr>
          <w:sz w:val="20"/>
          <w:szCs w:val="20"/>
          <w:color w:val="auto"/>
        </w:rPr>
      </w:pPr>
    </w:p>
    <w:p>
      <w:pPr>
        <w:ind w:left="3"/>
        <w:spacing w:after="0"/>
        <w:rPr>
          <w:sz w:val="20"/>
          <w:szCs w:val="20"/>
          <w:color w:val="auto"/>
        </w:rPr>
      </w:pPr>
      <w:r>
        <w:rPr>
          <w:rFonts w:ascii="Arial" w:cs="Arial" w:eastAsia="Arial" w:hAnsi="Arial"/>
          <w:sz w:val="18"/>
          <w:szCs w:val="18"/>
          <w:color w:val="auto"/>
        </w:rPr>
        <w:t>I.R.S. IDENTIFICATION NOS. OF ABOVE PERSONS (ENTITIES ONLY):</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8"/>
          <w:szCs w:val="18"/>
          <w:color w:val="auto"/>
        </w:rPr>
        <w:t>Seymour Holtzman</w:t>
      </w:r>
    </w:p>
    <w:p>
      <w:pPr>
        <w:spacing w:after="0" w:line="333" w:lineRule="exact"/>
        <w:rPr>
          <w:sz w:val="20"/>
          <w:szCs w:val="20"/>
          <w:color w:val="auto"/>
        </w:rPr>
      </w:pPr>
    </w:p>
    <w:p>
      <w:pPr>
        <w:ind w:left="3"/>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ind w:left="343" w:hanging="343"/>
        <w:spacing w:after="0"/>
        <w:tabs>
          <w:tab w:leader="none" w:pos="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o</w:t>
      </w:r>
    </w:p>
    <w:p>
      <w:pPr>
        <w:spacing w:after="0" w:line="36" w:lineRule="exact"/>
        <w:rPr>
          <w:rFonts w:ascii="Arial" w:cs="Arial" w:eastAsia="Arial" w:hAnsi="Arial"/>
          <w:sz w:val="18"/>
          <w:szCs w:val="18"/>
          <w:color w:val="auto"/>
        </w:rPr>
      </w:pPr>
    </w:p>
    <w:p>
      <w:pPr>
        <w:ind w:left="343" w:hanging="343"/>
        <w:spacing w:after="0"/>
        <w:tabs>
          <w:tab w:leader="none" w:pos="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x</w:t>
      </w:r>
    </w:p>
    <w:p>
      <w:pPr>
        <w:spacing w:after="0" w:line="84" w:lineRule="exact"/>
        <w:rPr>
          <w:sz w:val="20"/>
          <w:szCs w:val="20"/>
          <w:color w:val="auto"/>
        </w:rPr>
      </w:pPr>
    </w:p>
    <w:p>
      <w:pPr>
        <w:ind w:left="3"/>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ind w:left="3"/>
        <w:spacing w:after="0"/>
        <w:rPr>
          <w:sz w:val="20"/>
          <w:szCs w:val="20"/>
          <w:color w:val="auto"/>
        </w:rPr>
      </w:pPr>
      <w:r>
        <w:rPr>
          <w:rFonts w:ascii="Arial" w:cs="Arial" w:eastAsia="Arial" w:hAnsi="Arial"/>
          <w:sz w:val="18"/>
          <w:szCs w:val="18"/>
          <w:color w:val="auto"/>
        </w:rPr>
        <w:t>SOURCE OF FUNDS (SEE INSTRUCTIONS):</w:t>
      </w:r>
    </w:p>
    <w:p>
      <w:pPr>
        <w:spacing w:after="0" w:line="279" w:lineRule="exact"/>
        <w:rPr>
          <w:sz w:val="20"/>
          <w:szCs w:val="20"/>
          <w:color w:val="auto"/>
        </w:rPr>
      </w:pPr>
    </w:p>
    <w:p>
      <w:pPr>
        <w:ind w:left="3"/>
        <w:spacing w:after="0"/>
        <w:rPr>
          <w:sz w:val="20"/>
          <w:szCs w:val="20"/>
          <w:color w:val="auto"/>
        </w:rPr>
      </w:pPr>
      <w:r>
        <w:rPr>
          <w:rFonts w:ascii="Arial" w:cs="Arial" w:eastAsia="Arial" w:hAnsi="Arial"/>
          <w:sz w:val="18"/>
          <w:szCs w:val="18"/>
          <w:color w:val="auto"/>
        </w:rPr>
        <w:t>PF</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7"/>
          <w:szCs w:val="17"/>
          <w:color w:val="auto"/>
        </w:rPr>
        <w:t>CHECK IF DISCLOSURE OF LEGAL PROCEEDINGS IS REQUIRED PURSUANT TO ITEMS 2(d) OR 2(e):</w:t>
      </w:r>
    </w:p>
    <w:p>
      <w:pPr>
        <w:spacing w:after="0" w:line="297" w:lineRule="exact"/>
        <w:rPr>
          <w:sz w:val="20"/>
          <w:szCs w:val="20"/>
          <w:color w:val="auto"/>
        </w:rPr>
      </w:pPr>
    </w:p>
    <w:p>
      <w:pPr>
        <w:ind w:left="3"/>
        <w:spacing w:after="0"/>
        <w:rPr>
          <w:sz w:val="20"/>
          <w:szCs w:val="20"/>
          <w:color w:val="auto"/>
        </w:rPr>
      </w:pPr>
      <w:r>
        <w:rPr>
          <w:rFonts w:ascii="Arial" w:cs="Arial" w:eastAsia="Arial" w:hAnsi="Arial"/>
          <w:sz w:val="18"/>
          <w:szCs w:val="18"/>
          <w:color w:val="auto"/>
        </w:rPr>
        <w:t>o</w:t>
      </w:r>
    </w:p>
    <w:p>
      <w:pPr>
        <w:spacing w:after="0" w:line="84" w:lineRule="exact"/>
        <w:rPr>
          <w:sz w:val="20"/>
          <w:szCs w:val="20"/>
          <w:color w:val="auto"/>
        </w:rPr>
      </w:pPr>
    </w:p>
    <w:p>
      <w:pPr>
        <w:ind w:left="3"/>
        <w:spacing w:after="0"/>
        <w:rPr>
          <w:sz w:val="20"/>
          <w:szCs w:val="20"/>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ind w:left="3"/>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p>
      <w:pPr>
        <w:sectPr>
          <w:pgSz w:w="11900" w:h="16838" w:orient="portrait"/>
          <w:cols w:equalWidth="0" w:num="2">
            <w:col w:w="200" w:space="537"/>
            <w:col w:w="10723"/>
          </w:cols>
          <w:pgMar w:left="240" w:top="364" w:right="19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1340" w:type="dxa"/>
            <w:vAlign w:val="bottom"/>
            <w:tcBorders>
              <w:top w:val="single" w:sz="8" w:color="auto"/>
              <w:right w:val="single" w:sz="8" w:color="auto"/>
            </w:tcBorders>
          </w:tcPr>
          <w:p>
            <w:pPr>
              <w:spacing w:after="0"/>
              <w:rPr>
                <w:sz w:val="24"/>
                <w:szCs w:val="24"/>
                <w:color w:val="auto"/>
              </w:rPr>
            </w:pPr>
          </w:p>
        </w:tc>
        <w:tc>
          <w:tcPr>
            <w:tcW w:w="5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7</w:t>
            </w:r>
          </w:p>
        </w:tc>
        <w:tc>
          <w:tcPr>
            <w:tcW w:w="9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6"/>
        </w:trPr>
        <w:tc>
          <w:tcPr>
            <w:tcW w:w="1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NUMBER OF</w:t>
            </w:r>
          </w:p>
        </w:tc>
        <w:tc>
          <w:tcPr>
            <w:tcW w:w="540" w:type="dxa"/>
            <w:vAlign w:val="bottom"/>
            <w:tcBorders>
              <w:right w:val="single" w:sz="8" w:color="auto"/>
            </w:tcBorders>
            <w:vMerge w:val="continue"/>
          </w:tcPr>
          <w:p>
            <w:pPr>
              <w:spacing w:after="0"/>
              <w:rPr>
                <w:sz w:val="24"/>
                <w:szCs w:val="24"/>
                <w:color w:val="auto"/>
              </w:rPr>
            </w:pPr>
          </w:p>
        </w:tc>
        <w:tc>
          <w:tcPr>
            <w:tcW w:w="9580" w:type="dxa"/>
            <w:vAlign w:val="bottom"/>
            <w:vMerge w:val="restart"/>
          </w:tcPr>
          <w:p>
            <w:pPr>
              <w:ind w:left="120"/>
              <w:spacing w:after="0"/>
              <w:rPr>
                <w:sz w:val="20"/>
                <w:szCs w:val="20"/>
                <w:color w:val="auto"/>
              </w:rPr>
            </w:pPr>
            <w:r>
              <w:rPr>
                <w:rFonts w:ascii="Arial" w:cs="Arial" w:eastAsia="Arial" w:hAnsi="Arial"/>
                <w:sz w:val="18"/>
                <w:szCs w:val="18"/>
                <w:color w:val="auto"/>
              </w:rPr>
              <w:t>5,630,069(1)</w:t>
            </w:r>
          </w:p>
        </w:tc>
        <w:tc>
          <w:tcPr>
            <w:tcW w:w="0" w:type="dxa"/>
            <w:vAlign w:val="bottom"/>
          </w:tcPr>
          <w:p>
            <w:pPr>
              <w:spacing w:after="0"/>
              <w:rPr>
                <w:sz w:val="1"/>
                <w:szCs w:val="1"/>
                <w:color w:val="auto"/>
              </w:rPr>
            </w:pPr>
          </w:p>
        </w:tc>
      </w:tr>
      <w:tr>
        <w:trPr>
          <w:trHeight w:val="168"/>
        </w:trPr>
        <w:tc>
          <w:tcPr>
            <w:tcW w:w="1340" w:type="dxa"/>
            <w:vAlign w:val="bottom"/>
            <w:tcBorders>
              <w:right w:val="single" w:sz="8" w:color="auto"/>
            </w:tcBorders>
            <w:vMerge w:val="continue"/>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9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SHARES</w:t>
            </w:r>
          </w:p>
        </w:tc>
        <w:tc>
          <w:tcPr>
            <w:tcW w:w="54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8</w:t>
            </w:r>
          </w:p>
        </w:tc>
        <w:tc>
          <w:tcPr>
            <w:tcW w:w="958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EACH</w:t>
            </w:r>
          </w:p>
        </w:tc>
        <w:tc>
          <w:tcPr>
            <w:tcW w:w="54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9</w:t>
            </w:r>
          </w:p>
        </w:tc>
        <w:tc>
          <w:tcPr>
            <w:tcW w:w="958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REPORTING</w:t>
            </w:r>
          </w:p>
        </w:tc>
        <w:tc>
          <w:tcPr>
            <w:tcW w:w="540" w:type="dxa"/>
            <w:vAlign w:val="bottom"/>
            <w:tcBorders>
              <w:right w:val="single" w:sz="8" w:color="auto"/>
            </w:tcBorders>
            <w:vMerge w:val="continue"/>
          </w:tcPr>
          <w:p>
            <w:pPr>
              <w:spacing w:after="0"/>
              <w:rPr>
                <w:sz w:val="22"/>
                <w:szCs w:val="22"/>
                <w:color w:val="auto"/>
              </w:rPr>
            </w:pPr>
          </w:p>
        </w:tc>
        <w:tc>
          <w:tcPr>
            <w:tcW w:w="9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w:t>
            </w:r>
          </w:p>
        </w:tc>
        <w:tc>
          <w:tcPr>
            <w:tcW w:w="54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5,630,069(1)</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10</w:t>
            </w:r>
          </w:p>
        </w:tc>
        <w:tc>
          <w:tcPr>
            <w:tcW w:w="95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6"/>
        </w:trPr>
        <w:tc>
          <w:tcPr>
            <w:tcW w:w="13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958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9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460"/>
          </w:cols>
          <w:pgMar w:left="240" w:top="364" w:right="199" w:bottom="1440" w:gutter="0" w:footer="0" w:header="0"/>
          <w:type w:val="continuous"/>
        </w:sectPr>
      </w:pPr>
    </w:p>
    <w:p>
      <w:pPr>
        <w:spacing w:after="0" w:line="135" w:lineRule="exact"/>
        <w:rPr>
          <w:sz w:val="20"/>
          <w:szCs w:val="20"/>
          <w:color w:val="auto"/>
        </w:rPr>
      </w:pPr>
    </w:p>
    <w:p>
      <w:pPr>
        <w:ind w:left="40"/>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5,630,069(1) - See Item 5</w:t>
      </w:r>
    </w:p>
    <w:p>
      <w:pPr>
        <w:spacing w:after="0" w:line="90" w:lineRule="exact"/>
        <w:rPr>
          <w:sz w:val="20"/>
          <w:szCs w:val="20"/>
          <w:color w:val="auto"/>
        </w:rPr>
      </w:pPr>
    </w:p>
    <w:p>
      <w:pPr>
        <w:sectPr>
          <w:pgSz w:w="11900" w:h="16838" w:orient="portrait"/>
          <w:cols w:equalWidth="0" w:num="2">
            <w:col w:w="340" w:space="400"/>
            <w:col w:w="10720"/>
          </w:cols>
          <w:pgMar w:left="240" w:top="364" w:right="199" w:bottom="1440" w:gutter="0" w:footer="0" w:header="0"/>
          <w:type w:val="continuous"/>
        </w:sectPr>
      </w:pPr>
    </w:p>
    <w:p>
      <w:pPr>
        <w:spacing w:after="0" w:line="135"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12</w:t>
      </w: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13</w:t>
      </w: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(11) EXCLUDES CERTAIN SHARES (SEE INSTRUCTIONS):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13.37%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200" w:lineRule="exact"/>
        <w:rPr>
          <w:sz w:val="20"/>
          <w:szCs w:val="20"/>
          <w:color w:val="auto"/>
        </w:rPr>
      </w:pPr>
    </w:p>
    <w:p>
      <w:pPr>
        <w:sectPr>
          <w:pgSz w:w="11900" w:h="16838" w:orient="portrait"/>
          <w:cols w:equalWidth="0" w:num="2">
            <w:col w:w="360" w:space="380"/>
            <w:col w:w="10720"/>
          </w:cols>
          <w:pgMar w:left="240" w:top="364" w:right="199" w:bottom="1440" w:gutter="0" w:footer="0" w:header="0"/>
          <w:type w:val="continuous"/>
        </w:sectPr>
      </w:pPr>
    </w:p>
    <w:p>
      <w:pPr>
        <w:spacing w:after="0" w:line="52" w:lineRule="exact"/>
        <w:rPr>
          <w:sz w:val="20"/>
          <w:szCs w:val="20"/>
          <w:color w:val="auto"/>
        </w:rPr>
      </w:pPr>
    </w:p>
    <w:p>
      <w:pPr>
        <w:ind w:right="42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options to purchase an aggregate of 1,690,000 shares of Common Stock and warrants to purchase an aggregate of 80,000 shares of Common Stock, all of which are immediately exercisable and are directly beneficially owned by Mr.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SCHEDULE 13D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640" w:type="dxa"/>
            <w:vAlign w:val="bottom"/>
            <w:tcBorders>
              <w:top w:val="single" w:sz="8" w:color="auto"/>
              <w:left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72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72"/>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32"/>
                <w:szCs w:val="32"/>
                <w:b w:val="1"/>
                <w:bCs w:val="1"/>
                <w:color w:val="auto"/>
              </w:rPr>
              <w:t>1</w:t>
            </w:r>
          </w:p>
        </w:tc>
        <w:tc>
          <w:tcPr>
            <w:tcW w:w="100" w:type="dxa"/>
            <w:vAlign w:val="bottom"/>
          </w:tcPr>
          <w:p>
            <w:pPr>
              <w:spacing w:after="0"/>
              <w:rPr>
                <w:sz w:val="24"/>
                <w:szCs w:val="24"/>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Evelyn Holtzman</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54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32"/>
                <w:szCs w:val="32"/>
                <w:b w:val="1"/>
                <w:bCs w:val="1"/>
                <w:color w:val="auto"/>
              </w:rPr>
              <w:t>2</w:t>
            </w:r>
          </w:p>
        </w:tc>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o</w:t>
            </w:r>
          </w:p>
        </w:tc>
        <w:tc>
          <w:tcPr>
            <w:tcW w:w="95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w:t>
            </w: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x</w:t>
            </w:r>
          </w:p>
        </w:tc>
        <w:tc>
          <w:tcPr>
            <w:tcW w:w="954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3</w:t>
            </w:r>
          </w:p>
        </w:tc>
        <w:tc>
          <w:tcPr>
            <w:tcW w:w="100" w:type="dxa"/>
            <w:vAlign w:val="bottom"/>
          </w:tcPr>
          <w:p>
            <w:pPr>
              <w:spacing w:after="0"/>
              <w:rPr>
                <w:sz w:val="23"/>
                <w:szCs w:val="23"/>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54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4</w:t>
            </w:r>
          </w:p>
        </w:tc>
        <w:tc>
          <w:tcPr>
            <w:tcW w:w="100" w:type="dxa"/>
            <w:vAlign w:val="bottom"/>
          </w:tcPr>
          <w:p>
            <w:pPr>
              <w:spacing w:after="0"/>
              <w:rPr>
                <w:sz w:val="22"/>
                <w:szCs w:val="22"/>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3"/>
                <w:szCs w:val="23"/>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o</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07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720" w:type="dxa"/>
            <w:vAlign w:val="bottom"/>
            <w:tcBorders>
              <w:bottom w:val="single" w:sz="8" w:color="auto"/>
              <w:right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7</w:t>
            </w: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6"/>
        </w:trPr>
        <w:tc>
          <w:tcPr>
            <w:tcW w:w="1340" w:type="dxa"/>
            <w:vAlign w:val="bottom"/>
            <w:tcBorders>
              <w:left w:val="single" w:sz="8" w:color="auto"/>
              <w:right w:val="single" w:sz="8" w:color="auto"/>
            </w:tcBorders>
            <w:gridSpan w:val="4"/>
            <w:vMerge w:val="restart"/>
          </w:tcPr>
          <w:p>
            <w:pPr>
              <w:ind w:left="40"/>
              <w:spacing w:after="0"/>
              <w:rPr>
                <w:sz w:val="20"/>
                <w:szCs w:val="20"/>
                <w:color w:val="auto"/>
              </w:rPr>
            </w:pPr>
            <w:r>
              <w:rPr>
                <w:rFonts w:ascii="Arial" w:cs="Arial" w:eastAsia="Arial" w:hAnsi="Arial"/>
                <w:sz w:val="18"/>
                <w:szCs w:val="18"/>
                <w:color w:val="auto"/>
              </w:rPr>
              <w:t>NUMBER OF</w:t>
            </w:r>
          </w:p>
        </w:tc>
        <w:tc>
          <w:tcPr>
            <w:tcW w:w="540" w:type="dxa"/>
            <w:vAlign w:val="bottom"/>
            <w:tcBorders>
              <w:right w:val="single" w:sz="8" w:color="auto"/>
            </w:tcBorders>
            <w:vMerge w:val="continue"/>
          </w:tcPr>
          <w:p>
            <w:pPr>
              <w:spacing w:after="0"/>
              <w:rPr>
                <w:sz w:val="24"/>
                <w:szCs w:val="24"/>
                <w:color w:val="auto"/>
              </w:rPr>
            </w:pPr>
          </w:p>
        </w:tc>
        <w:tc>
          <w:tcPr>
            <w:tcW w:w="954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340" w:type="dxa"/>
            <w:vAlign w:val="bottom"/>
            <w:tcBorders>
              <w:left w:val="single" w:sz="8" w:color="auto"/>
              <w:right w:val="single" w:sz="8" w:color="auto"/>
            </w:tcBorders>
            <w:gridSpan w:val="4"/>
            <w:vMerge w:val="continue"/>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95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w w:val="91"/>
              </w:rPr>
              <w:t>SHARES</w:t>
            </w:r>
          </w:p>
        </w:tc>
        <w:tc>
          <w:tcPr>
            <w:tcW w:w="3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8</w:t>
            </w: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5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OWNED BY</w:t>
            </w:r>
          </w:p>
        </w:tc>
        <w:tc>
          <w:tcPr>
            <w:tcW w:w="28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EACH</w:t>
            </w:r>
          </w:p>
        </w:tc>
        <w:tc>
          <w:tcPr>
            <w:tcW w:w="3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9</w:t>
            </w: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06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w w:val="93"/>
              </w:rPr>
              <w:t>REPORTING</w:t>
            </w:r>
          </w:p>
        </w:tc>
        <w:tc>
          <w:tcPr>
            <w:tcW w:w="28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vMerge w:val="continue"/>
          </w:tcPr>
          <w:p>
            <w:pPr>
              <w:spacing w:after="0"/>
              <w:rPr>
                <w:sz w:val="22"/>
                <w:szCs w:val="22"/>
                <w:color w:val="auto"/>
              </w:rPr>
            </w:pPr>
          </w:p>
        </w:tc>
        <w:tc>
          <w:tcPr>
            <w:tcW w:w="95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w w:val="89"/>
              </w:rPr>
              <w:t>PERSON</w:t>
            </w:r>
          </w:p>
        </w:tc>
        <w:tc>
          <w:tcPr>
            <w:tcW w:w="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WITH</w:t>
            </w:r>
          </w:p>
        </w:tc>
        <w:tc>
          <w:tcPr>
            <w:tcW w:w="3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10</w:t>
            </w: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6"/>
        </w:trPr>
        <w:tc>
          <w:tcPr>
            <w:tcW w:w="6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954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95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11</w:t>
            </w:r>
          </w:p>
        </w:tc>
        <w:tc>
          <w:tcPr>
            <w:tcW w:w="100" w:type="dxa"/>
            <w:vAlign w:val="bottom"/>
          </w:tcPr>
          <w:p>
            <w:pPr>
              <w:spacing w:after="0"/>
              <w:rPr>
                <w:sz w:val="23"/>
                <w:szCs w:val="23"/>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8"/>
                <w:szCs w:val="18"/>
                <w:color w:val="auto"/>
                <w:w w:val="97"/>
              </w:rPr>
              <w:t>0 - See Item 5</w:t>
            </w:r>
          </w:p>
        </w:tc>
        <w:tc>
          <w:tcPr>
            <w:tcW w:w="95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12</w:t>
            </w:r>
          </w:p>
        </w:tc>
        <w:tc>
          <w:tcPr>
            <w:tcW w:w="100" w:type="dxa"/>
            <w:vAlign w:val="bottom"/>
          </w:tcPr>
          <w:p>
            <w:pPr>
              <w:spacing w:after="0"/>
              <w:rPr>
                <w:sz w:val="23"/>
                <w:szCs w:val="23"/>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o</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13</w:t>
            </w:r>
          </w:p>
        </w:tc>
        <w:tc>
          <w:tcPr>
            <w:tcW w:w="100" w:type="dxa"/>
            <w:vAlign w:val="bottom"/>
          </w:tcPr>
          <w:p>
            <w:pPr>
              <w:spacing w:after="0"/>
              <w:rPr>
                <w:sz w:val="23"/>
                <w:szCs w:val="23"/>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32"/>
                <w:szCs w:val="32"/>
                <w:b w:val="1"/>
                <w:bCs w:val="1"/>
                <w:color w:val="auto"/>
              </w:rPr>
              <w:t>14</w:t>
            </w:r>
          </w:p>
        </w:tc>
        <w:tc>
          <w:tcPr>
            <w:tcW w:w="100" w:type="dxa"/>
            <w:vAlign w:val="bottom"/>
          </w:tcPr>
          <w:p>
            <w:pPr>
              <w:spacing w:after="0"/>
              <w:rPr>
                <w:sz w:val="23"/>
                <w:szCs w:val="23"/>
                <w:color w:val="auto"/>
              </w:rPr>
            </w:pPr>
          </w:p>
        </w:tc>
        <w:tc>
          <w:tcPr>
            <w:tcW w:w="10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IN</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5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391" w:right="199" w:bottom="1440" w:gutter="0" w:footer="0" w:header="0"/>
        </w:sectPr>
      </w:pPr>
    </w:p>
    <w:bookmarkStart w:id="3" w:name="page4"/>
    <w:bookmarkEnd w:id="3"/>
    <w:p>
      <w:pPr>
        <w:jc w:val="both"/>
        <w:ind w:firstLine="648"/>
        <w:spacing w:after="0" w:line="259" w:lineRule="auto"/>
        <w:rPr>
          <w:sz w:val="20"/>
          <w:szCs w:val="20"/>
          <w:color w:val="auto"/>
        </w:rPr>
      </w:pPr>
      <w:r>
        <w:rPr>
          <w:rFonts w:ascii="Arial" w:cs="Arial" w:eastAsia="Arial" w:hAnsi="Arial"/>
          <w:sz w:val="18"/>
          <w:szCs w:val="18"/>
          <w:color w:val="auto"/>
        </w:rPr>
        <w:t>This Amendment No. 58 amends and supplements the Schedule 13D, dated November 27, 1998, as amended to date (the “Schedule 13D”), originally filed with the Securities and Exchange Commission by Jewelcor Management, Inc. (“JMI”) and others with respect to the common stock, $.01 par value (the “Common Stock”), of Casual Male Retail Group, Inc., a Delaware corporation (the “Company”). The address of the principal business and principal offices of the Company is 555 Turnpike Street, Canton, Massachusetts, 02021.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 is hereby amended and supplemented as follows: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27, 2009, JMI executed an Amendment to Consulting Agreement with Casual Male Retail Group, Inc., dated as of May 17, 2009, which amends certain portions of the Consulting Agreement as previously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5(a) of the Schedule 13D is hereby amended and supplemented as follows: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4, 2009, the Reporting Persons included in this filing may be deemed to be the beneficial owners of 5,630,069 shares of Common Stock, representing an aggregate of approximately 13.37% of the outstanding shares of Common Stock based upon the 42,110,170 shares of Common Stock outstanding as of August 25, 2009 as reported by the Company in its Form 10-Q filed on August 25, 2009. Such amount includes options to purchase an aggregate of 1,690,000 shares of Common Stock and warrants to purchase an aggregate of 80,000 shares of Common Stock, all of which are immediately exercisable and are directly beneficially owned by Mr. Holtzman.</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4, 2009, Seymour Holtzman beneficially owns 5,630,069 shares of Common Stock, representing an aggregate of approximately 13.37% of the outstanding shares of Common Stock. Such amount includes options to purchase an aggregate of 1,690,000 shares of Common Stock and warrants to purchase an aggregate of 80,000 shares of Common Stock, all of which are immediately exercisable and are directly beneficially owned by Mr. Holtzman.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 is hereby amended and supplemented as follows: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27, 2009, JMI executed an Amendment to Consulting Agreement with Casual Male Retail Group, Inc., dated as of May 17, 2009, which amends certain portions of the Consulting Agreement as previously amended.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 Amendment to Consulting Agreement dated as of May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knowledge and belief of the undersigned, the undersigned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4, 2009</w:t>
      </w:r>
    </w:p>
    <w:p>
      <w:pPr>
        <w:spacing w:after="0" w:line="200" w:lineRule="exact"/>
        <w:rPr>
          <w:sz w:val="20"/>
          <w:szCs w:val="20"/>
          <w:color w:val="auto"/>
        </w:rPr>
      </w:pPr>
    </w:p>
    <w:p>
      <w:pPr>
        <w:spacing w:after="0" w:line="29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40640</wp:posOffset>
            </wp:positionV>
            <wp:extent cx="35502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Seymour Holtzman</w:t>
      </w:r>
    </w:p>
    <w:p>
      <w:pPr>
        <w:spacing w:after="0" w:line="200" w:lineRule="exact"/>
        <w:rPr>
          <w:sz w:val="20"/>
          <w:szCs w:val="20"/>
          <w:color w:val="auto"/>
        </w:rPr>
      </w:pPr>
    </w:p>
    <w:p>
      <w:pPr>
        <w:spacing w:after="0" w:line="3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40640</wp:posOffset>
            </wp:positionV>
            <wp:extent cx="35502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ind w:left="9420"/>
        <w:spacing w:after="0"/>
        <w:rPr>
          <w:sz w:val="20"/>
          <w:szCs w:val="20"/>
          <w:color w:val="auto"/>
        </w:rPr>
      </w:pPr>
      <w:r>
        <w:rPr>
          <w:rFonts w:ascii="Arial" w:cs="Arial" w:eastAsia="Arial" w:hAnsi="Arial"/>
          <w:sz w:val="19"/>
          <w:szCs w:val="19"/>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29210</wp:posOffset>
            </wp:positionV>
            <wp:extent cx="7250430" cy="9598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9598660"/>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50430" cy="9598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9598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2019-12-10T06:19:49Z</dcterms:created>
  <dcterms:modified xsi:type="dcterms:W3CDTF">2019-12-10T06:19:49Z</dcterms:modified>
</cp:coreProperties>
</file>