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3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(Amendment No. __)</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460" w:firstLine="8"/>
        <w:spacing w:after="0" w:line="530" w:lineRule="auto"/>
        <w:tabs>
          <w:tab w:leader="none" w:pos="48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4"/>
          <w:szCs w:val="24"/>
          <w:color w:val="auto"/>
        </w:rPr>
      </w:pPr>
    </w:p>
    <w:p>
      <w:pPr>
        <w:ind w:right="380" w:firstLine="656"/>
        <w:spacing w:after="0" w:line="260"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3" w:lineRule="exact"/>
        <w:rPr>
          <w:sz w:val="24"/>
          <w:szCs w:val="24"/>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225" w:right="619" w:bottom="1440" w:gutter="0" w:footer="0" w:header="0"/>
        </w:sectPr>
      </w:pPr>
    </w:p>
    <w:bookmarkStart w:id="1" w:name="page2"/>
    <w:bookmarkEnd w:id="1"/>
    <w:p>
      <w:pPr>
        <w:ind w:left="772" w:hanging="772"/>
        <w:spacing w:after="0"/>
        <w:tabs>
          <w:tab w:leader="none" w:pos="7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Fund 1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4"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13" w:lineRule="auto"/>
        <w:tabs>
          <w:tab w:leader="none" w:pos="7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5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5,239,180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5,239,180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567" w:right="1440" w:bottom="1440" w:gutter="0" w:footer="0" w:header="0"/>
          <w:type w:val="continuous"/>
        </w:sectPr>
      </w:pPr>
    </w:p>
    <w:p>
      <w:pPr>
        <w:spacing w:after="0" w:line="52" w:lineRule="exact"/>
        <w:rPr>
          <w:sz w:val="20"/>
          <w:szCs w:val="20"/>
          <w:color w:val="auto"/>
        </w:rPr>
      </w:pPr>
    </w:p>
    <w:p>
      <w:pPr>
        <w:ind w:left="752" w:hanging="752"/>
        <w:spacing w:after="0"/>
        <w:tabs>
          <w:tab w:leader="none" w:pos="7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5,239,180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8.71%</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306" w:lineRule="auto"/>
        <w:tabs>
          <w:tab w:leader="none" w:pos="7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098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-315595</wp:posOffset>
            </wp:positionV>
            <wp:extent cx="7098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-873125</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86360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567"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800" w:right="7359" w:hanging="792"/>
        <w:spacing w:after="0" w:line="282"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Destination XL Group, Inc.</w:t>
      </w:r>
    </w:p>
    <w:p>
      <w:pPr>
        <w:spacing w:after="0" w:line="161" w:lineRule="exact"/>
        <w:rPr>
          <w:rFonts w:ascii="Times New Roman" w:cs="Times New Roman" w:eastAsia="Times New Roman" w:hAnsi="Times New Roman"/>
          <w:sz w:val="18"/>
          <w:szCs w:val="18"/>
          <w:color w:val="auto"/>
        </w:rPr>
      </w:pPr>
    </w:p>
    <w:p>
      <w:pPr>
        <w:ind w:left="800" w:right="5919" w:hanging="792"/>
        <w:spacing w:after="0" w:line="527" w:lineRule="auto"/>
        <w:tabs>
          <w:tab w:leader="none" w:pos="8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555 Turnpike Street, Canton, MA 02021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800" w:right="7479" w:hanging="792"/>
        <w:spacing w:after="0" w:line="500"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Fund 1 Investments, LLC</w:t>
      </w:r>
    </w:p>
    <w:p>
      <w:pPr>
        <w:spacing w:after="0" w:line="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w:t>
      </w:r>
    </w:p>
    <w:p>
      <w:pPr>
        <w:spacing w:after="0" w:line="236" w:lineRule="exact"/>
        <w:rPr>
          <w:rFonts w:ascii="Times New Roman" w:cs="Times New Roman" w:eastAsia="Times New Roman" w:hAnsi="Times New Roman"/>
          <w:sz w:val="17"/>
          <w:szCs w:val="17"/>
          <w:color w:val="auto"/>
        </w:rPr>
      </w:pPr>
    </w:p>
    <w:p>
      <w:pPr>
        <w:ind w:left="800" w:right="7379"/>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Carr 115 Unit 1900 Rincon, Puerto Rico 00677</w:t>
      </w:r>
    </w:p>
    <w:p>
      <w:pPr>
        <w:spacing w:after="0" w:line="139" w:lineRule="exact"/>
        <w:rPr>
          <w:rFonts w:ascii="Times New Roman" w:cs="Times New Roman" w:eastAsia="Times New Roman" w:hAnsi="Times New Roman"/>
          <w:sz w:val="17"/>
          <w:szCs w:val="17"/>
          <w:color w:val="auto"/>
        </w:rPr>
      </w:pPr>
    </w:p>
    <w:p>
      <w:pPr>
        <w:ind w:left="800" w:right="8519" w:hanging="792"/>
        <w:spacing w:after="0" w:line="530" w:lineRule="auto"/>
        <w:tabs>
          <w:tab w:leader="none" w:pos="8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ind w:left="800" w:right="7419" w:hanging="792"/>
        <w:spacing w:after="0" w:line="282" w:lineRule="auto"/>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61" w:lineRule="exact"/>
        <w:rPr>
          <w:rFonts w:ascii="Times New Roman" w:cs="Times New Roman" w:eastAsia="Times New Roman" w:hAnsi="Times New Roman"/>
          <w:sz w:val="18"/>
          <w:szCs w:val="18"/>
          <w:color w:val="auto"/>
        </w:rPr>
      </w:pPr>
    </w:p>
    <w:p>
      <w:pPr>
        <w:ind w:left="800" w:right="8199" w:hanging="792"/>
        <w:spacing w:after="0" w:line="312" w:lineRule="auto"/>
        <w:tabs>
          <w:tab w:leader="none" w:pos="8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60" w:type="dxa"/>
            <w:vAlign w:val="bottom"/>
          </w:tcPr>
          <w:p>
            <w:pPr>
              <w:spacing w:after="0"/>
              <w:rPr>
                <w:sz w:val="20"/>
                <w:szCs w:val="20"/>
                <w:color w:val="auto"/>
              </w:rPr>
            </w:pPr>
          </w:p>
        </w:tc>
        <w:tc>
          <w:tcPr>
            <w:tcW w:w="8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§§240.13d-1(b) or 240.13d-2(b) or (c), check whether the person filing is a:</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w:t>
            </w:r>
          </w:p>
        </w:tc>
      </w:tr>
    </w:tbl>
    <w:p>
      <w:pPr>
        <w:ind w:left="780" w:hanging="77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Investment company registered under section 8 of the Investment Company Act of 1940 (15 U.S.C. 80a-8).</w:t>
      </w:r>
    </w:p>
    <w:p>
      <w:pPr>
        <w:sectPr>
          <w:pgSz w:w="11900" w:h="16838" w:orient="portrait"/>
          <w:cols w:equalWidth="0" w:num="1">
            <w:col w:w="11240"/>
          </w:cols>
          <w:pgMar w:left="320" w:top="117" w:right="339" w:bottom="0" w:gutter="0" w:footer="0" w:header="0"/>
        </w:sectPr>
      </w:pP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color w:val="auto"/>
        </w:rPr>
        <w:t>(e)</w:t>
      </w:r>
      <w:r>
        <w:rPr>
          <w:sz w:val="20"/>
          <w:szCs w:val="20"/>
          <w:color w:val="auto"/>
        </w:rPr>
        <w:tab/>
      </w:r>
      <w:r>
        <w:rPr>
          <w:rFonts w:ascii="Times New Roman" w:cs="Times New Roman" w:eastAsia="Times New Roman" w:hAnsi="Times New Roman"/>
          <w:sz w:val="17"/>
          <w:szCs w:val="17"/>
          <w:color w:val="auto"/>
        </w:rPr>
        <w:t>[ ]</w:t>
      </w:r>
    </w:p>
    <w:p>
      <w:pPr>
        <w:spacing w:after="0" w:line="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color w:val="auto"/>
        </w:rPr>
        <w:t>(f)</w:t>
      </w:r>
      <w:r>
        <w:rPr>
          <w:sz w:val="20"/>
          <w:szCs w:val="20"/>
          <w:color w:val="auto"/>
        </w:rPr>
        <w:tab/>
      </w: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employee benefit plan or endowment fund in accordance with §240.13d-1(b)(1)(ii)(F);</w:t>
      </w:r>
    </w:p>
    <w:p>
      <w:pPr>
        <w:spacing w:after="0" w:line="21" w:lineRule="exact"/>
        <w:rPr>
          <w:sz w:val="20"/>
          <w:szCs w:val="20"/>
          <w:color w:val="auto"/>
        </w:rPr>
      </w:pPr>
    </w:p>
    <w:p>
      <w:pPr>
        <w:sectPr>
          <w:pgSz w:w="11900" w:h="16838" w:orient="portrait"/>
          <w:cols w:equalWidth="0" w:num="2">
            <w:col w:w="940" w:space="600"/>
            <w:col w:w="9700"/>
          </w:cols>
          <w:pgMar w:left="320" w:top="117" w:right="339" w:bottom="0" w:gutter="0" w:footer="0" w:header="0"/>
          <w:type w:val="continuous"/>
        </w:sectPr>
      </w:pPr>
    </w:p>
    <w:p>
      <w:pPr>
        <w:ind w:left="780" w:hanging="772"/>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 240.13d-1(b)(1)(ii)(G);</w:t>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tc>
      </w:tr>
      <w:tr>
        <w:trPr>
          <w:trHeight w:val="216"/>
        </w:trPr>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 1940 (15 U.S.C. 80a-3);</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non-U.S. institution in accordance with §240.13d–1(b)(1)(ii)(J);</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Group, in accordance with §240.13d-1(b)(1)(ii)(K).</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0" w:type="dxa"/>
            <w:vAlign w:val="bottom"/>
          </w:tcPr>
          <w:p>
            <w:pPr>
              <w:spacing w:after="0"/>
              <w:rPr>
                <w:sz w:val="24"/>
                <w:szCs w:val="24"/>
                <w:color w:val="auto"/>
              </w:rPr>
            </w:pPr>
          </w:p>
        </w:tc>
        <w:tc>
          <w:tcPr>
            <w:tcW w:w="10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1180" w:hanging="427"/>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information set forth in Row 9 on the cover page is hereby incorporated by reference into this Item 4(a).</w:t>
      </w:r>
    </w:p>
    <w:p>
      <w:pPr>
        <w:spacing w:after="0" w:line="225" w:lineRule="exact"/>
        <w:rPr>
          <w:sz w:val="20"/>
          <w:szCs w:val="20"/>
          <w:color w:val="auto"/>
        </w:rPr>
      </w:pPr>
    </w:p>
    <w:p>
      <w:pPr>
        <w:ind w:left="1180" w:hanging="427"/>
        <w:spacing w:after="0"/>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information set forth in Row 11 on the cover page is hereby incorporated by reference into this Item 4(b).</w:t>
      </w:r>
    </w:p>
    <w:p>
      <w:pPr>
        <w:spacing w:after="0" w:line="225" w:lineRule="exact"/>
        <w:rPr>
          <w:sz w:val="20"/>
          <w:szCs w:val="20"/>
          <w:color w:val="auto"/>
        </w:rPr>
      </w:pPr>
    </w:p>
    <w:p>
      <w:pPr>
        <w:ind w:left="1180" w:hanging="443"/>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 ***</w:t>
      </w:r>
    </w:p>
    <w:p>
      <w:pPr>
        <w:spacing w:after="0" w:line="225" w:lineRule="exact"/>
        <w:rPr>
          <w:rFonts w:ascii="Times New Roman" w:cs="Times New Roman" w:eastAsia="Times New Roman" w:hAnsi="Times New Roman"/>
          <w:sz w:val="18"/>
          <w:szCs w:val="18"/>
          <w:color w:val="auto"/>
        </w:rPr>
      </w:pPr>
    </w:p>
    <w:p>
      <w:pPr>
        <w:ind w:left="1680" w:hanging="387"/>
        <w:spacing w:after="0"/>
        <w:tabs>
          <w:tab w:leader="none" w:pos="1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740" w:hanging="447"/>
        <w:spacing w:after="0"/>
        <w:tabs>
          <w:tab w:leader="none" w:pos="1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780" w:hanging="487"/>
        <w:spacing w:after="0"/>
        <w:tabs>
          <w:tab w:leader="none" w:pos="17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780" w:hanging="487"/>
        <w:spacing w:after="0"/>
        <w:tabs>
          <w:tab w:leader="none" w:pos="17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information set forth in Rows 5 through 8 on the cover page is hereby incorporated by reference into this Item 4(c).</w:t>
      </w:r>
    </w:p>
    <w:p>
      <w:pPr>
        <w:spacing w:after="0" w:line="200" w:lineRule="exact"/>
        <w:rPr>
          <w:sz w:val="20"/>
          <w:szCs w:val="20"/>
          <w:color w:val="auto"/>
        </w:rPr>
      </w:pPr>
    </w:p>
    <w:p>
      <w:pPr>
        <w:spacing w:after="0" w:line="201" w:lineRule="exact"/>
        <w:rPr>
          <w:sz w:val="20"/>
          <w:szCs w:val="20"/>
          <w:color w:val="auto"/>
        </w:rPr>
      </w:pPr>
    </w:p>
    <w:p>
      <w:pPr>
        <w:jc w:val="both"/>
        <w:ind w:left="660" w:right="20" w:hanging="4"/>
        <w:spacing w:after="0" w:line="261" w:lineRule="auto"/>
        <w:tabs>
          <w:tab w:leader="none" w:pos="9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reported herein for Fund 1 Investments, LLC are held for the benefit of private investment vehicles for which Pleasant Lake Partners LLC serves as investment adviser. Fund 1 Investments, LLC serves as managing member of Pleasant Lake Partners LLC. Jonathan Lennon serves as managing member of Fund 1 Investments, LLC. Each of Fund 1 Investments, LLC, Pleasant Lake Partners LLC and Mr. Lennon disclaims beneficial ownership of the shares reported herein except to the extent of its or his pecuniary interest therein.</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All percentages reported herein with respect to the Reporting Person’s holdings are calculated based upon a statement in the Issuer’s Quarterly Report on Form 10-Q for the quarterly period ended October 28, 2023, as filed with the Securities and Exchange Commission on November 17, 2023, that there were 60,182,080 shares of Common Stock of the Issuer outstanding as of November 8, 2023.</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4.</w:t>
      </w:r>
    </w:p>
    <w:p>
      <w:pPr>
        <w:spacing w:after="0" w:line="225" w:lineRule="exact"/>
        <w:rPr>
          <w:sz w:val="20"/>
          <w:szCs w:val="20"/>
          <w:color w:val="auto"/>
        </w:rPr>
      </w:pPr>
    </w:p>
    <w:p>
      <w:pPr>
        <w:ind w:right="60" w:firstLine="972"/>
        <w:spacing w:after="0" w:line="266" w:lineRule="auto"/>
        <w:rPr>
          <w:sz w:val="20"/>
          <w:szCs w:val="20"/>
          <w:color w:val="auto"/>
        </w:rPr>
      </w:pPr>
      <w:r>
        <w:rPr>
          <w:rFonts w:ascii="Times New Roman" w:cs="Times New Roman" w:eastAsia="Times New Roman" w:hAnsi="Times New Roman"/>
          <w:sz w:val="18"/>
          <w:szCs w:val="18"/>
          <w:color w:val="auto"/>
        </w:rPr>
        <w:t>In addition, Pleasant Lake Onshore Feeder Fund, LP, a private investment vehicle for which Pleasant Lake Partners LLC serves as investment adviser, has the right to receive and/or the power to direct the receipt of dividends from, or the proceeds from the sale of, more than five percent of the Common Stock of the Issuer.</w:t>
      </w:r>
    </w:p>
    <w:p>
      <w:pPr>
        <w:spacing w:after="0" w:line="172" w:lineRule="exact"/>
        <w:rPr>
          <w:sz w:val="20"/>
          <w:szCs w:val="20"/>
          <w:color w:val="auto"/>
        </w:rPr>
      </w:pPr>
    </w:p>
    <w:p>
      <w:pPr>
        <w:ind w:left="1300" w:right="58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4.</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ectPr>
          <w:pgSz w:w="11900" w:h="16838" w:orient="portrait"/>
          <w:cols w:equalWidth="0" w:num="1">
            <w:col w:w="11240"/>
          </w:cols>
          <w:pgMar w:left="320" w:top="117" w:right="339" w:bottom="0" w:gutter="0" w:footer="0" w:header="0"/>
          <w:type w:val="continuous"/>
        </w:sectPr>
      </w:pPr>
    </w:p>
    <w:bookmarkStart w:id="4" w:name="page5"/>
    <w:bookmarkEnd w:id="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FUND 1 INVESTMENTS, LLC</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Benjamin C. Cable</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Benjamin C. Cable</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Chief Operating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Roman"/>
      <w:start w:val="10"/>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lvl w:ilvl="1">
      <w:lvlJc w:val="left"/>
      <w:lvlText w:val="(%2)"/>
      <w:numFmt w:val="lowerLetter"/>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9"/>
      <w:numFmt w:val="bullet"/>
      <w:start w:val="1"/>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7"/>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3"/>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2024-02-14T17:24:01Z</dcterms:created>
  <dcterms:modified xsi:type="dcterms:W3CDTF">2024-02-14T17:24:01Z</dcterms:modified>
</cp:coreProperties>
</file>