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1,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140" w:right="32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2006 Incentive Compensation Plan</w:t>
      </w:r>
    </w:p>
    <w:p>
      <w:pPr>
        <w:spacing w:after="0" w:line="9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At the Annual Meeting of Stockholders of Destination XL Group, Inc. (the “Company”), held on August 1, 2013 (the “Annual Meeting”), the Company’s stockholders approved an amendment to the Company’s 2006 Incentive Compensation Plan (the “2006 Plan”). The amendment increased the total number of shares of common stock authorized for issuance under the plan by 1,500,000 from 5,750,000 to 7,250,000 shares and as a sub-limit under the 2006 Plan, increased the maximum number of those shares that may be subject to the granting of awards other than stock options and stock appreciation rights (“SARs”) by 500,000 shares.</w:t>
      </w:r>
    </w:p>
    <w:p>
      <w:pPr>
        <w:spacing w:after="0" w:line="14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Company’s principal executive officer, principal financial officer and its named executive officers, along with the Company’s other employees, officers, directors and consultants, are eligible to participate in the 2006 Plan. The terms of the 2006 Plan provide for grants of stock options, SARs, restricted stock, deferred stock, other stock-related awards and performance awards that may be settled in cash, stock or other property. This summary is qualified in its entirety by reference to the complete text of the 2006 Plan, as amended, which is included as Appendix A to the Company’s definitive proxy statement filed with the Securities and Exchange Commission on June 24, 2013.</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Set forth below are the matters submitted at the Company’s Annual Meeting on August 1, 2013 by the Board of Directors to a vote of stockholders and the final results of the voting for each proposal. The Company had 50,772,038 shares of common stock outstanding on June 3, 2013, the record date for the Annual Meeting. At the Annual Meeting, holders of 44,253,958 shares of the Company’s common stock were present in person or represented by proxy.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Proposal 1: Election of Directors.</w:t>
      </w:r>
    </w:p>
    <w:p>
      <w:pPr>
        <w:spacing w:after="0" w:line="9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Company’s stockholders elected nine directors to hold office until the 2014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Directors</w:t>
            </w:r>
          </w:p>
        </w:tc>
        <w:tc>
          <w:tcPr>
            <w:tcW w:w="51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Votes FOR</w:t>
            </w:r>
          </w:p>
        </w:tc>
        <w:tc>
          <w:tcPr>
            <w:tcW w:w="1440" w:type="dxa"/>
            <w:vAlign w:val="bottom"/>
            <w:gridSpan w:val="2"/>
          </w:tcPr>
          <w:p>
            <w:pPr>
              <w:spacing w:after="0"/>
              <w:rPr>
                <w:sz w:val="20"/>
                <w:szCs w:val="20"/>
                <w:color w:val="auto"/>
              </w:rPr>
            </w:pPr>
            <w:r>
              <w:rPr>
                <w:rFonts w:ascii="Arial" w:cs="Arial" w:eastAsia="Arial" w:hAnsi="Arial"/>
                <w:sz w:val="14"/>
                <w:szCs w:val="14"/>
                <w:color w:val="auto"/>
              </w:rPr>
              <w:t>Votes AGAINST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203"/>
        </w:trPr>
        <w:tc>
          <w:tcPr>
            <w:tcW w:w="5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34,632,489</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3,151,551</w:t>
            </w:r>
          </w:p>
        </w:tc>
        <w:tc>
          <w:tcPr>
            <w:tcW w:w="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6,469,918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35,286,603</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2,497,437</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37,518,538</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265,502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32,154,141</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5,629,899</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37,495,768</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37,262,111</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521,929</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35,012,398</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2,771,642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37,214,538</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569,502</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Ivy Ross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37,532,629</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251,411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6,469,918</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Proposal 2: Amendment to the Company’s 2006 Incentive Compensation Plan.</w:t>
      </w:r>
    </w:p>
    <w:p>
      <w:pPr>
        <w:spacing w:after="0" w:line="90"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The amendment to the Company’s 2006 Incentive Compensation Plan to (i) increase the total number of shares of common stock authorized for issuance under the plan by 1,500,000 shares and (ii) as a sub-limit under the plan, increase the maximum number of those shares that may be subject to the granting of awards other than stock options and stock appreciation rights by 500,000 shares was approved based on the following votes: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40" w:type="dxa"/>
            <w:vAlign w:val="bottom"/>
            <w:gridSpan w:val="2"/>
          </w:tcPr>
          <w:p>
            <w:pPr>
              <w:jc w:val="center"/>
              <w:ind w:right="1940"/>
              <w:spacing w:after="0"/>
              <w:rPr>
                <w:sz w:val="20"/>
                <w:szCs w:val="20"/>
                <w:color w:val="auto"/>
              </w:rPr>
            </w:pPr>
            <w:r>
              <w:rPr>
                <w:rFonts w:ascii="Arial" w:cs="Arial" w:eastAsia="Arial" w:hAnsi="Arial"/>
                <w:sz w:val="14"/>
                <w:szCs w:val="14"/>
                <w:color w:val="auto"/>
                <w:w w:val="86"/>
              </w:rPr>
              <w:t>Votes FOR</w:t>
            </w:r>
          </w:p>
        </w:tc>
        <w:tc>
          <w:tcPr>
            <w:tcW w:w="2840" w:type="dxa"/>
            <w:vAlign w:val="bottom"/>
            <w:gridSpan w:val="2"/>
          </w:tcPr>
          <w:p>
            <w:pPr>
              <w:jc w:val="center"/>
              <w:ind w:right="1920"/>
              <w:spacing w:after="0"/>
              <w:rPr>
                <w:sz w:val="20"/>
                <w:szCs w:val="20"/>
                <w:color w:val="auto"/>
              </w:rPr>
            </w:pPr>
            <w:r>
              <w:rPr>
                <w:rFonts w:ascii="Arial" w:cs="Arial" w:eastAsia="Arial" w:hAnsi="Arial"/>
                <w:sz w:val="14"/>
                <w:szCs w:val="14"/>
                <w:color w:val="auto"/>
                <w:w w:val="90"/>
              </w:rPr>
              <w:t>Votes AGAINST</w:t>
            </w:r>
          </w:p>
        </w:tc>
        <w:tc>
          <w:tcPr>
            <w:tcW w:w="3020" w:type="dxa"/>
            <w:vAlign w:val="bottom"/>
            <w:gridSpan w:val="2"/>
          </w:tcPr>
          <w:p>
            <w:pPr>
              <w:jc w:val="center"/>
              <w:ind w:right="1940"/>
              <w:spacing w:after="0"/>
              <w:rPr>
                <w:sz w:val="20"/>
                <w:szCs w:val="20"/>
                <w:color w:val="auto"/>
              </w:rPr>
            </w:pPr>
            <w:r>
              <w:rPr>
                <w:rFonts w:ascii="Arial" w:cs="Arial" w:eastAsia="Arial" w:hAnsi="Arial"/>
                <w:sz w:val="14"/>
                <w:szCs w:val="14"/>
                <w:color w:val="auto"/>
                <w:w w:val="90"/>
              </w:rPr>
              <w:t>Votes ABSTAINED</w:t>
            </w: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88"/>
        </w:trPr>
        <w:tc>
          <w:tcPr>
            <w:tcW w:w="800" w:type="dxa"/>
            <w:vAlign w:val="bottom"/>
            <w:tcBorders>
              <w:top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r>
      <w:tr>
        <w:trPr>
          <w:trHeight w:val="216"/>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32,137,102</w:t>
            </w:r>
          </w:p>
        </w:tc>
        <w:tc>
          <w:tcPr>
            <w:tcW w:w="1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7"/>
              </w:rPr>
              <w:t>5,635,380</w:t>
            </w: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11,558</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6,469,918</w:t>
            </w:r>
          </w:p>
        </w:tc>
      </w:tr>
    </w:tbl>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Advisory Vote on Compensation of Named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Company’s named executive officers was approved by a non-binding advisory vote based upon the following votes: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gridSpan w:val="2"/>
          </w:tcPr>
          <w:p>
            <w:pPr>
              <w:jc w:val="center"/>
              <w:ind w:right="1940"/>
              <w:spacing w:after="0"/>
              <w:rPr>
                <w:sz w:val="20"/>
                <w:szCs w:val="20"/>
                <w:color w:val="auto"/>
              </w:rPr>
            </w:pPr>
            <w:r>
              <w:rPr>
                <w:rFonts w:ascii="Arial" w:cs="Arial" w:eastAsia="Arial" w:hAnsi="Arial"/>
                <w:sz w:val="14"/>
                <w:szCs w:val="14"/>
                <w:color w:val="auto"/>
                <w:w w:val="86"/>
              </w:rPr>
              <w:t>Votes FOR</w:t>
            </w:r>
          </w:p>
        </w:tc>
        <w:tc>
          <w:tcPr>
            <w:tcW w:w="2840" w:type="dxa"/>
            <w:vAlign w:val="bottom"/>
            <w:gridSpan w:val="2"/>
          </w:tcPr>
          <w:p>
            <w:pPr>
              <w:jc w:val="center"/>
              <w:ind w:right="1920"/>
              <w:spacing w:after="0"/>
              <w:rPr>
                <w:sz w:val="20"/>
                <w:szCs w:val="20"/>
                <w:color w:val="auto"/>
              </w:rPr>
            </w:pPr>
            <w:r>
              <w:rPr>
                <w:rFonts w:ascii="Arial" w:cs="Arial" w:eastAsia="Arial" w:hAnsi="Arial"/>
                <w:sz w:val="14"/>
                <w:szCs w:val="14"/>
                <w:color w:val="auto"/>
                <w:w w:val="90"/>
              </w:rPr>
              <w:t>Votes AGAINST</w:t>
            </w:r>
          </w:p>
        </w:tc>
        <w:tc>
          <w:tcPr>
            <w:tcW w:w="3020" w:type="dxa"/>
            <w:vAlign w:val="bottom"/>
            <w:gridSpan w:val="2"/>
          </w:tcPr>
          <w:p>
            <w:pPr>
              <w:jc w:val="center"/>
              <w:ind w:right="1940"/>
              <w:spacing w:after="0"/>
              <w:rPr>
                <w:sz w:val="20"/>
                <w:szCs w:val="20"/>
                <w:color w:val="auto"/>
              </w:rPr>
            </w:pPr>
            <w:r>
              <w:rPr>
                <w:rFonts w:ascii="Arial" w:cs="Arial" w:eastAsia="Arial" w:hAnsi="Arial"/>
                <w:sz w:val="14"/>
                <w:szCs w:val="14"/>
                <w:color w:val="auto"/>
                <w:w w:val="90"/>
              </w:rPr>
              <w:t>Votes ABSTAINED</w:t>
            </w: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88"/>
        </w:trPr>
        <w:tc>
          <w:tcPr>
            <w:tcW w:w="800" w:type="dxa"/>
            <w:vAlign w:val="bottom"/>
            <w:tcBorders>
              <w:top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r>
      <w:tr>
        <w:trPr>
          <w:trHeight w:val="216"/>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35,602,600</w:t>
            </w:r>
          </w:p>
        </w:tc>
        <w:tc>
          <w:tcPr>
            <w:tcW w:w="1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7"/>
              </w:rPr>
              <w:t>2,130,356</w:t>
            </w: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51,084</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6,469,918</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 Ratification of Appointment of Independent Registered Public Accountants.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appointment of KPMG LLP as the Company’s independent registered public accounting firm for fiscal year ending February 1, 2014 was ratified based on the following votes: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6"/>
              </w:rPr>
              <w:t>Votes FOR</w:t>
            </w:r>
          </w:p>
        </w:tc>
        <w:tc>
          <w:tcPr>
            <w:tcW w:w="3860" w:type="dxa"/>
            <w:vAlign w:val="bottom"/>
            <w:gridSpan w:val="2"/>
          </w:tcPr>
          <w:p>
            <w:pPr>
              <w:jc w:val="center"/>
              <w:ind w:left="2822"/>
              <w:spacing w:after="0"/>
              <w:rPr>
                <w:sz w:val="20"/>
                <w:szCs w:val="20"/>
                <w:color w:val="auto"/>
              </w:rPr>
            </w:pPr>
            <w:r>
              <w:rPr>
                <w:rFonts w:ascii="Arial" w:cs="Arial" w:eastAsia="Arial" w:hAnsi="Arial"/>
                <w:sz w:val="14"/>
                <w:szCs w:val="14"/>
                <w:color w:val="auto"/>
                <w:w w:val="90"/>
              </w:rPr>
              <w:t>Votes AGAINST</w:t>
            </w:r>
          </w:p>
        </w:tc>
        <w:tc>
          <w:tcPr>
            <w:tcW w:w="4020" w:type="dxa"/>
            <w:vAlign w:val="bottom"/>
            <w:gridSpan w:val="2"/>
          </w:tcPr>
          <w:p>
            <w:pPr>
              <w:jc w:val="center"/>
              <w:ind w:left="2822"/>
              <w:spacing w:after="0"/>
              <w:rPr>
                <w:sz w:val="20"/>
                <w:szCs w:val="20"/>
                <w:color w:val="auto"/>
              </w:rPr>
            </w:pPr>
            <w:r>
              <w:rPr>
                <w:rFonts w:ascii="Arial" w:cs="Arial" w:eastAsia="Arial" w:hAnsi="Arial"/>
                <w:sz w:val="14"/>
                <w:szCs w:val="14"/>
                <w:color w:val="auto"/>
                <w:w w:val="90"/>
              </w:rPr>
              <w:t>Votes ABSTAINED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43,809,306</w:t>
            </w: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440,808</w:t>
            </w:r>
          </w:p>
        </w:tc>
        <w:tc>
          <w:tcPr>
            <w:tcW w:w="4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bl>
    <w:p>
      <w:pPr>
        <w:sectPr>
          <w:pgSz w:w="11900" w:h="16838" w:orient="portrait"/>
          <w:cols w:equalWidth="0" w:num="1">
            <w:col w:w="10520"/>
          </w:cols>
          <w:pgMar w:left="700" w:top="280"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2019-12-06T00:20:55Z</dcterms:created>
  <dcterms:modified xsi:type="dcterms:W3CDTF">2019-12-06T00:20:55Z</dcterms:modified>
</cp:coreProperties>
</file>