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-649605</wp:posOffset>
            </wp:positionV>
            <wp:extent cx="59690" cy="6629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-649605</wp:posOffset>
            </wp:positionV>
            <wp:extent cx="59690" cy="6629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4647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647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Molloy Robert S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</w:tcPr>
          <w:p>
            <w:pPr>
              <w:ind w:left="3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39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3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3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SVP,General Counsel,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04/03/2017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3080" w:type="dxa"/>
            <w:vAlign w:val="bottom"/>
            <w:gridSpan w:val="2"/>
          </w:tcPr>
          <w:p>
            <w:pPr>
              <w:ind w:left="6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04/05/2017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4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54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42,368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42,368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1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("RSUs") represent the time-based portion of the 2017-2018 Long-Term Incentive Plan award to the Reporting Person. The RSUs vest in two equal installments on April 1, 2019 and April 1, 2020.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7"/>
        <w:spacing w:after="0" w:line="271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original Form 4 filed on April 5th inadvertently understated the number of RSUs granted to the Reporting Person by 1,228. This amendment to the Form 4 is being filed to correct the error and reflect the total number of RSUs underlying the award.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Robert S. Molloy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04/10/2017</w:t>
            </w:r>
          </w:p>
        </w:tc>
      </w:tr>
      <w:tr>
        <w:trPr>
          <w:trHeight w:val="234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1242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2019-12-23T15:09:34Z</dcterms:created>
  <dcterms:modified xsi:type="dcterms:W3CDTF">2019-12-23T15:09:34Z</dcterms:modified>
</cp:coreProperties>
</file>