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2"/>
        <w:spacing w:after="0"/>
        <w:rPr>
          <w:sz w:val="20"/>
          <w:szCs w:val="20"/>
          <w:color w:val="auto"/>
        </w:rPr>
      </w:pPr>
      <w:r>
        <w:rPr>
          <w:rFonts w:ascii="Courier New" w:cs="Courier New" w:eastAsia="Courier New" w:hAnsi="Courier New"/>
          <w:sz w:val="16"/>
          <w:szCs w:val="16"/>
          <w:color w:val="auto"/>
        </w:rPr>
        <w:t>As filed with the Securities and Exchange Commission on April 21, 2004</w:t>
      </w:r>
    </w:p>
    <w:p>
      <w:pPr>
        <w:spacing w:after="0" w:line="186" w:lineRule="exact"/>
        <w:rPr>
          <w:sz w:val="24"/>
          <w:szCs w:val="24"/>
          <w:color w:val="auto"/>
        </w:rPr>
      </w:pPr>
    </w:p>
    <w:p>
      <w:pPr>
        <w:ind w:left="5062"/>
        <w:spacing w:after="0"/>
        <w:rPr>
          <w:sz w:val="20"/>
          <w:szCs w:val="20"/>
          <w:color w:val="auto"/>
        </w:rPr>
      </w:pPr>
      <w:r>
        <w:rPr>
          <w:rFonts w:ascii="Courier New" w:cs="Courier New" w:eastAsia="Courier New" w:hAnsi="Courier New"/>
          <w:sz w:val="16"/>
          <w:szCs w:val="16"/>
          <w:color w:val="auto"/>
        </w:rPr>
        <w:t>Registration No. 333-112598</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AMENDMENT NO. 1</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FORM S-3</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CASUAL MALE RETAIL GROUP,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237" w:right="1440" w:bottom="0" w:gutter="0" w:footer="0" w:header="0"/>
        </w:sectPr>
      </w:pPr>
    </w:p>
    <w:p>
      <w:pPr>
        <w:spacing w:after="0" w:line="186"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182"/>
        <w:spacing w:after="0"/>
        <w:rPr>
          <w:sz w:val="20"/>
          <w:szCs w:val="20"/>
          <w:color w:val="auto"/>
        </w:rPr>
      </w:pPr>
      <w:r>
        <w:rPr>
          <w:rFonts w:ascii="Courier New" w:cs="Courier New" w:eastAsia="Courier New" w:hAnsi="Courier New"/>
          <w:sz w:val="15"/>
          <w:szCs w:val="15"/>
          <w:color w:val="auto"/>
        </w:rPr>
        <w:t>(State or other jurisdiction of</w:t>
      </w:r>
    </w:p>
    <w:p>
      <w:pPr>
        <w:spacing w:after="0" w:line="13" w:lineRule="exact"/>
        <w:rPr>
          <w:sz w:val="24"/>
          <w:szCs w:val="24"/>
          <w:color w:val="auto"/>
        </w:rPr>
      </w:pPr>
    </w:p>
    <w:p>
      <w:pPr>
        <w:ind w:left="282"/>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04-2623104</w:t>
      </w:r>
    </w:p>
    <w:p>
      <w:pPr>
        <w:spacing w:after="0" w:line="2"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94" w:lineRule="exact"/>
        <w:rPr>
          <w:sz w:val="24"/>
          <w:szCs w:val="24"/>
          <w:color w:val="auto"/>
        </w:rPr>
      </w:pPr>
    </w:p>
    <w:p>
      <w:pPr>
        <w:sectPr>
          <w:pgSz w:w="11900" w:h="16838" w:orient="portrait"/>
          <w:cols w:equalWidth="0" w:num="2">
            <w:col w:w="4722" w:space="720"/>
            <w:col w:w="4779"/>
          </w:cols>
          <w:pgMar w:left="238" w:top="237" w:right="1440" w:bottom="0" w:gutter="0" w:footer="0" w:header="0"/>
          <w:type w:val="continuous"/>
        </w:sectPr>
      </w:pPr>
    </w:p>
    <w:p>
      <w:pPr>
        <w:jc w:val="center"/>
        <w:ind w:right="2597"/>
        <w:spacing w:after="0"/>
        <w:rPr>
          <w:sz w:val="20"/>
          <w:szCs w:val="20"/>
          <w:color w:val="auto"/>
        </w:rPr>
      </w:pPr>
      <w:r>
        <w:rPr>
          <w:rFonts w:ascii="Courier New" w:cs="Courier New" w:eastAsia="Courier New" w:hAnsi="Courier New"/>
          <w:sz w:val="16"/>
          <w:szCs w:val="16"/>
          <w:color w:val="auto"/>
        </w:rPr>
        <w:t>555 Turnpike Street, Canton, Massachusetts 02021</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(781) 828-9300</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Dennis Hernreich</w:t>
      </w:r>
    </w:p>
    <w:p>
      <w:pPr>
        <w:spacing w:after="0" w:line="2"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Executive Vice President, Chief Operating Officer and</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Chief Financial Officer</w:t>
      </w:r>
    </w:p>
    <w:p>
      <w:pPr>
        <w:spacing w:after="0" w:line="2"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Casual Male Retail Group, Inc.</w:t>
      </w:r>
    </w:p>
    <w:p>
      <w:pPr>
        <w:spacing w:after="0" w:line="2" w:lineRule="exact"/>
        <w:rPr>
          <w:sz w:val="24"/>
          <w:szCs w:val="24"/>
          <w:color w:val="auto"/>
        </w:rPr>
      </w:pPr>
    </w:p>
    <w:p>
      <w:pPr>
        <w:ind w:left="1522"/>
        <w:spacing w:after="0"/>
        <w:rPr>
          <w:sz w:val="20"/>
          <w:szCs w:val="20"/>
          <w:color w:val="auto"/>
        </w:rPr>
      </w:pPr>
      <w:r>
        <w:rPr>
          <w:rFonts w:ascii="Courier New" w:cs="Courier New" w:eastAsia="Courier New" w:hAnsi="Courier New"/>
          <w:sz w:val="16"/>
          <w:szCs w:val="16"/>
          <w:color w:val="auto"/>
        </w:rPr>
        <w:t>555 Turnpike Street, Canton, Massachusetts 02021</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(781) 828-9300</w:t>
      </w:r>
    </w:p>
    <w:p>
      <w:pPr>
        <w:spacing w:after="0" w:line="2"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(Name, address, including zip code, and telephone number, including area</w:t>
      </w:r>
    </w:p>
    <w:p>
      <w:pPr>
        <w:spacing w:after="0" w:line="2"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code, of Registrant's principal executive offices)</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Copy to:</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Peter G. Smith, Esq.</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Kramer Levin Naftalis &amp; Frankel LLP</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919 Third Avenue</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4"/>
          <w:szCs w:val="24"/>
          <w:color w:val="auto"/>
        </w:rPr>
      </w:pPr>
    </w:p>
    <w:p>
      <w:pPr>
        <w:ind w:left="3722" w:hanging="575"/>
        <w:spacing w:after="0"/>
        <w:tabs>
          <w:tab w:leader="none" w:pos="372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715-9100</w:t>
      </w:r>
    </w:p>
    <w:p>
      <w:pPr>
        <w:spacing w:after="0" w:line="2" w:lineRule="exact"/>
        <w:rPr>
          <w:rFonts w:ascii="Courier New" w:cs="Courier New" w:eastAsia="Courier New" w:hAnsi="Courier New"/>
          <w:sz w:val="16"/>
          <w:szCs w:val="16"/>
          <w:color w:val="auto"/>
        </w:rPr>
      </w:pPr>
    </w:p>
    <w:p>
      <w:pPr>
        <w:ind w:left="30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879"/>
        <w:spacing w:after="0" w:line="239"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3"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879" w:firstLine="286"/>
        <w:spacing w:after="0"/>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check the following box. |-|</w:t>
      </w:r>
    </w:p>
    <w:p>
      <w:pPr>
        <w:spacing w:after="0" w:line="6" w:lineRule="exact"/>
        <w:rPr>
          <w:sz w:val="24"/>
          <w:szCs w:val="24"/>
          <w:color w:val="auto"/>
        </w:rPr>
      </w:pPr>
    </w:p>
    <w:p>
      <w:pPr>
        <w:ind w:left="2" w:right="2599" w:firstLine="286"/>
        <w:spacing w:after="0" w:line="241"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6" w:lineRule="exact"/>
        <w:rPr>
          <w:sz w:val="24"/>
          <w:szCs w:val="24"/>
          <w:color w:val="auto"/>
        </w:rPr>
      </w:pPr>
    </w:p>
    <w:p>
      <w:pPr>
        <w:ind w:left="2" w:right="2599" w:firstLine="286"/>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left="2" w:right="2879" w:firstLine="286"/>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left="2" w:right="2879" w:firstLine="286"/>
        <w:spacing w:after="0" w:line="239"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CALCULATION OF REGISTRATION FEE</w:t>
      </w:r>
    </w:p>
    <w:p>
      <w:pPr>
        <w:spacing w:after="0" w:line="186" w:lineRule="exact"/>
        <w:rPr>
          <w:sz w:val="24"/>
          <w:szCs w:val="24"/>
          <w:color w:val="auto"/>
        </w:rPr>
      </w:pPr>
    </w:p>
    <w:tbl>
      <w:tblPr>
        <w:tblLayout w:type="fixed"/>
        <w:tblInd w:w="102" w:type="dxa"/>
        <w:tblCellMar>
          <w:top w:w="0" w:type="dxa"/>
          <w:left w:w="0" w:type="dxa"/>
          <w:bottom w:w="0" w:type="dxa"/>
          <w:right w:w="0" w:type="dxa"/>
        </w:tblCellMar>
      </w:tblPr>
      <w:tr>
        <w:trPr>
          <w:trHeight w:val="181"/>
        </w:trPr>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Proposed</w:t>
            </w:r>
          </w:p>
        </w:tc>
        <w:tc>
          <w:tcPr>
            <w:tcW w:w="13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Maximum</w:t>
            </w:r>
          </w:p>
        </w:tc>
        <w:tc>
          <w:tcPr>
            <w:tcW w:w="1340" w:type="dxa"/>
            <w:vAlign w:val="bottom"/>
          </w:tcPr>
          <w:p>
            <w:pPr>
              <w:spacing w:after="0"/>
              <w:rPr>
                <w:sz w:val="15"/>
                <w:szCs w:val="15"/>
                <w:color w:val="auto"/>
              </w:rPr>
            </w:pPr>
          </w:p>
        </w:tc>
      </w:tr>
      <w:tr>
        <w:trPr>
          <w:trHeight w:val="183"/>
        </w:trPr>
        <w:tc>
          <w:tcPr>
            <w:tcW w:w="1320" w:type="dxa"/>
            <w:vAlign w:val="bottom"/>
          </w:tcPr>
          <w:p>
            <w:pPr>
              <w:spacing w:after="0"/>
              <w:rPr>
                <w:sz w:val="20"/>
                <w:szCs w:val="20"/>
                <w:color w:val="auto"/>
              </w:rPr>
            </w:pPr>
            <w:r>
              <w:rPr>
                <w:rFonts w:ascii="Courier New" w:cs="Courier New" w:eastAsia="Courier New" w:hAnsi="Courier New"/>
                <w:sz w:val="16"/>
                <w:szCs w:val="16"/>
                <w:color w:val="auto"/>
              </w:rPr>
              <w:t>Title of each</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162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Aggregate</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Amount of</w:t>
            </w:r>
          </w:p>
        </w:tc>
      </w:tr>
      <w:tr>
        <w:trPr>
          <w:trHeight w:val="183"/>
        </w:trPr>
        <w:tc>
          <w:tcPr>
            <w:tcW w:w="1320" w:type="dxa"/>
            <w:vAlign w:val="bottom"/>
          </w:tcPr>
          <w:p>
            <w:pPr>
              <w:spacing w:after="0"/>
              <w:rPr>
                <w:sz w:val="20"/>
                <w:szCs w:val="20"/>
                <w:color w:val="auto"/>
              </w:rPr>
            </w:pPr>
            <w:r>
              <w:rPr>
                <w:rFonts w:ascii="Courier New" w:cs="Courier New" w:eastAsia="Courier New" w:hAnsi="Courier New"/>
                <w:sz w:val="16"/>
                <w:szCs w:val="16"/>
                <w:color w:val="auto"/>
              </w:rPr>
              <w:t>of securities</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to be</w:t>
            </w:r>
          </w:p>
        </w:tc>
        <w:tc>
          <w:tcPr>
            <w:tcW w:w="16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Amount to</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Price</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w w:val="98"/>
              </w:rPr>
              <w:t>Registration</w:t>
            </w:r>
          </w:p>
        </w:tc>
      </w:tr>
      <w:tr>
        <w:trPr>
          <w:trHeight w:val="183"/>
        </w:trPr>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w w:val="95"/>
              </w:rPr>
              <w:t>registered</w:t>
            </w:r>
          </w:p>
        </w:tc>
        <w:tc>
          <w:tcPr>
            <w:tcW w:w="6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9"/>
              </w:rPr>
              <w:t>be Registered</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Per Unit</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Price(1)</w:t>
            </w:r>
          </w:p>
        </w:tc>
        <w:tc>
          <w:tcPr>
            <w:tcW w:w="1340" w:type="dxa"/>
            <w:vAlign w:val="bottom"/>
          </w:tcPr>
          <w:p>
            <w:pPr>
              <w:ind w:left="560"/>
              <w:spacing w:after="0"/>
              <w:rPr>
                <w:sz w:val="20"/>
                <w:szCs w:val="20"/>
                <w:color w:val="auto"/>
              </w:rPr>
            </w:pPr>
            <w:r>
              <w:rPr>
                <w:rFonts w:ascii="Courier New" w:cs="Courier New" w:eastAsia="Courier New" w:hAnsi="Courier New"/>
                <w:sz w:val="16"/>
                <w:szCs w:val="16"/>
                <w:color w:val="auto"/>
              </w:rPr>
              <w:t>Fee</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Courier New" w:cs="Courier New" w:eastAsia="Courier New" w:hAnsi="Courier New"/>
                <w:sz w:val="16"/>
                <w:szCs w:val="16"/>
                <w:color w:val="auto"/>
              </w:rPr>
              <w:t>5% Convertible</w:t>
            </w:r>
          </w:p>
        </w:tc>
        <w:tc>
          <w:tcPr>
            <w:tcW w:w="27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Senior Subordinated</w:t>
            </w:r>
          </w:p>
        </w:tc>
        <w:tc>
          <w:tcPr>
            <w:tcW w:w="27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Notes Due 2024</w:t>
            </w:r>
          </w:p>
        </w:tc>
        <w:tc>
          <w:tcPr>
            <w:tcW w:w="2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$100,000,000.00(2)   100%</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$100,000,000(2) $12,670.00</w:t>
            </w:r>
          </w:p>
        </w:tc>
      </w:tr>
    </w:tbl>
    <w:p>
      <w:pPr>
        <w:spacing w:after="0" w:line="5"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Common Stock, par</w:t>
      </w:r>
    </w:p>
    <w:p>
      <w:pPr>
        <w:sectPr>
          <w:pgSz w:w="11900" w:h="16838" w:orient="portrait"/>
          <w:cols w:equalWidth="0" w:num="1">
            <w:col w:w="10221"/>
          </w:cols>
          <w:pgMar w:left="238" w:top="237" w:right="1440" w:bottom="0" w:gutter="0" w:footer="0" w:header="0"/>
          <w:type w:val="continuous"/>
        </w:sectPr>
      </w:pPr>
    </w:p>
    <w:bookmarkStart w:id="1" w:name="page2"/>
    <w:bookmarkEnd w:id="1"/>
    <w:tbl>
      <w:tblPr>
        <w:tblLayout w:type="fixed"/>
        <w:tblInd w:w="2"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value</w:t>
            </w:r>
          </w:p>
        </w:tc>
        <w:tc>
          <w:tcPr>
            <w:tcW w:w="3100" w:type="dxa"/>
            <w:vAlign w:val="bottom"/>
          </w:tcPr>
          <w:p>
            <w:pPr>
              <w:jc w:val="right"/>
              <w:ind w:right="2121"/>
              <w:spacing w:after="0"/>
              <w:rPr>
                <w:sz w:val="20"/>
                <w:szCs w:val="20"/>
                <w:color w:val="auto"/>
              </w:rPr>
            </w:pPr>
            <w:r>
              <w:rPr>
                <w:rFonts w:ascii="Courier New" w:cs="Courier New" w:eastAsia="Courier New" w:hAnsi="Courier New"/>
                <w:sz w:val="16"/>
                <w:szCs w:val="16"/>
                <w:color w:val="auto"/>
              </w:rPr>
              <w:t>$0.01 per</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2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3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9,390,000.00(3)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(4)</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7" w:lineRule="exact"/>
        <w:rPr>
          <w:sz w:val="20"/>
          <w:szCs w:val="20"/>
          <w:color w:val="auto"/>
        </w:rPr>
      </w:pPr>
    </w:p>
    <w:p>
      <w:pPr>
        <w:ind w:left="582" w:right="2979" w:hanging="582"/>
        <w:spacing w:after="0"/>
        <w:tabs>
          <w:tab w:leader="none" w:pos="5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457(o) of the Securities Act of 1933, as amended (the "Securities Act"), and exclusive of any accrued interest.</w:t>
      </w:r>
    </w:p>
    <w:p>
      <w:pPr>
        <w:spacing w:after="0" w:line="6" w:lineRule="exact"/>
        <w:rPr>
          <w:rFonts w:ascii="Courier New" w:cs="Courier New" w:eastAsia="Courier New" w:hAnsi="Courier New"/>
          <w:sz w:val="16"/>
          <w:szCs w:val="16"/>
          <w:color w:val="auto"/>
        </w:rPr>
      </w:pPr>
    </w:p>
    <w:p>
      <w:pPr>
        <w:ind w:left="582" w:right="2879" w:hanging="582"/>
        <w:spacing w:after="0" w:line="239" w:lineRule="auto"/>
        <w:tabs>
          <w:tab w:leader="none" w:pos="5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aggregate outstanding principal amount of 5% Convertible Senior Subordinated Notes Due 2024 (the "Notes").</w:t>
      </w:r>
    </w:p>
    <w:p>
      <w:pPr>
        <w:spacing w:after="0" w:line="5" w:lineRule="exact"/>
        <w:rPr>
          <w:rFonts w:ascii="Courier New" w:cs="Courier New" w:eastAsia="Courier New" w:hAnsi="Courier New"/>
          <w:sz w:val="16"/>
          <w:szCs w:val="16"/>
          <w:color w:val="auto"/>
        </w:rPr>
      </w:pPr>
    </w:p>
    <w:p>
      <w:pPr>
        <w:ind w:left="582" w:right="2599" w:hanging="582"/>
        <w:spacing w:after="0" w:line="242" w:lineRule="auto"/>
        <w:tabs>
          <w:tab w:leader="none" w:pos="5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our common stock that are initially issuable upon conversion of the Notes at a rate of approximately 93.90 shares of common stock per $1,000 principal amount of Notes, and an initial conversion price of $10.65 per share of common stock. Pursuant to Rule 416 of the Securities Act, this registration statement also covers such additional shares that may be issued as a result of a change in the amount of securities being offered or issued to prevent dilution resulting from stock splits, stock dividends or similar transactions.</w:t>
      </w:r>
    </w:p>
    <w:p>
      <w:pPr>
        <w:spacing w:after="0" w:line="5" w:lineRule="exact"/>
        <w:rPr>
          <w:rFonts w:ascii="Courier New" w:cs="Courier New" w:eastAsia="Courier New" w:hAnsi="Courier New"/>
          <w:sz w:val="16"/>
          <w:szCs w:val="16"/>
          <w:color w:val="auto"/>
        </w:rPr>
      </w:pPr>
    </w:p>
    <w:p>
      <w:pPr>
        <w:ind w:left="582" w:right="2779" w:hanging="582"/>
        <w:spacing w:after="0" w:line="241" w:lineRule="auto"/>
        <w:tabs>
          <w:tab w:leader="none" w:pos="5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457(i) under the Securities Act, there is no filing fee with respect to shares of common stock issuable upon conversion of the Notes because no additional consideration will be received in connection with the exercise of the conversion privilege.</w:t>
      </w:r>
    </w:p>
    <w:p>
      <w:pPr>
        <w:spacing w:after="0" w:line="186"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21"/>
          </w:cols>
          <w:pgMar w:left="238" w:top="139"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6"/>
          <w:szCs w:val="16"/>
          <w:color w:val="auto"/>
        </w:rPr>
        <w:t>$100,000,000 Principal Amount of</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5% Convertible Senior Subordinated Notes Due 2024</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Shares of Common Stock Issuable Upon Conversion of the Notes</w:t>
      </w:r>
    </w:p>
    <w:p>
      <w:pPr>
        <w:spacing w:after="0" w:line="188" w:lineRule="exact"/>
        <w:rPr>
          <w:sz w:val="20"/>
          <w:szCs w:val="20"/>
          <w:color w:val="auto"/>
        </w:rPr>
      </w:pPr>
    </w:p>
    <w:p>
      <w:pPr>
        <w:ind w:right="2599" w:firstLine="572"/>
        <w:spacing w:after="0" w:line="263" w:lineRule="auto"/>
        <w:rPr>
          <w:sz w:val="20"/>
          <w:szCs w:val="20"/>
          <w:color w:val="auto"/>
        </w:rPr>
      </w:pPr>
      <w:r>
        <w:rPr>
          <w:rFonts w:ascii="Courier New" w:cs="Courier New" w:eastAsia="Courier New" w:hAnsi="Courier New"/>
          <w:sz w:val="15"/>
          <w:szCs w:val="15"/>
          <w:color w:val="auto"/>
        </w:rPr>
        <w:t>We issued $100 million aggregate principal amount of our 5% Convertible Senior Subordinated Notes due 2024 in a private placement in November 2003. This prospectus will be used by the selling securityholders listed on pages 46-53 to resell their notes and the common stock issuable upon conversion of the notes.</w:t>
      </w:r>
    </w:p>
    <w:p>
      <w:pPr>
        <w:spacing w:after="0" w:line="17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notes bear interest at the annual rate of 5%, beginning November 18, 2003. We will pay interest on January 1 and July 1 of each year, commencing on July 1, 2004, subject to certain exceptions if the notes are converted, redeemed or repurchased prior to the interest payment date. Interest is computed on the basis of a 360-day year comprising of twelve 30-day months. The notes are convertible at any time prior to maturity into shares of our common stock at a conversion rate of approximately 93.90 shares per $1,000 principal amount of notes, subject to certain adjustments. This is equivalent to a conversion price of $10.65 per share. Our common stock is quoted on the Nasdaq National Market under the symbol "CMRG." The last reported sale price of our common stock on February 3, 2004 was $6.66 per share.</w:t>
      </w:r>
    </w:p>
    <w:p>
      <w:pPr>
        <w:spacing w:after="0" w:line="191" w:lineRule="exact"/>
        <w:rPr>
          <w:sz w:val="20"/>
          <w:szCs w:val="20"/>
          <w:color w:val="auto"/>
        </w:rPr>
      </w:pPr>
    </w:p>
    <w:p>
      <w:pPr>
        <w:jc w:val="both"/>
        <w:ind w:right="2599" w:firstLine="572"/>
        <w:spacing w:after="0" w:line="259" w:lineRule="auto"/>
        <w:rPr>
          <w:sz w:val="20"/>
          <w:szCs w:val="20"/>
          <w:color w:val="auto"/>
        </w:rPr>
      </w:pPr>
      <w:r>
        <w:rPr>
          <w:rFonts w:ascii="Courier New" w:cs="Courier New" w:eastAsia="Courier New" w:hAnsi="Courier New"/>
          <w:sz w:val="15"/>
          <w:szCs w:val="15"/>
          <w:color w:val="auto"/>
        </w:rPr>
        <w:t>On or after January 6, 2007, we may redeem the notes, in whole or in part, at the redemption price, which is 100% of the principal amount, plus accrued and unpaid interest, if any, to, but excluding, the redemption date. You may require us to purchase all or a portion of your notes on January 1, 2009, January 1,</w:t>
      </w:r>
    </w:p>
    <w:p>
      <w:pPr>
        <w:ind w:right="2599"/>
        <w:spacing w:after="0" w:line="242" w:lineRule="auto"/>
        <w:rPr>
          <w:sz w:val="20"/>
          <w:szCs w:val="20"/>
          <w:color w:val="auto"/>
        </w:rPr>
      </w:pPr>
      <w:r>
        <w:rPr>
          <w:rFonts w:ascii="Courier New" w:cs="Courier New" w:eastAsia="Courier New" w:hAnsi="Courier New"/>
          <w:sz w:val="16"/>
          <w:szCs w:val="16"/>
          <w:color w:val="auto"/>
        </w:rPr>
        <w:t>2014 or January 1, 2019, in cash, or by delivery of shares of our common stock, at our option, or upon the occurrence of a fundamental change, in cash, as described in this prospectus, in each case at a price equal to 100% of the principal amount of notes being purchased, plus accrued and unpaid interest, and accrued and unpaid additional interest, if any, to, but excluding, the date of purchase.</w:t>
      </w:r>
    </w:p>
    <w:p>
      <w:pPr>
        <w:spacing w:after="0" w:line="187"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The notes are unsecured obligations and are subordinated in right of payment to all existing and future designated senior debt. The notes are not subordinated to our 12% senior subordinated notes due 2010 or our 5% subordinated notes due 2007. The notes are effectively subordinated to existing and future indebtedness and other liabilities, including trade payables, of our subsidiaries.</w:t>
      </w:r>
    </w:p>
    <w:p>
      <w:pPr>
        <w:spacing w:after="0" w:line="187"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Investing in our securities involves risks that are described in the "Risk Factors" section beginning on page 8 of this prospectus.</w:t>
      </w:r>
    </w:p>
    <w:p>
      <w:pPr>
        <w:spacing w:after="0" w:line="189"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We will not receive any cash proceeds from the sale of the notes or the shares of common stock offered under this prospectus. We are responsible for the payment of certain expenses incident to the registration of the securities.</w:t>
      </w:r>
    </w:p>
    <w:p>
      <w:pPr>
        <w:spacing w:after="0" w:line="190"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The date of this prospectus is April 21, 2004.</w:t>
      </w:r>
    </w:p>
    <w:p>
      <w:pPr>
        <w:sectPr>
          <w:pgSz w:w="11900" w:h="16838" w:orient="portrait"/>
          <w:cols w:equalWidth="0" w:num="1">
            <w:col w:w="10219"/>
          </w:cols>
          <w:pgMar w:left="240" w:top="665" w:right="1440" w:bottom="1440" w:gutter="0" w:footer="0" w:header="0"/>
        </w:sectPr>
      </w:pPr>
    </w:p>
    <w:bookmarkStart w:id="3" w:name="page4"/>
    <w:bookmarkEnd w:id="3"/>
    <w:p>
      <w:pPr>
        <w:ind w:left="660"/>
        <w:spacing w:after="0"/>
        <w:rPr>
          <w:sz w:val="20"/>
          <w:szCs w:val="20"/>
          <w:color w:val="auto"/>
        </w:rPr>
      </w:pPr>
      <w:r>
        <w:rPr>
          <w:rFonts w:ascii="Courier New" w:cs="Courier New" w:eastAsia="Courier New" w:hAnsi="Courier New"/>
          <w:sz w:val="16"/>
          <w:szCs w:val="16"/>
          <w:color w:val="auto"/>
        </w:rPr>
        <w:t>Important Notice about the Information Presented in this Prospectus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You should assume that the information appearing in this prospectus is accurate as of the date on the front cover of this prospectus only. Our business, financial condition, results of operations and prospects may have changed since that date.</w:t>
      </w:r>
    </w:p>
    <w:p>
      <w:pPr>
        <w:sectPr>
          <w:pgSz w:w="11900" w:h="16838" w:orient="portrait"/>
          <w:cols w:equalWidth="0" w:num="1">
            <w:col w:w="10219"/>
          </w:cols>
          <w:pgMar w:left="240" w:top="665" w:right="1440" w:bottom="1440" w:gutter="0" w:footer="0" w:header="0"/>
        </w:sectPr>
      </w:pPr>
    </w:p>
    <w:bookmarkStart w:id="4" w:name="page5"/>
    <w:bookmarkEnd w:id="4"/>
    <w:p>
      <w:pPr>
        <w:ind w:left="2960"/>
        <w:spacing w:after="0"/>
        <w:rPr>
          <w:sz w:val="20"/>
          <w:szCs w:val="20"/>
          <w:color w:val="auto"/>
        </w:rPr>
      </w:pPr>
      <w:r>
        <w:rPr>
          <w:rFonts w:ascii="Courier New" w:cs="Courier New" w:eastAsia="Courier New" w:hAnsi="Courier New"/>
          <w:sz w:val="16"/>
          <w:szCs w:val="16"/>
          <w:color w:val="auto"/>
        </w:rPr>
        <w:t>TABLE OF CONTENTS</w:t>
      </w:r>
    </w:p>
    <w:p>
      <w:pPr>
        <w:spacing w:after="0" w:line="18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6"/>
          <w:szCs w:val="16"/>
          <w:color w:val="auto"/>
        </w:rPr>
        <w:t>1</w:t>
      </w:r>
    </w:p>
    <w:p>
      <w:pPr>
        <w:spacing w:after="0" w:line="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RATIO OF EARNINGS TO FIXED CHARGES</w:t>
      </w:r>
      <w:r>
        <w:rPr>
          <w:sz w:val="20"/>
          <w:szCs w:val="20"/>
          <w:color w:val="auto"/>
        </w:rPr>
        <w:tab/>
      </w:r>
      <w:r>
        <w:rPr>
          <w:rFonts w:ascii="Courier New" w:cs="Courier New" w:eastAsia="Courier New" w:hAnsi="Courier New"/>
          <w:sz w:val="16"/>
          <w:szCs w:val="16"/>
          <w:color w:val="auto"/>
        </w:rPr>
        <w:t>6</w:t>
      </w:r>
    </w:p>
    <w:p>
      <w:pPr>
        <w:spacing w:after="0" w:line="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FORWARD LOOKING INFORMATION</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8</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DESCRIPTION OF NOTES</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CERTAIN UNITED STATES FEDERAL TAX CONSIDERATIONS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SELLING SECURITYHOLDERS</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5" w:right="1440" w:bottom="1440" w:gutter="0" w:footer="0" w:header="0"/>
        </w:sectPr>
      </w:pPr>
    </w:p>
    <w:bookmarkStart w:id="5" w:name="page6"/>
    <w:bookmarkEnd w:id="5"/>
    <w:p>
      <w:pPr>
        <w:jc w:val="center"/>
        <w:ind w:right="2597"/>
        <w:spacing w:after="0"/>
        <w:rPr>
          <w:sz w:val="20"/>
          <w:szCs w:val="20"/>
          <w:color w:val="auto"/>
        </w:rPr>
      </w:pPr>
      <w:r>
        <w:rPr>
          <w:rFonts w:ascii="Courier New" w:cs="Courier New" w:eastAsia="Courier New" w:hAnsi="Courier New"/>
          <w:sz w:val="16"/>
          <w:szCs w:val="16"/>
          <w:color w:val="auto"/>
        </w:rPr>
        <w:t>PROSPECTUS SUMMARY</w:t>
      </w:r>
    </w:p>
    <w:p>
      <w:pPr>
        <w:spacing w:after="0" w:line="188" w:lineRule="exact"/>
        <w:rPr>
          <w:sz w:val="20"/>
          <w:szCs w:val="20"/>
          <w:color w:val="auto"/>
        </w:rPr>
      </w:pPr>
    </w:p>
    <w:p>
      <w:pPr>
        <w:ind w:left="2" w:right="2599" w:firstLine="572"/>
        <w:spacing w:after="0" w:line="261" w:lineRule="auto"/>
        <w:rPr>
          <w:sz w:val="20"/>
          <w:szCs w:val="20"/>
          <w:color w:val="auto"/>
        </w:rPr>
      </w:pPr>
      <w:r>
        <w:rPr>
          <w:rFonts w:ascii="Courier New" w:cs="Courier New" w:eastAsia="Courier New" w:hAnsi="Courier New"/>
          <w:sz w:val="15"/>
          <w:szCs w:val="15"/>
          <w:color w:val="auto"/>
        </w:rPr>
        <w:t>The following summary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to which we refer you and the information incorporated by reference, before making an investment decision.</w:t>
      </w:r>
    </w:p>
    <w:p>
      <w:pPr>
        <w:spacing w:after="0" w:line="175" w:lineRule="exact"/>
        <w:rPr>
          <w:sz w:val="20"/>
          <w:szCs w:val="20"/>
          <w:color w:val="auto"/>
        </w:rPr>
      </w:pPr>
    </w:p>
    <w:p>
      <w:pPr>
        <w:ind w:left="2" w:right="2679" w:firstLine="572"/>
        <w:spacing w:after="0" w:line="259" w:lineRule="auto"/>
        <w:rPr>
          <w:sz w:val="20"/>
          <w:szCs w:val="20"/>
          <w:color w:val="auto"/>
        </w:rPr>
      </w:pPr>
      <w:r>
        <w:rPr>
          <w:rFonts w:ascii="Courier New" w:cs="Courier New" w:eastAsia="Courier New" w:hAnsi="Courier New"/>
          <w:sz w:val="15"/>
          <w:szCs w:val="15"/>
          <w:color w:val="auto"/>
        </w:rPr>
        <w:t>When used in this prospectus, the terms "Casual Male," "we," "our" and "us" refer to Casual Male Retail Group, Inc. and our consolidated subsidiaries, unless otherwise specified. References in this prospectus to years are to our 52-week or 53-week fiscal year, which ends on the Saturday nearest to January</w:t>
      </w:r>
    </w:p>
    <w:p>
      <w:pPr>
        <w:ind w:left="2" w:right="2679" w:hanging="2"/>
        <w:spacing w:after="0" w:line="239"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example, references to "fiscal 2003" mean our fiscal year ended January 31, 2004.</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Our Business</w:t>
      </w:r>
    </w:p>
    <w:p>
      <w:pPr>
        <w:spacing w:after="0" w:line="188" w:lineRule="exact"/>
        <w:rPr>
          <w:sz w:val="20"/>
          <w:szCs w:val="20"/>
          <w:color w:val="auto"/>
        </w:rPr>
      </w:pPr>
    </w:p>
    <w:p>
      <w:pPr>
        <w:ind w:left="2" w:right="2599" w:firstLine="572"/>
        <w:spacing w:after="0" w:line="241" w:lineRule="auto"/>
        <w:rPr>
          <w:sz w:val="20"/>
          <w:szCs w:val="20"/>
          <w:color w:val="auto"/>
        </w:rPr>
      </w:pPr>
      <w:r>
        <w:rPr>
          <w:rFonts w:ascii="Courier New" w:cs="Courier New" w:eastAsia="Courier New" w:hAnsi="Courier New"/>
          <w:sz w:val="16"/>
          <w:szCs w:val="16"/>
          <w:color w:val="auto"/>
        </w:rPr>
        <w:t>We are the largest specialty retailer of big and tall men's apparel in the United States. We operate 481 Casual Male Big &amp; Tall stores, the Casual Male catalog business, two e-commerce websites, 58 Levi's(R)/Dockers(R) Outlet by Designs outlet stores and 21 Ecko Unltd.(R) outlet and retail stores, all of which are located throughout the United States and Puerto Rico.</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Background</w:t>
      </w:r>
    </w:p>
    <w:p>
      <w:pPr>
        <w:spacing w:after="0" w:line="188"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Prior to May 2002, our business primarily consisted of owning and operating Levis(R)/Dockers(R) and Candies(R) branded apparel mall and outlet stores. With limited opportunity to expand our mature Levis(R)/Dockers(R) business, we acquired substantially all of the assets of Casual Male Corp. and certain of its subsidiaries at a bankruptcy court-ordered auction in May 2002. At the time of the acquisition, Casual Male Corp. was the largest retailer in the United States of men's clothing in the "big and tall" market. In April 2002, we entered into a joint venture arrangement with Ecko.Complex, LLC, a leading design-driven lifestyle brand targeting young men and women, to open and operate Ecko Unltd.(R) branded outlet stores.</w:t>
      </w:r>
    </w:p>
    <w:p>
      <w:pPr>
        <w:spacing w:after="0" w:line="190" w:lineRule="exact"/>
        <w:rPr>
          <w:sz w:val="20"/>
          <w:szCs w:val="20"/>
          <w:color w:val="auto"/>
        </w:rPr>
      </w:pPr>
    </w:p>
    <w:p>
      <w:pPr>
        <w:ind w:left="2" w:right="2599" w:firstLine="572"/>
        <w:spacing w:after="0" w:line="259" w:lineRule="auto"/>
        <w:rPr>
          <w:sz w:val="20"/>
          <w:szCs w:val="20"/>
          <w:color w:val="auto"/>
        </w:rPr>
      </w:pPr>
      <w:r>
        <w:rPr>
          <w:rFonts w:ascii="Courier New" w:cs="Courier New" w:eastAsia="Courier New" w:hAnsi="Courier New"/>
          <w:sz w:val="15"/>
          <w:szCs w:val="15"/>
          <w:color w:val="auto"/>
        </w:rPr>
        <w:t>Following our acquisition of Casual Male, we re-evaluated our strategic initiatives. In light of the significant opportunity to grow the Casual Male business and the continued significant deterioration in our Levi's(R)/Dockers(R) business, we announced that we would downsize and eventually exit the Levi's(R)/Dockers(R) business. We also announced that we would exit the Candies(R) outlet business, and we completed such exit by the end of fiscal</w:t>
      </w:r>
    </w:p>
    <w:p>
      <w:pPr>
        <w:ind w:left="2" w:right="2599"/>
        <w:spacing w:after="0"/>
        <w:rPr>
          <w:sz w:val="20"/>
          <w:szCs w:val="20"/>
          <w:color w:val="auto"/>
        </w:rPr>
      </w:pPr>
      <w:r>
        <w:rPr>
          <w:rFonts w:ascii="Courier New" w:cs="Courier New" w:eastAsia="Courier New" w:hAnsi="Courier New"/>
          <w:sz w:val="16"/>
          <w:szCs w:val="16"/>
          <w:color w:val="auto"/>
        </w:rPr>
        <w:t>2002. These decisions enabled management to focus our resources and energies primarily on growing our Casual Male business and, to a lesser extent, expanding the operations of our Ecko joint venture.</w:t>
      </w:r>
    </w:p>
    <w:p>
      <w:pPr>
        <w:spacing w:after="0" w:line="190" w:lineRule="exact"/>
        <w:rPr>
          <w:sz w:val="20"/>
          <w:szCs w:val="20"/>
          <w:color w:val="auto"/>
        </w:rPr>
      </w:pPr>
    </w:p>
    <w:p>
      <w:pPr>
        <w:ind w:left="2" w:right="2779" w:firstLine="572"/>
        <w:spacing w:after="0" w:line="239" w:lineRule="auto"/>
        <w:rPr>
          <w:sz w:val="20"/>
          <w:szCs w:val="20"/>
          <w:color w:val="auto"/>
        </w:rPr>
      </w:pPr>
      <w:r>
        <w:rPr>
          <w:rFonts w:ascii="Courier New" w:cs="Courier New" w:eastAsia="Courier New" w:hAnsi="Courier New"/>
          <w:sz w:val="16"/>
          <w:szCs w:val="16"/>
          <w:color w:val="auto"/>
        </w:rPr>
        <w:t>Since the Casual Male acquisition, we have operated in two segments: our "Casual Male business" and our "Other Branded Apparel businesses."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Casual Male Business</w:t>
      </w:r>
    </w:p>
    <w:p>
      <w:pPr>
        <w:spacing w:after="0" w:line="188" w:lineRule="exact"/>
        <w:rPr>
          <w:sz w:val="20"/>
          <w:szCs w:val="20"/>
          <w:color w:val="auto"/>
        </w:rPr>
      </w:pPr>
    </w:p>
    <w:p>
      <w:pPr>
        <w:ind w:left="2" w:right="2979" w:firstLine="572"/>
        <w:spacing w:after="0"/>
        <w:rPr>
          <w:sz w:val="20"/>
          <w:szCs w:val="20"/>
          <w:color w:val="auto"/>
        </w:rPr>
      </w:pPr>
      <w:r>
        <w:rPr>
          <w:rFonts w:ascii="Courier New" w:cs="Courier New" w:eastAsia="Courier New" w:hAnsi="Courier New"/>
          <w:sz w:val="16"/>
          <w:szCs w:val="16"/>
          <w:color w:val="auto"/>
        </w:rPr>
        <w:t>Our Casual Male business is a multi-channel retailer that offers our customers multiple ways to purchase men's big and tall apparel. The business consists of:</w:t>
      </w:r>
    </w:p>
    <w:p>
      <w:pPr>
        <w:spacing w:after="0" w:line="190" w:lineRule="exact"/>
        <w:rPr>
          <w:sz w:val="20"/>
          <w:szCs w:val="20"/>
          <w:color w:val="auto"/>
        </w:rPr>
      </w:pPr>
    </w:p>
    <w:p>
      <w:pPr>
        <w:ind w:left="1142" w:right="2599" w:hanging="570"/>
        <w:spacing w:after="0" w:line="271" w:lineRule="auto"/>
        <w:tabs>
          <w:tab w:leader="none" w:pos="114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 Casual Male Big &amp; Tall full-price retail stores, located primarily in strip centers, power centers and stand-alone locations;</w:t>
      </w:r>
    </w:p>
    <w:p>
      <w:pPr>
        <w:spacing w:after="0" w:line="166" w:lineRule="exact"/>
        <w:rPr>
          <w:rFonts w:ascii="Courier New" w:cs="Courier New" w:eastAsia="Courier New" w:hAnsi="Courier New"/>
          <w:sz w:val="15"/>
          <w:szCs w:val="15"/>
          <w:color w:val="auto"/>
        </w:rPr>
      </w:pPr>
    </w:p>
    <w:p>
      <w:pPr>
        <w:ind w:left="1142" w:right="2779" w:hanging="570"/>
        <w:spacing w:after="0" w:line="239" w:lineRule="auto"/>
        <w:tabs>
          <w:tab w:leader="none" w:pos="114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 Casual Male Big &amp; tall outlet stores, located in outlet shopping centers;</w:t>
      </w:r>
    </w:p>
    <w:p>
      <w:pPr>
        <w:sectPr>
          <w:pgSz w:w="11900" w:h="16838" w:orient="portrait"/>
          <w:cols w:equalWidth="0" w:num="1">
            <w:col w:w="10221"/>
          </w:cols>
          <w:pgMar w:left="238" w:top="665" w:right="1440" w:bottom="1440" w:gutter="0" w:footer="0" w:header="0"/>
        </w:sectPr>
      </w:pPr>
    </w:p>
    <w:bookmarkStart w:id="6" w:name="page7"/>
    <w:bookmarkEnd w:id="6"/>
    <w:p>
      <w:pPr>
        <w:ind w:left="1140" w:right="2779" w:hanging="570"/>
        <w:spacing w:after="0" w:line="239" w:lineRule="auto"/>
        <w:tabs>
          <w:tab w:leader="none" w:pos="11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"Casual Male Big &amp; Tall" catalog, for which we issued 17 editions in fiscal 2003; and</w:t>
      </w:r>
    </w:p>
    <w:p>
      <w:pPr>
        <w:spacing w:after="0" w:line="189" w:lineRule="exact"/>
        <w:rPr>
          <w:rFonts w:ascii="Courier New" w:cs="Courier New" w:eastAsia="Courier New" w:hAnsi="Courier New"/>
          <w:sz w:val="16"/>
          <w:szCs w:val="16"/>
          <w:color w:val="auto"/>
        </w:rPr>
      </w:pPr>
    </w:p>
    <w:p>
      <w:pPr>
        <w:ind w:left="1140" w:right="2599" w:hanging="570"/>
        <w:spacing w:after="0"/>
        <w:tabs>
          <w:tab w:leader="none" w:pos="11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e-commerce business, which includes the www.casualmale.com and www.reppbigandtall.com websites and a Casual Male Big &amp; Tall apparel shop on the Amazon.com website.</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Since our acquisition of the Casual Male business in May 2002, in order to revitalize the Casual Male brand and increase our share of the $5.3 billion big and tall apparel men's market, we have implemented several merchandising strategies, including:</w:t>
      </w:r>
    </w:p>
    <w:p>
      <w:pPr>
        <w:spacing w:after="0" w:line="189" w:lineRule="exact"/>
        <w:rPr>
          <w:sz w:val="20"/>
          <w:szCs w:val="20"/>
          <w:color w:val="auto"/>
        </w:rPr>
      </w:pPr>
    </w:p>
    <w:p>
      <w:pPr>
        <w:ind w:left="1140" w:right="2779" w:hanging="570"/>
        <w:spacing w:after="0" w:line="239" w:lineRule="auto"/>
        <w:tabs>
          <w:tab w:leader="none" w:pos="1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changing our store format to merchandise our stores by lifestyle, such as traditional, active and contemporary;</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targeting the fast-growing "under 30" big and tall customer segment;</w:t>
      </w:r>
    </w:p>
    <w:p>
      <w:pPr>
        <w:spacing w:after="0" w:line="189" w:lineRule="exact"/>
        <w:rPr>
          <w:rFonts w:ascii="Courier New" w:cs="Courier New" w:eastAsia="Courier New" w:hAnsi="Courier New"/>
          <w:sz w:val="16"/>
          <w:szCs w:val="16"/>
          <w:color w:val="auto"/>
        </w:rPr>
      </w:pPr>
    </w:p>
    <w:p>
      <w:pPr>
        <w:ind w:left="1140" w:right="2679" w:hanging="570"/>
        <w:spacing w:after="0"/>
        <w:tabs>
          <w:tab w:leader="none" w:pos="1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announcing an exclusive marketing agreement with George Foreman, as well as launching an exclusive line of clothing with the George Foreman brand, which commenced in Spring 2004;</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broadening our merchandise offerings by introducing selected branded products, including professional sports apparel; and</w:t>
      </w:r>
    </w:p>
    <w:p>
      <w:pPr>
        <w:spacing w:after="0" w:line="189" w:lineRule="exact"/>
        <w:rPr>
          <w:rFonts w:ascii="Courier New" w:cs="Courier New" w:eastAsia="Courier New" w:hAnsi="Courier New"/>
          <w:sz w:val="16"/>
          <w:szCs w:val="16"/>
          <w:color w:val="auto"/>
        </w:rPr>
      </w:pPr>
    </w:p>
    <w:p>
      <w:pPr>
        <w:ind w:left="1140" w:right="2879" w:hanging="570"/>
        <w:spacing w:after="0" w:line="241" w:lineRule="auto"/>
        <w:tabs>
          <w:tab w:leader="none" w:pos="1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introducing new systems infrastructure to improve inventory management, maintain in-stock positions in critical sizes for all stores and tailor lifestyle merchandise assortments to the demographic characteristics of each store.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Branded Apparel Businesses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Ecko Unltd.(R)</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have entered into a joint venture with Ecko.Complex, LLC, under which we own and manage retail outlet stores bearing the name Ecko Unltd.(R) and featuring Ecko(R) branded merchandise. We believe that our Ecko Unltd.(R) outlet stores represent an opportunity in the outlet marketplace for the underdeveloped young men's and junior market because Ecko(R) is believed to be a cross-over youth brand appealing to both urban and suburban youth with a core customer between the ages of 14 to 24. The average Ecko outlet store is approximately 3,800 sq. ft. and generates an average of $311 in sales per gross square foot annually. We currently operate 20 Ecko Unltd.(R) outlet stores and one Ecko Unltd.(R) retail store and we believe we have an opportunity to open a total of 75 stores. We intend to open 10 net new Ecko stores in fiscal 2004 and will be increasing the size of those stores to 4,000 square feet.</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Levi's(R)/Dockers(R) Outlets</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We currently operate 58 Levi's(R)/Dockers(R) outlet stores, 3 of which we are in the process of closing. We plan to close the remaining stores in the next 24 months. We expect that our remaining 55 Levi's(R)/Dockers(R) stores will either be closed on or before the end of their respective lease terms.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Information</w:t>
      </w:r>
    </w:p>
    <w:p>
      <w:pPr>
        <w:spacing w:after="0" w:line="188"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We were originally incorporated in Delaware as Designs, Inc. in 1976. We changed our name to Casual Male Retail Group, Inc. shortly following our acquisition of substantially all of the assets of Casual Male Corp and certain of its subsidiaries in May 2002. The address of our principal corporate and executive office is at 555 Turnpike Street, Canton, Massachusetts 02021. Our telephone number at our headquarters is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7" w:name="page8"/>
    <w:bookmarkEnd w:id="7"/>
    <w:p>
      <w:pPr>
        <w:ind w:left="2" w:right="3359" w:hanging="2"/>
        <w:spacing w:after="0" w:line="271" w:lineRule="auto"/>
        <w:tabs>
          <w:tab w:leader="none" w:pos="5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828-9300. Our website is located at http://www.casualmale.com.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66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6"/>
                <w:szCs w:val="16"/>
                <w:color w:val="auto"/>
              </w:rPr>
              <w:t>The Offering</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Securities offered...........</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$100,000,000 aggregate principal amount of 5%</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Convertible Senior Subordinated Notes due January</w:t>
            </w:r>
          </w:p>
        </w:tc>
      </w:tr>
      <w:tr>
        <w:trPr>
          <w:trHeight w:val="183"/>
        </w:trPr>
        <w:tc>
          <w:tcPr>
            <w:tcW w:w="286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4420" w:type="dxa"/>
            <w:vAlign w:val="bottom"/>
          </w:tcPr>
          <w:p>
            <w:pPr>
              <w:ind w:left="40"/>
              <w:spacing w:after="0"/>
              <w:rPr>
                <w:sz w:val="20"/>
                <w:szCs w:val="20"/>
                <w:color w:val="auto"/>
              </w:rPr>
            </w:pPr>
            <w:r>
              <w:rPr>
                <w:rFonts w:ascii="Courier New" w:cs="Courier New" w:eastAsia="Courier New" w:hAnsi="Courier New"/>
                <w:sz w:val="16"/>
                <w:szCs w:val="16"/>
                <w:color w:val="auto"/>
              </w:rPr>
              <w:t>2024.</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Offering price...............</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100% of the principal amount of the notes plus</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accrued interest, if any.</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notes bear interest at an annual rate of 5%.</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Interest is payable on January 1 and July 1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each year, beginning July 1, 2004.</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Maturity date................</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January 1, 2024.</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Conversion...................</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notes are convertible at the option of the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holder into shares of our common stock at any</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time prior to maturity, unless the notes are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earlier redeemed, purchased or repurchased. The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 are convertible at a conversion rate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approximately 93.90 shares per $1,000 principal</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amount of notes, subject to certain adjustments.</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This is equivalent to a conversion price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$10.65 per share. Holders of notes called for</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redemption or submitted for repurchase will be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entitled to convert the notes up to the close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business on the business day immediately</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preceding the date fixed for redemption or</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repurchase, as the case may be. See "Description</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Notes--Conversion."</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Ranking......................</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notes are general unsecured obligations. The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notes are subordinated in right of payment to all</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existing and future "designated senior debt," as</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defined in "Description of Notes -- Ranking." The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 are not subordinated to our 12% senior</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subordinated notes due 2010 or our 5%</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subordinated notes due 2007. The notes are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effectively subordinated to the existing and</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future indebtedness and other liabilities,</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including trade payables, of our subsidiaries. As</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January 31, 2004 we had approximately $3.6</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million of outstanding designated senior debt for</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purposes of the indenture and the aggregate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amount of indebtedness and other liabilities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our subsidiaries was approximately $122.8 million</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(excluding intercompany liabilities and</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liabilities of the type not required to be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recorded on the balance sheet in accordance with</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GAAP). See "Description of Material Indebtedness"</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and "Description of Notes--Ranking."</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Limitation on incurring</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indenture for the notes will restrict our</w:t>
            </w: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subordinated indebtedness</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ability to incur additional indebtedness that is</w:t>
            </w: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senior to the notes........</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senior to the notes and subordinate in right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payment to our designated senior debt.</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Optional redemption..........</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On or after January 6, 2007, we may redeem the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 in whole or in part, at the redemption</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price, which is 100% of the principal amount,</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plus accrued and unpaid interest and any</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additional interest, to, but excluding, the</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redemption date. See "Description of</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Notes--Optional Redemption by Casual Male."</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Sinking fund.................</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None.</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Purchase of the notes at</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You may require us to repurchase all or a portion</w:t>
            </w: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option of the holder on a</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of your notes in cash or by delivery of shares of</w:t>
            </w: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specified date.............</w:t>
            </w: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our common stock, at our option, on January 1,</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2009, January 1, 2014 or January 1, 2019, at a</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purchase price equal to 100% of the principal</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amount of the notes being purchased, plus accrued</w:t>
            </w:r>
          </w:p>
        </w:tc>
      </w:tr>
      <w:tr>
        <w:trPr>
          <w:trHeight w:val="183"/>
        </w:trPr>
        <w:tc>
          <w:tcPr>
            <w:tcW w:w="286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and unpaid interest and any additional interest,</w:t>
            </w:r>
          </w:p>
        </w:tc>
      </w:tr>
    </w:tbl>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to, but excluding, the purchase date. See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"Description of Notes--Purchase at Option of the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Holder."</w:t>
      </w:r>
    </w:p>
    <w:p>
      <w:pPr>
        <w:sectPr>
          <w:pgSz w:w="11900" w:h="16838" w:orient="portrait"/>
          <w:cols w:equalWidth="0" w:num="1">
            <w:col w:w="10219"/>
          </w:cols>
          <w:pgMar w:left="240" w:top="665" w:right="1440" w:bottom="0" w:gutter="0" w:footer="0" w:header="0"/>
        </w:sectPr>
      </w:pPr>
    </w:p>
    <w:p>
      <w:pPr>
        <w:spacing w:after="0" w:line="188" w:lineRule="exact"/>
        <w:rPr>
          <w:sz w:val="20"/>
          <w:szCs w:val="20"/>
          <w:color w:val="auto"/>
        </w:rPr>
      </w:pPr>
    </w:p>
    <w:p>
      <w:pPr>
        <w:ind w:left="180" w:hanging="190"/>
        <w:spacing w:after="0" w:line="265" w:lineRule="auto"/>
        <w:rPr>
          <w:sz w:val="20"/>
          <w:szCs w:val="20"/>
          <w:color w:val="auto"/>
        </w:rPr>
      </w:pPr>
      <w:r>
        <w:rPr>
          <w:rFonts w:ascii="Courier New" w:cs="Courier New" w:eastAsia="Courier New" w:hAnsi="Courier New"/>
          <w:sz w:val="15"/>
          <w:szCs w:val="15"/>
          <w:color w:val="auto"/>
        </w:rPr>
        <w:t>Repurchase at option of holders upon a fundamental change.....................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Upon a "fundamental change," as defined in "Description of Notes-- Repurchase at Option of Holders Upon a Fundamental Change," you may require us to repurchase your notes at 100% of the principal amount of the notes, plus accrued and unpaid interest and any additional interest, to, but excluding, the repurchase date. See "Description of Notes--Repurchase at Option of Holders Upon a Fundamental Change."</w:t>
      </w:r>
    </w:p>
    <w:p>
      <w:pPr>
        <w:sectPr>
          <w:pgSz w:w="11900" w:h="16838" w:orient="portrait"/>
          <w:cols w:equalWidth="0" w:num="2">
            <w:col w:w="2760" w:space="200"/>
            <w:col w:w="7259"/>
          </w:cols>
          <w:pgMar w:left="240" w:top="665" w:right="1440" w:bottom="0" w:gutter="0" w:footer="0" w:header="0"/>
          <w:type w:val="continuous"/>
        </w:sectPr>
      </w:pPr>
    </w:p>
    <w:bookmarkStart w:id="9" w:name="page10"/>
    <w:bookmarkEnd w:id="9"/>
    <w:p>
      <w:pPr>
        <w:ind w:left="25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50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2779"/>
        <w:spacing w:after="0" w:line="241" w:lineRule="auto"/>
        <w:rPr>
          <w:sz w:val="20"/>
          <w:szCs w:val="20"/>
          <w:color w:val="auto"/>
        </w:rPr>
      </w:pPr>
      <w:r>
        <w:rPr>
          <w:rFonts w:ascii="Courier New" w:cs="Courier New" w:eastAsia="Courier New" w:hAnsi="Courier New"/>
          <w:sz w:val="16"/>
          <w:szCs w:val="16"/>
          <w:color w:val="auto"/>
        </w:rPr>
        <w:t>We will not receive any cash proceeds from the sale of the notes or the shares of common stock offered under this prospectus. See "Use of Proceeds."</w:t>
      </w:r>
    </w:p>
    <w:p>
      <w:pPr>
        <w:spacing w:after="0" w:line="189" w:lineRule="exact"/>
        <w:rPr>
          <w:sz w:val="20"/>
          <w:szCs w:val="20"/>
          <w:color w:val="auto"/>
        </w:rPr>
      </w:pPr>
    </w:p>
    <w:p>
      <w:pPr>
        <w:sectPr>
          <w:pgSz w:w="11900" w:h="16838" w:orient="portrait"/>
          <w:cols w:equalWidth="0" w:num="2">
            <w:col w:w="2760" w:space="200"/>
            <w:col w:w="7259"/>
          </w:cols>
          <w:pgMar w:left="240" w:top="667"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20" w:lineRule="exact"/>
        <w:rPr>
          <w:sz w:val="20"/>
          <w:szCs w:val="20"/>
          <w:color w:val="auto"/>
        </w:rPr>
      </w:pPr>
      <w:r>
        <w:rPr>
          <w:sz w:val="20"/>
          <w:szCs w:val="20"/>
          <w:color w:val="auto"/>
        </w:rPr>
        <w:br w:type="column"/>
      </w:r>
    </w:p>
    <w:p>
      <w:pPr>
        <w:ind w:right="2979"/>
        <w:spacing w:after="0" w:line="239" w:lineRule="auto"/>
        <w:rPr>
          <w:sz w:val="20"/>
          <w:szCs w:val="20"/>
          <w:color w:val="auto"/>
        </w:rPr>
      </w:pPr>
      <w:r>
        <w:rPr>
          <w:rFonts w:ascii="Courier New" w:cs="Courier New" w:eastAsia="Courier New" w:hAnsi="Courier New"/>
          <w:sz w:val="16"/>
          <w:szCs w:val="16"/>
          <w:color w:val="auto"/>
        </w:rPr>
        <w:t>The following are events of default under the indenture governing the notes:</w:t>
      </w:r>
    </w:p>
    <w:p>
      <w:pPr>
        <w:spacing w:after="0" w:line="186" w:lineRule="exact"/>
        <w:rPr>
          <w:sz w:val="20"/>
          <w:szCs w:val="20"/>
          <w:color w:val="auto"/>
        </w:rPr>
      </w:pPr>
    </w:p>
    <w:p>
      <w:pPr>
        <w:sectPr>
          <w:pgSz w:w="11900" w:h="16838" w:orient="portrait"/>
          <w:cols w:equalWidth="0" w:num="2">
            <w:col w:w="2760" w:space="200"/>
            <w:col w:w="7259"/>
          </w:cols>
          <w:pgMar w:left="240" w:top="667" w:right="1440" w:bottom="1440" w:gutter="0" w:footer="0" w:header="0"/>
          <w:type w:val="continuous"/>
        </w:sectPr>
      </w:pPr>
    </w:p>
    <w:p>
      <w:pPr>
        <w:ind w:left="2960"/>
        <w:spacing w:after="0"/>
        <w:tabs>
          <w:tab w:leader="none" w:pos="332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we fail to pay the principal of or premium,</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if any, on any note when due;</w:t>
      </w:r>
    </w:p>
    <w:p>
      <w:pPr>
        <w:spacing w:after="0" w:line="186" w:lineRule="exact"/>
        <w:rPr>
          <w:sz w:val="20"/>
          <w:szCs w:val="20"/>
          <w:color w:val="auto"/>
        </w:rPr>
      </w:pPr>
    </w:p>
    <w:p>
      <w:pPr>
        <w:ind w:left="2960"/>
        <w:spacing w:after="0"/>
        <w:tabs>
          <w:tab w:leader="none" w:pos="332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we fail to pay any interest, including any</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additional interest, on any note when due and</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that default continues for 30 days;</w:t>
      </w:r>
    </w:p>
    <w:p>
      <w:pPr>
        <w:spacing w:after="0" w:line="186" w:lineRule="exact"/>
        <w:rPr>
          <w:sz w:val="20"/>
          <w:szCs w:val="20"/>
          <w:color w:val="auto"/>
        </w:rPr>
      </w:pPr>
    </w:p>
    <w:p>
      <w:pPr>
        <w:ind w:left="2960"/>
        <w:spacing w:after="0"/>
        <w:tabs>
          <w:tab w:leader="none" w:pos="332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we fail to provide timely notice of a</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fundamental change;</w:t>
      </w:r>
    </w:p>
    <w:p>
      <w:pPr>
        <w:spacing w:after="0" w:line="186" w:lineRule="exact"/>
        <w:rPr>
          <w:sz w:val="20"/>
          <w:szCs w:val="20"/>
          <w:color w:val="auto"/>
        </w:rPr>
      </w:pPr>
    </w:p>
    <w:p>
      <w:pPr>
        <w:ind w:left="2960"/>
        <w:spacing w:after="0"/>
        <w:tabs>
          <w:tab w:leader="none" w:pos="332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we fail to perform any other covenant in the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indenture, which failure continues for 60 days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following notice as provided in the indenture;</w:t>
      </w:r>
    </w:p>
    <w:p>
      <w:pPr>
        <w:spacing w:after="0" w:line="188" w:lineRule="exact"/>
        <w:rPr>
          <w:sz w:val="20"/>
          <w:szCs w:val="20"/>
          <w:color w:val="auto"/>
        </w:rPr>
      </w:pPr>
    </w:p>
    <w:p>
      <w:pPr>
        <w:ind w:left="2960"/>
        <w:spacing w:after="0"/>
        <w:tabs>
          <w:tab w:leader="none" w:pos="3320" w:val="left"/>
        </w:tabs>
        <w:rPr>
          <w:sz w:val="20"/>
          <w:szCs w:val="20"/>
          <w:color w:val="auto"/>
        </w:rPr>
      </w:pPr>
      <w:r>
        <w:rPr>
          <w:rFonts w:ascii="Courier New" w:cs="Courier New" w:eastAsia="Courier New" w:hAnsi="Courier New"/>
          <w:sz w:val="15"/>
          <w:szCs w:val="15"/>
          <w:color w:val="auto"/>
        </w:rPr>
        <w:t>o</w:t>
      </w:r>
      <w:r>
        <w:rPr>
          <w:sz w:val="20"/>
          <w:szCs w:val="20"/>
          <w:color w:val="auto"/>
        </w:rPr>
        <w:tab/>
      </w:r>
      <w:r>
        <w:rPr>
          <w:rFonts w:ascii="Courier New" w:cs="Courier New" w:eastAsia="Courier New" w:hAnsi="Courier New"/>
          <w:sz w:val="15"/>
          <w:szCs w:val="15"/>
          <w:color w:val="auto"/>
        </w:rPr>
        <w:t>any indebtedness under any bonds, debentures,</w:t>
      </w:r>
    </w:p>
    <w:p>
      <w:pPr>
        <w:spacing w:after="0" w:line="1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notes or other evidences of indebtedness for</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money borrowed, or any guarantee thereof, by us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or any of our subsidiaries, in an aggregate</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principal amount in excess of $5 million is not</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paid when due either at its stated maturity or</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upon acceleration thereof, and such indebtedness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is not discharged, or such acceleration is not</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rescinded or annulled, within a period of 30 days</w:t>
      </w:r>
    </w:p>
    <w:p>
      <w:pPr>
        <w:spacing w:after="0" w:line="1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after notice as provided in the indenture; and</w:t>
      </w:r>
    </w:p>
    <w:p>
      <w:pPr>
        <w:spacing w:after="0" w:line="186" w:lineRule="exact"/>
        <w:rPr>
          <w:sz w:val="20"/>
          <w:szCs w:val="20"/>
          <w:color w:val="auto"/>
        </w:rPr>
      </w:pPr>
    </w:p>
    <w:p>
      <w:pPr>
        <w:ind w:left="2960"/>
        <w:spacing w:after="0"/>
        <w:tabs>
          <w:tab w:leader="none" w:pos="332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certain events of bankruptcy, insolvency or</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reorganization involving us or any of our</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subsidiaries. See "Description of Notes--Events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of Default."</w:t>
      </w:r>
    </w:p>
    <w:p>
      <w:pPr>
        <w:sectPr>
          <w:pgSz w:w="11900" w:h="16838" w:orient="portrait"/>
          <w:cols w:equalWidth="0" w:num="1">
            <w:col w:w="10219"/>
          </w:cols>
          <w:pgMar w:left="240" w:top="667"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PORTALsm Market; Listing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common stock............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notes are eligible for The PORTALsm Market of the National Association of Securities Dealers, Inc. Our common stock is quoted on the Nasdaq National Market under the symbol "CMRG."</w:t>
      </w:r>
    </w:p>
    <w:p>
      <w:pPr>
        <w:spacing w:after="0" w:line="189" w:lineRule="exact"/>
        <w:rPr>
          <w:sz w:val="20"/>
          <w:szCs w:val="20"/>
          <w:color w:val="auto"/>
        </w:rPr>
      </w:pPr>
    </w:p>
    <w:p>
      <w:pPr>
        <w:sectPr>
          <w:pgSz w:w="11900" w:h="16838" w:orient="portrait"/>
          <w:cols w:equalWidth="0" w:num="2">
            <w:col w:w="2760" w:space="200"/>
            <w:col w:w="725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20" w:lineRule="exact"/>
        <w:rPr>
          <w:sz w:val="20"/>
          <w:szCs w:val="20"/>
          <w:color w:val="auto"/>
        </w:rPr>
      </w:pPr>
      <w:r>
        <w:rPr>
          <w:sz w:val="20"/>
          <w:szCs w:val="20"/>
          <w:color w:val="auto"/>
        </w:rPr>
        <w:br w:type="column"/>
      </w:r>
    </w:p>
    <w:p>
      <w:pPr>
        <w:ind w:right="2599"/>
        <w:spacing w:after="0" w:line="242" w:lineRule="auto"/>
        <w:rPr>
          <w:sz w:val="20"/>
          <w:szCs w:val="20"/>
          <w:color w:val="auto"/>
        </w:rPr>
      </w:pPr>
      <w:r>
        <w:rPr>
          <w:rFonts w:ascii="Courier New" w:cs="Courier New" w:eastAsia="Courier New" w:hAnsi="Courier New"/>
          <w:sz w:val="16"/>
          <w:szCs w:val="16"/>
          <w:color w:val="auto"/>
        </w:rPr>
        <w:t>We entered into a registration rights agreement with Thomas Weisel Partners LLC (the "Initial Purchaser") pursuant to which we agreed to file a shelf registration statement with the SEC with respect to the notes and the common stock issuable upon conversion of the notes within 90 days after the notes are issued and to use our reasonable efforts to cause such registration statement to be declared effective within 180 days after the notes are issued. If we fail to comply with certain of our obligations under the registration rights agreement, additional interest will be payable on the notes and the common stock issuable upon conversion of the notes. See "Description of Notes--Registration Rights."</w:t>
      </w:r>
    </w:p>
    <w:p>
      <w:pPr>
        <w:spacing w:after="0" w:line="194" w:lineRule="exact"/>
        <w:rPr>
          <w:sz w:val="20"/>
          <w:szCs w:val="20"/>
          <w:color w:val="auto"/>
        </w:rPr>
      </w:pPr>
    </w:p>
    <w:p>
      <w:pPr>
        <w:sectPr>
          <w:pgSz w:w="11900" w:h="16838" w:orient="portrait"/>
          <w:cols w:equalWidth="0" w:num="2">
            <w:col w:w="2760" w:space="200"/>
            <w:col w:w="725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Governing law................</w:t>
      </w:r>
    </w:p>
    <w:p>
      <w:pPr>
        <w:spacing w:after="0" w:line="20" w:lineRule="exact"/>
        <w:rPr>
          <w:sz w:val="20"/>
          <w:szCs w:val="20"/>
          <w:color w:val="auto"/>
        </w:rPr>
      </w:pPr>
      <w:r>
        <w:rPr>
          <w:sz w:val="20"/>
          <w:szCs w:val="20"/>
          <w:color w:val="auto"/>
        </w:rPr>
        <w:br w:type="column"/>
      </w:r>
    </w:p>
    <w:p>
      <w:pPr>
        <w:ind w:right="2679"/>
        <w:spacing w:after="0"/>
        <w:rPr>
          <w:sz w:val="20"/>
          <w:szCs w:val="20"/>
          <w:color w:val="auto"/>
        </w:rPr>
      </w:pPr>
      <w:r>
        <w:rPr>
          <w:rFonts w:ascii="Courier New" w:cs="Courier New" w:eastAsia="Courier New" w:hAnsi="Courier New"/>
          <w:sz w:val="16"/>
          <w:szCs w:val="16"/>
          <w:color w:val="auto"/>
        </w:rPr>
        <w:t>The indenture, the notes and the registration rights agreement are governed by the laws of the State of New York.</w:t>
      </w:r>
    </w:p>
    <w:p>
      <w:pPr>
        <w:spacing w:after="0" w:line="200" w:lineRule="exact"/>
        <w:rPr>
          <w:sz w:val="20"/>
          <w:szCs w:val="20"/>
          <w:color w:val="auto"/>
        </w:rPr>
      </w:pPr>
    </w:p>
    <w:p>
      <w:pPr>
        <w:sectPr>
          <w:pgSz w:w="11900" w:h="16838" w:orient="portrait"/>
          <w:cols w:equalWidth="0" w:num="2">
            <w:col w:w="2760" w:space="200"/>
            <w:col w:w="7259"/>
          </w:cols>
          <w:pgMar w:left="240" w:top="667" w:right="1440" w:bottom="1440" w:gutter="0" w:footer="0" w:header="0"/>
          <w:type w:val="continuous"/>
        </w:sectPr>
      </w:pPr>
    </w:p>
    <w:p>
      <w:pPr>
        <w:spacing w:after="0" w:line="1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7" w:right="1440" w:bottom="1440" w:gutter="0" w:footer="0" w:header="0"/>
          <w:type w:val="continuous"/>
        </w:sectPr>
      </w:pPr>
    </w:p>
    <w:bookmarkStart w:id="11" w:name="page12"/>
    <w:bookmarkEnd w:id="11"/>
    <w:p>
      <w:pPr>
        <w:ind w:left="2202"/>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8"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The following table sets forth the ratio of earnings to fixed charges for each of the preceding five fiscal years. In calculating these ratios, earnings include pre-tax income from continuing operations before adjustment for minority interest in consolidated subsidiaries plus fixed charges and exclude equity in net income of our affiliates. Fixed charges include gross interest expense, amortization of deferred financing expenses and an amount equivalent to interest included in rental charges. We have assumed that one-third of rental expense is representative of the interest factor.</w:t>
      </w: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1"/>
          </w:cols>
          <w:pgMar w:left="238" w:top="665" w:right="1440" w:bottom="1440" w:gutter="0" w:footer="0" w:header="0"/>
        </w:sectPr>
      </w:pPr>
    </w:p>
    <w:p>
      <w:pPr>
        <w:spacing w:after="0" w:line="380" w:lineRule="exact"/>
        <w:rPr>
          <w:sz w:val="20"/>
          <w:szCs w:val="20"/>
          <w:color w:val="auto"/>
        </w:rPr>
      </w:pPr>
    </w:p>
    <w:p>
      <w:pPr>
        <w:ind w:left="3342"/>
        <w:spacing w:after="0"/>
        <w:rPr>
          <w:sz w:val="20"/>
          <w:szCs w:val="20"/>
          <w:color w:val="auto"/>
        </w:rPr>
      </w:pPr>
      <w:r>
        <w:rPr>
          <w:rFonts w:ascii="Courier New" w:cs="Courier New" w:eastAsia="Courier New" w:hAnsi="Courier New"/>
          <w:sz w:val="15"/>
          <w:szCs w:val="15"/>
          <w:color w:val="auto"/>
        </w:rPr>
        <w:t>1999</w:t>
      </w:r>
    </w:p>
    <w:p>
      <w:pPr>
        <w:spacing w:after="0" w:line="13" w:lineRule="exact"/>
        <w:rPr>
          <w:sz w:val="20"/>
          <w:szCs w:val="20"/>
          <w:color w:val="auto"/>
        </w:rPr>
      </w:pPr>
    </w:p>
    <w:p>
      <w:pPr>
        <w:ind w:left="334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5">
            <w:col w:w="3722" w:space="660"/>
            <w:col w:w="380" w:space="580"/>
            <w:col w:w="380" w:space="480"/>
            <w:col w:w="380" w:space="480"/>
            <w:col w:w="3159"/>
          </w:cols>
          <w:pgMar w:left="238" w:top="665" w:right="1440" w:bottom="1440" w:gutter="0" w:footer="0" w:header="0"/>
          <w:type w:val="continuous"/>
        </w:sectPr>
      </w:pPr>
    </w:p>
    <w:p>
      <w:pPr>
        <w:spacing w:after="0" w:line="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Ratio of earnings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6">
            <w:col w:w="2802" w:space="720"/>
            <w:col w:w="340" w:space="720"/>
            <w:col w:w="220" w:space="720"/>
            <w:col w:w="200" w:space="660"/>
            <w:col w:w="200" w:space="660"/>
            <w:col w:w="2979"/>
          </w:cols>
          <w:pgMar w:left="238" w:top="665" w:right="1440" w:bottom="1440" w:gutter="0" w:footer="0" w:header="0"/>
          <w:type w:val="continuous"/>
        </w:sectPr>
      </w:pPr>
    </w:p>
    <w:p>
      <w:pPr>
        <w:ind w:left="182"/>
        <w:spacing w:after="0"/>
        <w:rPr>
          <w:sz w:val="20"/>
          <w:szCs w:val="20"/>
          <w:color w:val="auto"/>
        </w:rPr>
      </w:pPr>
      <w:r>
        <w:rPr>
          <w:rFonts w:ascii="Courier New" w:cs="Courier New" w:eastAsia="Courier New" w:hAnsi="Courier New"/>
          <w:sz w:val="15"/>
          <w:szCs w:val="15"/>
          <w:color w:val="auto"/>
        </w:rPr>
        <w:t>fixed charges(1)...............</w:t>
      </w:r>
    </w:p>
    <w:p>
      <w:pPr>
        <w:spacing w:after="0" w:line="19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8" w:top="665" w:right="1440" w:bottom="1440" w:gutter="0" w:footer="0" w:header="0"/>
          <w:type w:val="continuous"/>
        </w:sectPr>
      </w:pPr>
    </w:p>
    <w:p>
      <w:pPr>
        <w:spacing w:after="0" w:line="188" w:lineRule="exact"/>
        <w:rPr>
          <w:sz w:val="20"/>
          <w:szCs w:val="20"/>
          <w:color w:val="auto"/>
        </w:rPr>
      </w:pPr>
    </w:p>
    <w:p>
      <w:pPr>
        <w:ind w:left="582" w:right="2979" w:hanging="582"/>
        <w:spacing w:after="0" w:line="265" w:lineRule="auto"/>
        <w:tabs>
          <w:tab w:leader="none" w:pos="58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years 1999, 2000, 2001, 2002 and 2003, earnings were not sufficient to cover fixed charges by approximately $15.6 million, $1.2 million, $4.4 million, $13.8 million and $9.4 million, respectively.</w:t>
      </w:r>
    </w:p>
    <w:p>
      <w:pPr>
        <w:spacing w:after="0" w:line="200" w:lineRule="exact"/>
        <w:rPr>
          <w:sz w:val="20"/>
          <w:szCs w:val="20"/>
          <w:color w:val="auto"/>
        </w:rPr>
      </w:pPr>
    </w:p>
    <w:p>
      <w:pPr>
        <w:spacing w:after="0" w:line="33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665" w:right="1440" w:bottom="1440" w:gutter="0" w:footer="0" w:header="0"/>
          <w:type w:val="continuous"/>
        </w:sectPr>
      </w:pPr>
    </w:p>
    <w:bookmarkStart w:id="12" w:name="page13"/>
    <w:bookmarkEnd w:id="12"/>
    <w:p>
      <w:pPr>
        <w:ind w:left="2580"/>
        <w:spacing w:after="0"/>
        <w:rPr>
          <w:sz w:val="20"/>
          <w:szCs w:val="20"/>
          <w:color w:val="auto"/>
        </w:rPr>
      </w:pPr>
      <w:r>
        <w:rPr>
          <w:rFonts w:ascii="Courier New" w:cs="Courier New" w:eastAsia="Courier New" w:hAnsi="Courier New"/>
          <w:sz w:val="16"/>
          <w:szCs w:val="16"/>
          <w:color w:val="auto"/>
        </w:rPr>
        <w:t>FORWARD LOOKING INFORMATION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Some of the statements in this prospectus and in documents incorporated by reference constitute forward-looking statements. These forward-looking statements reflect our current views with respect to future events or our financial performance, and involve certain known and unknown risks, uncertainties and other factors, including those identified below, which may cause our or our industry's actual or future results, levels of activity, performance or achievements to differ materially from those expressed or implied by any forward-looking statements or from historical results. In some cases, you can identify forward-looking statements by terminology such as "may," "will," "could," "would," "should," "believe," "expect," "plan," "anticipate," "intend," "estimate," "predict," "potential" and other expressions which indicate future events and trends. We have no duty to update or revise any forward-looking statements after the date of this prospectus or to conform them to actual results, new information, future events or otherwise.</w:t>
      </w:r>
    </w:p>
    <w:p>
      <w:pPr>
        <w:spacing w:after="0" w:line="192" w:lineRule="exact"/>
        <w:rPr>
          <w:sz w:val="20"/>
          <w:szCs w:val="20"/>
          <w:color w:val="auto"/>
        </w:rPr>
      </w:pPr>
    </w:p>
    <w:p>
      <w:pPr>
        <w:ind w:right="2979" w:firstLine="572"/>
        <w:spacing w:after="0" w:line="271" w:lineRule="auto"/>
        <w:rPr>
          <w:sz w:val="20"/>
          <w:szCs w:val="20"/>
          <w:color w:val="auto"/>
        </w:rPr>
      </w:pPr>
      <w:r>
        <w:rPr>
          <w:rFonts w:ascii="Courier New" w:cs="Courier New" w:eastAsia="Courier New" w:hAnsi="Courier New"/>
          <w:sz w:val="15"/>
          <w:szCs w:val="15"/>
          <w:color w:val="auto"/>
        </w:rPr>
        <w:t>The following factors, among others, could cause our industry's future results to differ materially from historical results or those anticipated:</w:t>
      </w:r>
    </w:p>
    <w:p>
      <w:pPr>
        <w:spacing w:after="0" w:line="164" w:lineRule="exact"/>
        <w:rPr>
          <w:sz w:val="20"/>
          <w:szCs w:val="20"/>
          <w:color w:val="auto"/>
        </w:rPr>
      </w:pPr>
    </w:p>
    <w:p>
      <w:pPr>
        <w:ind w:left="1140"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overall economic and business conditions;</w:t>
      </w:r>
    </w:p>
    <w:p>
      <w:pPr>
        <w:spacing w:after="0" w:line="188" w:lineRule="exact"/>
        <w:rPr>
          <w:rFonts w:ascii="Courier New" w:cs="Courier New" w:eastAsia="Courier New" w:hAnsi="Courier New"/>
          <w:sz w:val="16"/>
          <w:szCs w:val="16"/>
          <w:color w:val="auto"/>
        </w:rPr>
      </w:pPr>
    </w:p>
    <w:p>
      <w:pPr>
        <w:ind w:left="1140" w:right="3259" w:hanging="570"/>
        <w:spacing w:after="0" w:line="239" w:lineRule="auto"/>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factors in the industries in which we conduct our business;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governmental regulation;</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demand for our goods and services;</w:t>
      </w:r>
    </w:p>
    <w:p>
      <w:pPr>
        <w:spacing w:after="0" w:line="188"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our customers may cancel orders they have placed with us, in whole or in part, without advance notice;</w:t>
      </w:r>
    </w:p>
    <w:p>
      <w:pPr>
        <w:spacing w:after="0" w:line="189" w:lineRule="exact"/>
        <w:rPr>
          <w:rFonts w:ascii="Courier New" w:cs="Courier New" w:eastAsia="Courier New" w:hAnsi="Courier New"/>
          <w:sz w:val="16"/>
          <w:szCs w:val="16"/>
          <w:color w:val="auto"/>
        </w:rPr>
      </w:pPr>
    </w:p>
    <w:p>
      <w:pPr>
        <w:ind w:left="1140" w:right="2979" w:hanging="570"/>
        <w:spacing w:after="0" w:line="239" w:lineRule="auto"/>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tax requirements, including tax rate changes, new tax laws and revised tax law interpretations;</w:t>
      </w:r>
    </w:p>
    <w:p>
      <w:pPr>
        <w:spacing w:after="0" w:line="189" w:lineRule="exact"/>
        <w:rPr>
          <w:rFonts w:ascii="Courier New" w:cs="Courier New" w:eastAsia="Courier New" w:hAnsi="Courier New"/>
          <w:sz w:val="16"/>
          <w:szCs w:val="16"/>
          <w:color w:val="auto"/>
        </w:rPr>
      </w:pPr>
    </w:p>
    <w:p>
      <w:pPr>
        <w:ind w:left="1140" w:right="2979"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generally accepted accounting principles or interpretations of those principles by governmental agencies and self-regulatory groups;</w:t>
      </w:r>
    </w:p>
    <w:p>
      <w:pPr>
        <w:spacing w:after="0" w:line="187"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in and results of litigation;</w:t>
      </w:r>
    </w:p>
    <w:p>
      <w:pPr>
        <w:spacing w:after="0" w:line="188"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fluctuations, foreign currency rate fluctuations and other capital market conditions;</w:t>
      </w:r>
    </w:p>
    <w:p>
      <w:pPr>
        <w:spacing w:after="0" w:line="189" w:lineRule="exact"/>
        <w:rPr>
          <w:rFonts w:ascii="Courier New" w:cs="Courier New" w:eastAsia="Courier New" w:hAnsi="Courier New"/>
          <w:sz w:val="16"/>
          <w:szCs w:val="16"/>
          <w:color w:val="auto"/>
        </w:rPr>
      </w:pPr>
    </w:p>
    <w:p>
      <w:pPr>
        <w:ind w:left="1140" w:right="2879"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economic and political conditions in international markets, including governmental changes and restrictions on the ability to transfer capital across borders;</w:t>
      </w:r>
    </w:p>
    <w:p>
      <w:pPr>
        <w:spacing w:after="0" w:line="187"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cost of raw materials used in our business;</w:t>
      </w:r>
    </w:p>
    <w:p>
      <w:pPr>
        <w:spacing w:after="0" w:line="188"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impact and other uncertainties of acquisitions that we may consider or consummate; and</w:t>
      </w:r>
    </w:p>
    <w:p>
      <w:pPr>
        <w:spacing w:after="0" w:line="189"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achieve anticipated synergies and other cost savings in connection with such acquisitions.</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These factors and the risk factors described in this document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440" w:gutter="0" w:footer="0" w:header="0"/>
        </w:sectPr>
      </w:pPr>
    </w:p>
    <w:bookmarkStart w:id="13" w:name="page14"/>
    <w:bookmarkEnd w:id="13"/>
    <w:p>
      <w:pPr>
        <w:jc w:val="center"/>
        <w:ind w:right="2599"/>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2979" w:firstLine="572"/>
        <w:spacing w:after="0" w:line="271" w:lineRule="auto"/>
        <w:rPr>
          <w:sz w:val="20"/>
          <w:szCs w:val="20"/>
          <w:color w:val="auto"/>
        </w:rPr>
      </w:pPr>
      <w:r>
        <w:rPr>
          <w:rFonts w:ascii="Courier New" w:cs="Courier New" w:eastAsia="Courier New" w:hAnsi="Courier New"/>
          <w:sz w:val="15"/>
          <w:szCs w:val="15"/>
          <w:color w:val="auto"/>
        </w:rPr>
        <w:t>You should carefully consider the following information with the other information contained or incorporated by reference in this prospectus.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Company and Our Industry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ability to continue to expand our Casual Male stores may be limited.</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pacing w:after="0" w:line="188" w:lineRule="exact"/>
        <w:rPr>
          <w:sz w:val="20"/>
          <w:szCs w:val="20"/>
          <w:color w:val="auto"/>
        </w:rPr>
      </w:pPr>
    </w:p>
    <w:p>
      <w:pPr>
        <w:ind w:left="1140" w:right="2879" w:hanging="570"/>
        <w:spacing w:after="0" w:line="239" w:lineRule="auto"/>
        <w:tabs>
          <w:tab w:leader="none" w:pos="11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suitable store locations in light of the local real estate market conditions;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hire and train personnel;</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distribution methods; and</w:t>
      </w:r>
    </w:p>
    <w:p>
      <w:pPr>
        <w:spacing w:after="0" w:line="188"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advertise our brand names and our distinguishing characteristics to consumers who may not be familiar with us.</w:t>
      </w:r>
    </w:p>
    <w:p>
      <w:pPr>
        <w:spacing w:after="0" w:line="189" w:lineRule="exact"/>
        <w:rPr>
          <w:sz w:val="20"/>
          <w:szCs w:val="20"/>
          <w:color w:val="auto"/>
        </w:rPr>
      </w:pPr>
    </w:p>
    <w:p>
      <w:pPr>
        <w:ind w:right="2599" w:firstLine="572"/>
        <w:spacing w:after="0" w:line="263" w:lineRule="auto"/>
        <w:rPr>
          <w:sz w:val="20"/>
          <w:szCs w:val="20"/>
          <w:color w:val="auto"/>
        </w:rPr>
      </w:pPr>
      <w:r>
        <w:rPr>
          <w:rFonts w:ascii="Courier New" w:cs="Courier New" w:eastAsia="Courier New" w:hAnsi="Courier New"/>
          <w:sz w:val="15"/>
          <w:szCs w:val="15"/>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172" w:lineRule="exact"/>
        <w:rPr>
          <w:sz w:val="20"/>
          <w:szCs w:val="20"/>
          <w:color w:val="auto"/>
        </w:rPr>
      </w:pPr>
    </w:p>
    <w:p>
      <w:pPr>
        <w:ind w:right="3739"/>
        <w:spacing w:after="0" w:line="239" w:lineRule="auto"/>
        <w:rPr>
          <w:sz w:val="20"/>
          <w:szCs w:val="20"/>
          <w:color w:val="auto"/>
        </w:rPr>
      </w:pPr>
      <w:r>
        <w:rPr>
          <w:rFonts w:ascii="Courier New" w:cs="Courier New" w:eastAsia="Courier New" w:hAnsi="Courier New"/>
          <w:sz w:val="16"/>
          <w:szCs w:val="16"/>
          <w:color w:val="auto"/>
        </w:rPr>
        <w:t>We may be unable to successfully predict fashion trends and customer preferences.</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92"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Our business is highly competitive, and competitive factors may reduce our revenues and profit margins.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 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4" w:right="1440" w:bottom="1440" w:gutter="0" w:footer="0" w:header="0"/>
        </w:sectPr>
      </w:pPr>
    </w:p>
    <w:bookmarkStart w:id="14" w:name="page15"/>
    <w:bookmarkEnd w:id="14"/>
    <w:p>
      <w:pPr>
        <w:ind w:right="2599"/>
        <w:spacing w:after="0"/>
        <w:rPr>
          <w:sz w:val="20"/>
          <w:szCs w:val="20"/>
          <w:color w:val="auto"/>
        </w:rPr>
      </w:pPr>
      <w:r>
        <w:rPr>
          <w:rFonts w:ascii="Courier New" w:cs="Courier New" w:eastAsia="Courier New" w:hAnsi="Courier New"/>
          <w:sz w:val="16"/>
          <w:szCs w:val="16"/>
          <w:color w:val="auto"/>
        </w:rPr>
        <w:t>successfully with our competitors in the future and could lose brand recognition and market share. A significant loss of market share would adversely affect our revenues and results of operations.</w:t>
      </w:r>
    </w:p>
    <w:p>
      <w:pPr>
        <w:spacing w:after="0" w:line="190"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Our sales will decline if we do not successfully advertise and market our products.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190"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Our success significantly depends on our key personnel and our ability to attract and retain additional personnel.</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w:t>
      </w:r>
    </w:p>
    <w:p>
      <w:pPr>
        <w:spacing w:after="0" w:line="186" w:lineRule="exact"/>
        <w:rPr>
          <w:sz w:val="20"/>
          <w:szCs w:val="20"/>
          <w:color w:val="auto"/>
        </w:rPr>
      </w:pPr>
    </w:p>
    <w:p>
      <w:pPr>
        <w:ind w:left="1140" w:hanging="570"/>
        <w:spacing w:after="0"/>
        <w:tabs>
          <w:tab w:leader="none" w:pos="1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loss of organizational focus,</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poor operating execution;</w:t>
      </w:r>
    </w:p>
    <w:p>
      <w:pPr>
        <w:spacing w:after="0" w:line="188"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inability to identify and execute potential strategic initiatives such as joint venture and licensing opportunities;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impairment in our ability to identify new store locations; and</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inability to consummate possible acquisitions.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These adverse results could, among other things, reduce potential revenues, prevent us from diversifying our product lines and geographic concentrations, and expose us to downturns in our markets. The loss of those individuals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191"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We need to timely complete the implementation of our information systems and control procedures.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7" w:right="1440" w:bottom="1440" w:gutter="0" w:footer="0" w:header="0"/>
        </w:sectPr>
      </w:pPr>
    </w:p>
    <w:bookmarkStart w:id="15" w:name="page16"/>
    <w:bookmarkEnd w:id="15"/>
    <w:p>
      <w:pPr>
        <w:ind w:right="2979"/>
        <w:spacing w:after="0" w:line="241" w:lineRule="auto"/>
        <w:rPr>
          <w:sz w:val="20"/>
          <w:szCs w:val="20"/>
          <w:color w:val="auto"/>
        </w:rPr>
      </w:pPr>
      <w:r>
        <w:rPr>
          <w:rFonts w:ascii="Courier New" w:cs="Courier New" w:eastAsia="Courier New" w:hAnsi="Courier New"/>
          <w:sz w:val="16"/>
          <w:szCs w:val="16"/>
          <w:color w:val="auto"/>
        </w:rPr>
        <w:t>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timely without disruption to our daily operations. To implement these initiatives, we spent approximately 4.1 million in fiscal 2002 and $4.0 million in fiscal 2003. We anticipate that the implementation will require approximately 12 months to complete at a remaining cost of $6.0 million, which includes upgrading of our existing point-of-sale and register systems and implementing a Customer Relationship Management software system. If we are unable to complete these projects within budget and on time, our operating results will suffer.</w:t>
      </w:r>
    </w:p>
    <w:p>
      <w:pPr>
        <w:spacing w:after="0" w:line="195"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The loss of, or disruption in, our centralized distribution center could negatively impact our business and operations.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91"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dependent on third parties for the manufacture of the products we sell.</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do not own or operate any manufacturing facilities and are therefore entirely dependent on third parties for the manufacture of the products we sell. Without adequate supplies of merchandise to sell to our customers in the merchandise styles and fashions demanded by our particular customer base, sales would decrease materially and our business would suffer. Furthermore, in fiscal 2003, approximately 75% of our merchandise consisted of private label items made specifically for Casual Male and our customers. The Company expects that this percentage will decrease to approximately 60% in fiscal 2004.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our results of operations.</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7" w:right="1440" w:bottom="1440" w:gutter="0" w:footer="0" w:header="0"/>
        </w:sectPr>
      </w:pPr>
    </w:p>
    <w:bookmarkStart w:id="16" w:name="page17"/>
    <w:bookmarkEnd w:id="16"/>
    <w:p>
      <w:pPr>
        <w:ind w:right="2599" w:firstLine="572"/>
        <w:spacing w:after="0" w:line="242" w:lineRule="auto"/>
        <w:rPr>
          <w:sz w:val="20"/>
          <w:szCs w:val="20"/>
          <w:color w:val="auto"/>
        </w:rPr>
      </w:pPr>
      <w:r>
        <w:rPr>
          <w:rFonts w:ascii="Courier New" w:cs="Courier New" w:eastAsia="Courier New" w:hAnsi="Courier New"/>
          <w:sz w:val="16"/>
          <w:szCs w:val="16"/>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191" w:lineRule="exact"/>
        <w:rPr>
          <w:sz w:val="20"/>
          <w:szCs w:val="20"/>
          <w:color w:val="auto"/>
        </w:rPr>
      </w:pPr>
    </w:p>
    <w:p>
      <w:pPr>
        <w:ind w:right="2979" w:firstLine="572"/>
        <w:spacing w:after="0" w:line="241" w:lineRule="auto"/>
        <w:rPr>
          <w:sz w:val="20"/>
          <w:szCs w:val="20"/>
          <w:color w:val="auto"/>
        </w:rPr>
      </w:pPr>
      <w:r>
        <w:rPr>
          <w:rFonts w:ascii="Courier New" w:cs="Courier New" w:eastAsia="Courier New" w:hAnsi="Courier New"/>
          <w:sz w:val="16"/>
          <w:szCs w:val="16"/>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89"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Exiting our Levi's(R)/Dockers(R) business may subject us to significant costs and divert resources.</w:t>
      </w:r>
    </w:p>
    <w:p>
      <w:pPr>
        <w:spacing w:after="0" w:line="189"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 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192"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Our results of operations will be adversely affected if our George Foreman line of apparel is unsuccessful.</w:t>
      </w:r>
    </w:p>
    <w:p>
      <w:pPr>
        <w:spacing w:after="0" w:line="189"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 success of the product line, and we intend to incur significant marketing costs in connection with the promotion of this product line. As a result 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7" w:right="1440" w:bottom="1440" w:gutter="0" w:footer="0" w:header="0"/>
        </w:sectPr>
      </w:pPr>
    </w:p>
    <w:bookmarkStart w:id="17" w:name="page18"/>
    <w:bookmarkEnd w:id="17"/>
    <w:p>
      <w:pPr>
        <w:ind w:right="2679"/>
        <w:spacing w:after="0" w:line="239" w:lineRule="auto"/>
        <w:rPr>
          <w:sz w:val="20"/>
          <w:szCs w:val="20"/>
          <w:color w:val="auto"/>
        </w:rPr>
      </w:pPr>
      <w:r>
        <w:rPr>
          <w:rFonts w:ascii="Courier New" w:cs="Courier New" w:eastAsia="Courier New" w:hAnsi="Courier New"/>
          <w:sz w:val="16"/>
          <w:szCs w:val="16"/>
          <w:color w:val="auto"/>
        </w:rPr>
        <w:t>The loss of any of our key trademarks or licenses could adversely affect demand for our products.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is seasonal and is affected by general economic conditions.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189"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Acts of terrorism could negatively impact our operating results and financial condition.</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Our cost savings and expense reductions resulting from the acquisition of Casual Male may be less than anticipated.</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 there are substantial failures to achieve these cost savings, cash flow and the servicing of debt related to that acquisition could also be reduced.</w:t>
      </w:r>
    </w:p>
    <w:p>
      <w:pPr>
        <w:spacing w:after="0" w:line="19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We face greater challenges in managing several brands in multiple channels of distribution.</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18" w:name="page19"/>
    <w:bookmarkEnd w:id="18"/>
    <w:p>
      <w:pPr>
        <w:ind w:right="2599"/>
        <w:spacing w:after="0" w:line="242" w:lineRule="auto"/>
        <w:rPr>
          <w:sz w:val="20"/>
          <w:szCs w:val="20"/>
          <w:color w:val="auto"/>
        </w:rPr>
      </w:pPr>
      <w:r>
        <w:rPr>
          <w:rFonts w:ascii="Courier New" w:cs="Courier New" w:eastAsia="Courier New" w:hAnsi="Courier New"/>
          <w:sz w:val="16"/>
          <w:szCs w:val="16"/>
          <w:color w:val="auto"/>
        </w:rPr>
        <w:t>including advertising and promotion, and the servicing and merchandising of private label merchandise, which represented approximately 75% of Casual Male's merchandise inventory in fiscal 2003.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A reduction in the size of our target market and shifts in customer purchasing habits will adversely affect our sales.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the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Corporate Structure and Stock</w:t>
      </w:r>
    </w:p>
    <w:p>
      <w:pPr>
        <w:spacing w:after="0" w:line="188"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Our stock price has been and may continue to be extremely volatile due to many factors.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market price of our common stock has fluctuated in the past and may increase or decrease rapidly in the future depending on news announcements and changes in general market conditions. Between January 31, 2003 and April 1, 2004, the closing price of our common stock ranged from a low of $1.95 per share to a high of $10.56 per share. The following factors, among others, may cause significant fluctuations in our stock price:</w:t>
      </w:r>
    </w:p>
    <w:p>
      <w:pPr>
        <w:spacing w:after="0" w:line="187" w:lineRule="exact"/>
        <w:rPr>
          <w:sz w:val="20"/>
          <w:szCs w:val="20"/>
          <w:color w:val="auto"/>
        </w:rPr>
      </w:pPr>
    </w:p>
    <w:p>
      <w:pPr>
        <w:ind w:left="1140" w:right="3459" w:hanging="570"/>
        <w:spacing w:after="0" w:line="239" w:lineRule="auto"/>
        <w:tabs>
          <w:tab w:leader="none" w:pos="11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news announcements regarding quarterly or annual results of operations;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comparable store sales;</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developments;</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affecting us; or</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views as to the prospects of the retail industry generally.</w:t>
      </w:r>
    </w:p>
    <w:p>
      <w:pPr>
        <w:spacing w:after="0" w:line="188"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Rights of our stockholders may be negatively affected if we issue any of the shares of preferred stock which our Board of Directors has authorized for issuance.</w:t>
      </w:r>
    </w:p>
    <w:p>
      <w:pPr>
        <w:spacing w:after="0" w:line="190"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We have available for issuance 1,000,000 shares of preferred stock, par value $.01 per share. Our board of directors is authorized to issue any or all of this preferred stock, in one or more series, without any further action on the part of shareholders. The rights of our shareholders may be negatively affected if we issue a series of preferred stock in the future that has preference over our common stock with respect to the payment of dividends or distribution upon our liquidation, dissolution or winding up.</w:t>
      </w:r>
    </w:p>
    <w:p>
      <w:pPr>
        <w:spacing w:after="0" w:line="188" w:lineRule="exact"/>
        <w:rPr>
          <w:sz w:val="20"/>
          <w:szCs w:val="20"/>
          <w:color w:val="auto"/>
        </w:rPr>
      </w:pPr>
    </w:p>
    <w:p>
      <w:pPr>
        <w:ind w:right="3639"/>
        <w:spacing w:after="0" w:line="271" w:lineRule="auto"/>
        <w:rPr>
          <w:sz w:val="20"/>
          <w:szCs w:val="20"/>
          <w:color w:val="auto"/>
        </w:rPr>
      </w:pPr>
      <w:r>
        <w:rPr>
          <w:rFonts w:ascii="Courier New" w:cs="Courier New" w:eastAsia="Courier New" w:hAnsi="Courier New"/>
          <w:sz w:val="15"/>
          <w:szCs w:val="15"/>
          <w:color w:val="auto"/>
        </w:rPr>
        <w:t>State laws and our certificate of incorporation may inhibit potential acquisition bids that could be beneficial to our stockholders.</w:t>
      </w:r>
    </w:p>
    <w:p>
      <w:pPr>
        <w:spacing w:after="0" w:line="16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7" w:right="1440" w:bottom="1440" w:gutter="0" w:footer="0" w:header="0"/>
        </w:sectPr>
      </w:pPr>
    </w:p>
    <w:bookmarkStart w:id="19" w:name="page20"/>
    <w:bookmarkEnd w:id="19"/>
    <w:p>
      <w:pPr>
        <w:ind w:right="2599" w:firstLine="572"/>
        <w:spacing w:after="0" w:line="242" w:lineRule="auto"/>
        <w:rPr>
          <w:sz w:val="20"/>
          <w:szCs w:val="20"/>
          <w:color w:val="auto"/>
        </w:rPr>
      </w:pPr>
      <w:r>
        <w:rPr>
          <w:rFonts w:ascii="Courier New" w:cs="Courier New" w:eastAsia="Courier New" w:hAnsi="Courier New"/>
          <w:sz w:val="16"/>
          <w:szCs w:val="16"/>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the notes could result in dilution to holders of our common stock.</w:t>
      </w:r>
    </w:p>
    <w:p>
      <w:pPr>
        <w:spacing w:after="0" w:line="19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the holders of the notes convert such notes, we would be required to issue to such holders approximately 9.39 million additional shares of common stock, which would result in dilution to holders of our common stock. Additionally, the impact of the 9.39 million additional shares of common stock would not have an impact to historical earnings per share of the Company because the conversion of such shares would have been antidilutive.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Notes</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Substantial leverage and debt service obligations may adversely affect our cash flow.</w:t>
      </w:r>
    </w:p>
    <w:p>
      <w:pPr>
        <w:spacing w:after="0" w:line="189"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At January 31, 2004 we had approximately $126.3 million of long-term indebtedness. Such indebtedness includes $100 million aggregate principal amount of notes now being offered by the selling securityholders under this prospectus. The proceeds from the sale of such notes were used to prepay $24.5 million of our 12% senior subordinated notes due 2007, and we sought and received early redemption of approximately $21.8 million of our 12% senior subordinated notes due 2010. An early redemption premium of $1.4 million was paid on our 12% senior subordinated notes due 2010. We also used $40.3 million of the proceeds of such note offering to reduce outstanding borrowings under our credit facility and used $7.9 million of such proceeds to repurchase 1,000,000 shares of our common stock. We may be unable to generate cash sufficient to pay the principal of, interest on and other amounts due in respect of our indebtedness when due. We may also obtain additional long-term debt, working capital lines of credit and lease lines and borrow additional amounts under our existing credit facility.</w:t>
      </w:r>
    </w:p>
    <w:p>
      <w:pPr>
        <w:spacing w:after="0" w:line="184"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Our substantial leverage could have significant negative consequences, including:</w:t>
      </w:r>
    </w:p>
    <w:p>
      <w:pPr>
        <w:spacing w:after="0" w:line="189" w:lineRule="exact"/>
        <w:rPr>
          <w:sz w:val="20"/>
          <w:szCs w:val="20"/>
          <w:color w:val="auto"/>
        </w:rPr>
      </w:pPr>
    </w:p>
    <w:p>
      <w:pPr>
        <w:ind w:left="1140" w:right="2779" w:hanging="570"/>
        <w:spacing w:after="0" w:line="239" w:lineRule="auto"/>
        <w:tabs>
          <w:tab w:leader="none" w:pos="11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general adverse economic and industry conditions;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limiting our ability to obtain additional financing;</w:t>
      </w:r>
    </w:p>
    <w:p>
      <w:pPr>
        <w:spacing w:after="0" w:line="188" w:lineRule="exact"/>
        <w:rPr>
          <w:rFonts w:ascii="Courier New" w:cs="Courier New" w:eastAsia="Courier New" w:hAnsi="Courier New"/>
          <w:sz w:val="16"/>
          <w:szCs w:val="16"/>
          <w:color w:val="auto"/>
        </w:rPr>
      </w:pPr>
    </w:p>
    <w:p>
      <w:pPr>
        <w:ind w:left="1140" w:right="2599" w:hanging="570"/>
        <w:spacing w:after="0" w:line="241" w:lineRule="auto"/>
        <w:tabs>
          <w:tab w:leader="none" w:pos="11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requiring the dedication of a portion of our expected cash flow from operations to service our indebtedness, thereby reducing the amount of our expected cash flow available for other purposes, including capital expenditures;</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limiting our flexibility in planning for, or reacting to, changes in our business and the industry in which we compete; and</w:t>
      </w:r>
    </w:p>
    <w:p>
      <w:pPr>
        <w:spacing w:after="0" w:line="189" w:lineRule="exact"/>
        <w:rPr>
          <w:rFonts w:ascii="Courier New" w:cs="Courier New" w:eastAsia="Courier New" w:hAnsi="Courier New"/>
          <w:sz w:val="16"/>
          <w:szCs w:val="16"/>
          <w:color w:val="auto"/>
        </w:rPr>
      </w:pPr>
    </w:p>
    <w:p>
      <w:pPr>
        <w:ind w:left="1140" w:right="2779" w:hanging="570"/>
        <w:spacing w:after="0"/>
        <w:tabs>
          <w:tab w:leader="none" w:pos="11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placing us at a possible competitive disadvantage relative to less leveraged competitors and competitors that have better access to capital resources.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7" w:right="1440" w:bottom="1440" w:gutter="0" w:footer="0" w:header="0"/>
        </w:sectPr>
      </w:pPr>
    </w:p>
    <w:bookmarkStart w:id="20" w:name="page21"/>
    <w:bookmarkEnd w:id="20"/>
    <w:p>
      <w:pPr>
        <w:ind w:right="3459"/>
        <w:spacing w:after="0" w:line="239" w:lineRule="auto"/>
        <w:rPr>
          <w:sz w:val="20"/>
          <w:szCs w:val="20"/>
          <w:color w:val="auto"/>
        </w:rPr>
      </w:pPr>
      <w:r>
        <w:rPr>
          <w:rFonts w:ascii="Courier New" w:cs="Courier New" w:eastAsia="Courier New" w:hAnsi="Courier New"/>
          <w:sz w:val="16"/>
          <w:szCs w:val="16"/>
          <w:color w:val="auto"/>
        </w:rPr>
        <w:t>The notes are subordinated, and there are no financial covenants in the indenture.</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notes are unsecured and subordinated in right of payment to all of our existing and future designated senior debt. Under the terms of our indenture, we may also incur additional designated senior debt from time to time. In the event of our bankruptcy, liquidation or reorganization or upon acceleration of the notes due to an event of default under the indenture and in certain other events, we will not be able to repay the notes until after we have satisfied all of our designated senior debt obligations. As a result, we may not have sufficient assets remaining to pay amounts due on any or all of the outstanding notes.</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notes also are effectively subordinated to the liabilities, including trade payables, of our subsidiaries. As a result, our right to receive assets of any subsidiaries upon their liquidation or reorganization, and the rights of the holders of the notes to share in those assets, would be subject to the claims of the creditors of the subsidiaries.</w:t>
      </w:r>
    </w:p>
    <w:p>
      <w:pPr>
        <w:spacing w:after="0" w:line="190"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Substantially all of our assets are held, and most of our revenues are generated, by our subsidiaries. Our subsidiaries are not restricted from incurring additional debt or liabilities under the indenture. In addition, we are not restricted from paying dividends or issuing or repurchasing our securities under the indenture. If we or our subsidiaries were to incur additional debt or liabilities, our ability to pay our obligations on the notes could be adversely affected. As of January 31, 2004 we had approximately $3.6 million of outstanding designated senior debt for purposes of the indenture and the aggregate amount of indebtedness and other liabilities of our subsidiaries was approximately $122.8 million (excluding intercompany liabilities and liabilities of the type not required to be recorded on the balance sheet in accordance with GAAP).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be unable to repay, repurchase or redeem the notes.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At maturity, the entire outstanding principal amount of the notes will become due and payable by us. Upon a fundamental change, as defined in the indenture, you may require us to repurchase all or a portion of your notes. In addition, you may require us to purchase notes on January 1, 2009, January 1, 2014 or January 1, 2019. We may not have enough funds or be able to arrange for additional financing to pay the principal at maturity or to repurchase the notes tendered by the holders. We may also opt to purchase the notes with our common stock and you may not receive cash for such purchase. Our credit facility and certain of our debt agreements provide that a fundamental change constitutes an event of default. Future credit agreements or other agreements relating to our indebtedness might contain similar provisions. If the maturity date or a fundamental change occurs at a time when we are prohibited from repaying or repurchasing the notes, we could seek the consent of our lenders to purchase the notes or could attempt to refinance this debt. If we do not obtain the necessary consents or refinance the debt, we will be unable to repay or repurchase the notes. Our failure to repay the notes at maturity or repurchase tendered notes would constitute an event of default under the indenture, which might constitute a default under the terms of our other debt. In such circumstances, or if a fundamental change would constitute an event of default under our senior debt, the subordination provisions of the indenture would possibly limit or prohibit payments to you. The term "fundamental change" is limited to certain specified transactions and may not include other events that might harm our financial condition. Our obligation to offer to purchase the notes upon a fundamental change would not necessarily afford you protection in the event of a highly leveraged transaction, reorganization, merger or similar transaction involving us.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market may not develop for the notes.</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Prior to this offering there has been no trading market for the notes. The Initial Purchaser has advised us that it currently intends to make a market in the notes. The Initial Purchaser is not, however, obligated to make a market and may discontinue this market-making activity at any time without notice. In</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7" w:right="1440" w:bottom="1440" w:gutter="0" w:footer="0" w:header="0"/>
        </w:sectPr>
      </w:pPr>
    </w:p>
    <w:bookmarkStart w:id="21" w:name="page22"/>
    <w:bookmarkEnd w:id="21"/>
    <w:p>
      <w:pPr>
        <w:ind w:right="2599"/>
        <w:spacing w:after="0" w:line="242" w:lineRule="auto"/>
        <w:rPr>
          <w:sz w:val="20"/>
          <w:szCs w:val="20"/>
          <w:color w:val="auto"/>
        </w:rPr>
      </w:pPr>
      <w:r>
        <w:rPr>
          <w:rFonts w:ascii="Courier New" w:cs="Courier New" w:eastAsia="Courier New" w:hAnsi="Courier New"/>
          <w:sz w:val="16"/>
          <w:szCs w:val="16"/>
          <w:color w:val="auto"/>
        </w:rPr>
        <w:t>addition, market-making activity by the Initial Purchaser will be subject to the limits imposed by the Securities Act of 1933 and the Securities Exchange Act of 1934. As a result, a market for the notes may not develop or, if one does develop, it may not be maintained. If an active market for the notes fails to develop or be sustained, the trading price of the notes could decline significantly.</w:t>
      </w:r>
    </w:p>
    <w:p>
      <w:pPr>
        <w:spacing w:after="0" w:line="187"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price at which our common stock may be purchased on the Nasdaq National Market is currently lower than the conversion price of the notes and may remain lower in the future.</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Prior to electing to convert notes, the note holder should compare the price at which our common stock is trading in the market to the conversion price of the notes. Our common stock trades on the Nasdaq National Market under the symbol "CMRG." On April 1, 2004, the last reported sale price of our common stock was $10.56 per share. The initial conversion price of the notes is $10.65 per share. The market prices of our securities are subject to significant fluctuations. Such fluctuations, as well as economic conditions generally, may adversely affect the market price of our securities, including our common stock and the notes.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may not be rated or may receive a lower rating than anticipated.</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We believe that it is unlikely that the notes will be rated. If, however, one or more rating agencies rate the notes and assign the notes a rating lower than the rating expected by investors, or reduce their rating in the future, the market price of the notes and our common stock would be harmed.</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We will not receive any cash proceeds from the sale of the notes or the shares of common stock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7" w:right="1440" w:bottom="1440" w:gutter="0" w:footer="0" w:header="0"/>
        </w:sectPr>
      </w:pPr>
    </w:p>
    <w:bookmarkStart w:id="22" w:name="page23"/>
    <w:bookmarkEnd w:id="22"/>
    <w:p>
      <w:pPr>
        <w:ind w:left="2860"/>
        <w:spacing w:after="0"/>
        <w:rPr>
          <w:sz w:val="20"/>
          <w:szCs w:val="20"/>
          <w:color w:val="auto"/>
        </w:rPr>
      </w:pPr>
      <w:r>
        <w:rPr>
          <w:rFonts w:ascii="Courier New" w:cs="Courier New" w:eastAsia="Courier New" w:hAnsi="Courier New"/>
          <w:sz w:val="16"/>
          <w:szCs w:val="16"/>
          <w:color w:val="auto"/>
        </w:rPr>
        <w:t>DESCRIPTION OF NOTES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notes were issued under an indenture dated as of November 18, 2003, between us and U.S. Bank National Association, as trustee. Copies of the indenture and the registration rights agreement entered into with the Initial Purchaser of the notes are filed as exhibits to the Company's Quarterly Report on Form 10-Q filed with the SEC on December 9, 2003 for the quarterly period ended November 1, 2003 and may be obtained in the manner indicated under "Where You Can Find More Information." The following is a summary of certain provisions of the indenture and the registration rights agreement and does not purport to be complete. Reference should be made to all provisions of the indenture and the registration rights agreement, including the definitions of certain terms contained therein. As used in this section, the terms "CMRG," the "company," "we," "us" and "our" refer to Casual Male Retail Group, Inc., but not any of our subsidiaries, unless the context requires otherwise.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779" w:firstLine="572"/>
        <w:spacing w:after="0" w:line="263" w:lineRule="auto"/>
        <w:rPr>
          <w:sz w:val="20"/>
          <w:szCs w:val="20"/>
          <w:color w:val="auto"/>
        </w:rPr>
      </w:pPr>
      <w:r>
        <w:rPr>
          <w:rFonts w:ascii="Courier New" w:cs="Courier New" w:eastAsia="Courier New" w:hAnsi="Courier New"/>
          <w:sz w:val="15"/>
          <w:szCs w:val="15"/>
          <w:color w:val="auto"/>
        </w:rPr>
        <w:t>The notes have been issued in a $100,000,000 aggregate principal amount. The notes will be issued only in denominations of $1,000 or in multiples of $1,000. The notes will mature on January 1, 2024, unless earlier converted, redeemed, purchased or repurchased by us upon a fundamental change.</w:t>
      </w:r>
    </w:p>
    <w:p>
      <w:pPr>
        <w:spacing w:after="0" w:line="172"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notes bear interest at the annual rate of 5%, beginning November 18, 2003. We will pay interest on January 1 and July 1 of each year, commencing on July 1, 2004 , subject to certain exceptions if the notes are converted, redeemed or repurchased prior to the interest payment date. Interest is computed on the basis of a 360-day year comprising of twelve 30-day months.</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You may convert the notes into shares of our common stock initially at the conversion rate stated on the front cover of this prospectus at any time before the close of business on the maturity date, unless the notes have been previously redeemed, purchased or repurchased. Holders of notes called for redemption or submitted for repurchase will be entitled to convert the notes up to and including the business day immediately preceding the date fixed for redemption or repurchase, as the case may be. The conversion rate may be adjusted as described below.</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The notes are general unsecured obligations and are subordinate in right of payment to all existing and future designated senior debt. The notes are not subordinated to our 12% senior subordinated notes due 2010 or our 5% senior subordinated notes due 2007. The notes are effectively subordinated to the existing and future indebtedness and other liabilities, including trade payables, of our subsidiaries. The indenture governing the notes will restrict our ability to incur additional indebtedness that is senior to the notes and subordinate in right of payment to our designated senior debt. Neither we nor any of our subsidiaries are subject to any financial covenants under the indenture. In addition, neither we nor any of our subsidiaries are restricted under the indenture from paying dividends or issuing or repurchasing our securities.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On or after January 6, 2007, we may redeem the notes, in whole or in part.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purchase all or a portion of your notes on January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2009, January 1, 2014 or January 1, 2019 as described below under "--Purchase 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of the Holder." If we experience a fundamental change, you will have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to require us to repurchase your notes as described below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Option of Holders Upon a Fundamental Change." We will maintain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office in the City of New York where the notes may be presented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transfer, exchange or conversion. This office will initially be 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or agency of the trustee. Except under limited circumstances described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below, the notes will be issued only in fully registered book-entry form,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coupons, and will be represented by one or more global notes. There will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no service charge for any registration of transfer or exchange of notes.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however, require holders to pay a sum sufficient to cover any tax or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governmental charge payable in connection with certain transfers or exchanges.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Conversion</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You may convert your notes, at your option, in whole or in part, into shares of our common stock at any time on or prior to the close of business on the maturity date, unless the notes have been previously redeemed, purchased or repurchased. The initial conversion rate is equal to approximately 93.90 shares per $1,000 principal amount of notes. The conversion rate is equivalent to a conversion price of $10.65 per share. The conversion rate will be subject to adjustment, as described below.</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the notes are called for redemption or are subject to repurchase, your conversion rights on the notes called for redemption or submitted for repurchase will expire at the close of business on the last business day before the redemption date or repurchase date, as the case may be. If, however, we default in the payment of the redemption price or repurchase price, your conversion right will terminate at the close of business on the date the default is cured and the notes are redeemed or repurchased.</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Owners who hold beneficial interests in the notes through participants or indirect participants who desire to convert their interests into common stock should contact their brokers or the participants or indirect participants through whom they hold such beneficial interests to obtain information on procedures, including proper forms and cut-off times, for submitting requests for conversion. If you hold certificated notes, you may convert all or part of any note by delivering the note to the office of the trustee in the Borough of Manhattan, the City of New York, accompanied by a duly signed and completed conversion notice, a copy of which may be obtained by the trustee. The conversion date will be the date on which the note and the duly signed and completed conversion notice are so delivered.</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As promptly as practicable on or after the conversion date, we will issue and deliver to the trustee a certificate or certificates for the number of full shares of our common stock issuable upon conversion. The certificate will then be sent by the trustee to the conversion agent for delivery to the holder. The shares of our common stock issued upon conversion of the notes will be fully paid and nonassessable and will rank equally with the other shares of our common stock. We will not issue fractional shares of common stock upon conversion of the notes. Instead, we will pay cash based on the closing market price of our common stock at the close of business on the last trading date preceding the conversion date.</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Except as described in this paragraph, if you surrender a note for conversion on a date that is not an interest payment date, you will not be entitled to receive any interest for the period from the next preceding interest payment date to the conversion date. Any note surrendered for conversion during the period from the close of business on any regular record date to the opening of business on the next succeeding interest payment date (except notes, or portions thereof, called for redemption or subject to repurchase) must be accompanied by payment of an amount equal to the interest payable on such interest payment date on the principal amount of notes being surrendered for conversion. In the case of any note that has been converted after any regular record date but before the next succeeding interest payment date, interest payable on the interest payment date shall be payable on the interest payment date notwithstanding the conversion, and the interest shall be paid to the holder of such note on the regular record date.</w:t>
      </w:r>
    </w:p>
    <w:p>
      <w:pPr>
        <w:spacing w:after="0" w:line="192"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No other payment or adjustment for interest, or for any dividends in respect of our common stock, will be made upon conversion. Holders of our common stock issued upon conversion of the notes will not be entitled to receive any dividends payable to holders of our common stock as of any record time or date before the close of business on the conversion date.</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You will not be required to pay any taxes or duties relating to the issue or delivery of our common stock on conversion, but you will be required to pay any tax or duty relating to any transfer involved in the issue or delivery of our common stock in a name other than yours. Certificates representing shares of our</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5" w:right="1440" w:bottom="1440" w:gutter="0" w:footer="0" w:header="0"/>
        </w:sectPr>
      </w:pPr>
    </w:p>
    <w:bookmarkStart w:id="24" w:name="page25"/>
    <w:bookmarkEnd w:id="24"/>
    <w:p>
      <w:pPr>
        <w:ind w:right="2979"/>
        <w:spacing w:after="0" w:line="239" w:lineRule="auto"/>
        <w:rPr>
          <w:sz w:val="20"/>
          <w:szCs w:val="20"/>
          <w:color w:val="auto"/>
        </w:rPr>
      </w:pPr>
      <w:r>
        <w:rPr>
          <w:rFonts w:ascii="Courier New" w:cs="Courier New" w:eastAsia="Courier New" w:hAnsi="Courier New"/>
          <w:sz w:val="16"/>
          <w:szCs w:val="16"/>
          <w:color w:val="auto"/>
        </w:rPr>
        <w:t>common stock will not be issued or delivered unless all taxes and duties, if any, payable by you have been paid.</w:t>
      </w:r>
    </w:p>
    <w:p>
      <w:pPr>
        <w:spacing w:after="0" w:line="189"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The conversion rate will be subject to adjustment for, among other things:</w:t>
      </w:r>
    </w:p>
    <w:p>
      <w:pPr>
        <w:spacing w:after="0" w:line="197" w:lineRule="exact"/>
        <w:rPr>
          <w:sz w:val="20"/>
          <w:szCs w:val="20"/>
          <w:color w:val="auto"/>
        </w:rPr>
      </w:pPr>
    </w:p>
    <w:p>
      <w:pPr>
        <w:ind w:left="580" w:right="3059" w:firstLine="562"/>
        <w:spacing w:after="0" w:line="239" w:lineRule="auto"/>
        <w:tabs>
          <w:tab w:leader="none" w:pos="153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shares of our common stock as a dividend or distribution on shares of our common stock;</w:t>
      </w:r>
    </w:p>
    <w:p>
      <w:pPr>
        <w:spacing w:after="0" w:line="189" w:lineRule="exact"/>
        <w:rPr>
          <w:rFonts w:ascii="Courier New" w:cs="Courier New" w:eastAsia="Courier New" w:hAnsi="Courier New"/>
          <w:sz w:val="16"/>
          <w:szCs w:val="16"/>
          <w:color w:val="auto"/>
        </w:rPr>
      </w:pPr>
    </w:p>
    <w:p>
      <w:pPr>
        <w:ind w:left="580" w:right="2599" w:firstLine="562"/>
        <w:spacing w:after="0" w:line="242" w:lineRule="auto"/>
        <w:tabs>
          <w:tab w:leader="none" w:pos="16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rights, options or warrants entitling them to subscribe for or purchase our common stock at less than the then current market price of our common stock as of the record date for stockholders entitled to receive such rights, options or warrants, provided that the conversion rate will be readjusted to the extent that such rights, options or warrants are not exercised prior to the expiration;</w:t>
      </w:r>
    </w:p>
    <w:p>
      <w:pPr>
        <w:spacing w:after="0" w:line="185" w:lineRule="exact"/>
        <w:rPr>
          <w:rFonts w:ascii="Courier New" w:cs="Courier New" w:eastAsia="Courier New" w:hAnsi="Courier New"/>
          <w:sz w:val="16"/>
          <w:szCs w:val="16"/>
          <w:color w:val="auto"/>
        </w:rPr>
      </w:pPr>
    </w:p>
    <w:p>
      <w:pPr>
        <w:ind w:left="1720" w:hanging="578"/>
        <w:spacing w:after="0"/>
        <w:tabs>
          <w:tab w:leader="none" w:pos="17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subdivisions and combinations of our common stock;</w:t>
      </w:r>
    </w:p>
    <w:p>
      <w:pPr>
        <w:spacing w:after="0" w:line="188" w:lineRule="exact"/>
        <w:rPr>
          <w:rFonts w:ascii="Courier New" w:cs="Courier New" w:eastAsia="Courier New" w:hAnsi="Courier New"/>
          <w:sz w:val="16"/>
          <w:szCs w:val="16"/>
          <w:color w:val="auto"/>
        </w:rPr>
      </w:pPr>
    </w:p>
    <w:p>
      <w:pPr>
        <w:ind w:left="580" w:right="2679" w:firstLine="562"/>
        <w:spacing w:after="0" w:line="242" w:lineRule="auto"/>
        <w:tabs>
          <w:tab w:leader="none" w:pos="16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to all holders of our common stock of evidences of our indebtedness, shares of capital stock, cash or assets, including securities, but excluding: those dividends, rights, options, warrants and distributions referred to in clause (i) or (ii) above; dividends and distributions paid exclusively in cash; and distributions of rights to holders of common stock pursuant to a stockholder rights plan;</w:t>
      </w:r>
    </w:p>
    <w:p>
      <w:pPr>
        <w:spacing w:after="0" w:line="187" w:lineRule="exact"/>
        <w:rPr>
          <w:rFonts w:ascii="Courier New" w:cs="Courier New" w:eastAsia="Courier New" w:hAnsi="Courier New"/>
          <w:sz w:val="16"/>
          <w:szCs w:val="16"/>
          <w:color w:val="auto"/>
        </w:rPr>
      </w:pPr>
    </w:p>
    <w:p>
      <w:pPr>
        <w:jc w:val="both"/>
        <w:ind w:left="580" w:right="2599" w:firstLine="562"/>
        <w:spacing w:after="0" w:line="241" w:lineRule="auto"/>
        <w:tabs>
          <w:tab w:leader="none" w:pos="153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consisting exclusively of cash, excluding any cash portion of distributions referred to immediately above or cash distributed upon a merger or consolidation as discussed below, to all holders of our common stock;</w:t>
      </w:r>
    </w:p>
    <w:p>
      <w:pPr>
        <w:spacing w:after="0" w:line="189" w:lineRule="exact"/>
        <w:rPr>
          <w:rFonts w:ascii="Courier New" w:cs="Courier New" w:eastAsia="Courier New" w:hAnsi="Courier New"/>
          <w:sz w:val="16"/>
          <w:szCs w:val="16"/>
          <w:color w:val="auto"/>
        </w:rPr>
      </w:pPr>
    </w:p>
    <w:p>
      <w:pPr>
        <w:ind w:left="580" w:right="2979" w:firstLine="562"/>
        <w:spacing w:after="0" w:line="239" w:lineRule="auto"/>
        <w:tabs>
          <w:tab w:leader="none" w:pos="16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our common stock pursuant to a tender offer made by us or any of our subsidiaries.</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We will not be required to make any adjustment to the conversion rate unless the adjustment would require a change of at least 1.0% of the conversion rate. However, we will carry forward and take into account any adjustments that are less than 1.0% of the conversion rate in any subsequent adjustment that would otherwise be required to be made.</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On February 23, 2004, our majority owned subsidiary LP Innovations, Inc. ("LPI") filed a registration statement on Form 10 with the SEC in connection with a proposed pro rata distribution of our 80% ownership in LPI to our existing shareholders. Under the proposed plan of distribution, each shareholder of our common stock will receive one share of LPI common stock for every 100 shares of our common stock owned on the date of distribution. Any such distribution would be subject to the conversion rate adjustment provisions of paragraph (iv) above. We do not believe that such a distribution would cause the conversion rate to increase by greater than 1.0%.</w:t>
      </w:r>
    </w:p>
    <w:p>
      <w:pPr>
        <w:spacing w:after="0" w:line="189" w:lineRule="exact"/>
        <w:rPr>
          <w:sz w:val="20"/>
          <w:szCs w:val="20"/>
          <w:color w:val="auto"/>
        </w:rPr>
      </w:pPr>
    </w:p>
    <w:p>
      <w:pPr>
        <w:ind w:right="3159" w:firstLine="572"/>
        <w:spacing w:after="0" w:line="271" w:lineRule="auto"/>
        <w:rPr>
          <w:sz w:val="20"/>
          <w:szCs w:val="20"/>
          <w:color w:val="auto"/>
        </w:rPr>
      </w:pPr>
      <w:r>
        <w:rPr>
          <w:rFonts w:ascii="Courier New" w:cs="Courier New" w:eastAsia="Courier New" w:hAnsi="Courier New"/>
          <w:sz w:val="15"/>
          <w:szCs w:val="15"/>
          <w:color w:val="auto"/>
        </w:rPr>
        <w:t>We will compute all adjustments to the conversion rate and will give notice by mail to holders of the registered notes of any adjustments.</w:t>
      </w:r>
    </w:p>
    <w:p>
      <w:pPr>
        <w:spacing w:after="0" w:line="166"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To the extent that we have a rights plan in effect upon conversion of the notes into common stock, you will receive, in addition to the common stock, the rights under the rights plan whether or not the rights have separated from the common stock at the time of conversion, subject to limited exceptions. In addition to the foregoing adjustments, we may increase the conversion rate to avoid or diminish income tax to holders of our common stock in connection with any event treated for United States federal income tax purposes as a dividend of stock or stock rights.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7" w:right="1440" w:bottom="1440" w:gutter="0" w:footer="0" w:header="0"/>
        </w:sectPr>
      </w:pPr>
    </w:p>
    <w:bookmarkStart w:id="25" w:name="page26"/>
    <w:bookmarkEnd w:id="25"/>
    <w:p>
      <w:pPr>
        <w:ind w:left="580"/>
        <w:spacing w:after="0"/>
        <w:rPr>
          <w:sz w:val="20"/>
          <w:szCs w:val="20"/>
          <w:color w:val="auto"/>
        </w:rPr>
      </w:pPr>
      <w:r>
        <w:rPr>
          <w:rFonts w:ascii="Courier New" w:cs="Courier New" w:eastAsia="Courier New" w:hAnsi="Courier New"/>
          <w:sz w:val="16"/>
          <w:szCs w:val="16"/>
          <w:color w:val="auto"/>
        </w:rPr>
        <w:t>In the event of:</w:t>
      </w:r>
    </w:p>
    <w:p>
      <w:pPr>
        <w:spacing w:after="0" w:line="186" w:lineRule="exact"/>
        <w:rPr>
          <w:sz w:val="20"/>
          <w:szCs w:val="20"/>
          <w:color w:val="auto"/>
        </w:rPr>
      </w:pPr>
    </w:p>
    <w:p>
      <w:pPr>
        <w:ind w:left="1140" w:hanging="570"/>
        <w:spacing w:after="0"/>
        <w:tabs>
          <w:tab w:leader="none" w:pos="11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reclassification of our common stock,</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consolidation, merger or combination involving us, or</w:t>
      </w:r>
    </w:p>
    <w:p>
      <w:pPr>
        <w:spacing w:after="0" w:line="188" w:lineRule="exact"/>
        <w:rPr>
          <w:rFonts w:ascii="Courier New" w:cs="Courier New" w:eastAsia="Courier New" w:hAnsi="Courier New"/>
          <w:sz w:val="16"/>
          <w:szCs w:val="16"/>
          <w:color w:val="auto"/>
        </w:rPr>
      </w:pPr>
    </w:p>
    <w:p>
      <w:pPr>
        <w:ind w:left="1140" w:right="3539" w:hanging="570"/>
        <w:spacing w:after="0" w:line="239" w:lineRule="auto"/>
        <w:tabs>
          <w:tab w:leader="none" w:pos="11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conveyance to another person or entity of all or substantially all of our property and assets,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which holders of our common stock would be entitled to receive stock, other securities, other property, assets or cash for their common stock, upon conversion of your notes you will be entitled to receive the same type of consideration that you would have been entitled to receive if you had converted your notes into our common stock immediately prior to any of these events. The preceding sentence will not apply to a merger or sale of all or substantially all of our assets that does not result in any reclassification, conversion, exchange or cancellation of our common stock.</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We may, from time to time, increase the conversion rate for any period of at least 20 days if our board of directors determines that the increase would be in our best interest. The board of directors' determination in this regard will be conclusive. We will give holders of the notes at least 15 days notice of any such increase in the conversion rate.</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You may, in some circumstances, be deemed to have received a distribution subject to U.S. federal income tax as a result of an adjustment or the non-occurrence of an adjustment to the conversion price. See "Certain United States Federal Income Tax Considerations--U.S.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notes are unsecured obligations and are subordinated in right of payment to all existing and future designated senior debt and, as a result, the payment of the principal of, any premium and interest, including additional interest, if any, on the notes, including amounts payable on any redemption or repurchase, are subordinated to the prior payment in full, in cash or other payment satisfactory to the holders of designated senior debt, of all of our designated senior debt to the extent provided in the indenture. The notes will also be effectively subordinated to the existing and future indebtedness or other liabilities, including trade payables, of our subsidiaries. As of January 31, 2004 we had approximately $3.6 million of outstanding designated senior debt for purposes of the indenture and the aggregate amount of indebtedness and other liabilities of our subsidiaries was approximately $122.8 million (excluding intercompany liabilities and liabilities of the type not required to be recorded on the balance sheet in accordance with GAAP.</w:t>
      </w:r>
    </w:p>
    <w:p>
      <w:pPr>
        <w:spacing w:after="0" w:line="19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"Designated senior debt" means (i) all indebtedness and obligations of Casual Male under its Third Amended and Restated Loan and Security Agreement dated as of May 14, 2002, as amended by the First Amendment thereto dated as of October 16, 2002 and by the Second Amendment thereto dated as of November 3, 2003, by and among us, Fleet Retail Finance, Inc., the lenders identified in the agreement, and Designs Apparel, Inc. and any other agreement between Casual Male and any bank, commercial finance lender or other institutional lender regularly engaged in the business of lending money, providing for unsubordinated revolving credit loans, term loans, receivables financing, factoring arrangements, capital leases or letters of credit including, without limitation, any amendments, supplements, deferrals, renewals, extensions, replacements, refinancings, restructurings, repayments or refundings thereof, or amendments, modifications or supplements thereto and any agreement providing therefore, whether by or with the same</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48" w:right="1440" w:bottom="1440" w:gutter="0" w:footer="0" w:header="0"/>
        </w:sectPr>
      </w:pPr>
    </w:p>
    <w:bookmarkStart w:id="26" w:name="page27"/>
    <w:bookmarkEnd w:id="26"/>
    <w:p>
      <w:pPr>
        <w:ind w:right="2599"/>
        <w:spacing w:after="0" w:line="242" w:lineRule="auto"/>
        <w:rPr>
          <w:sz w:val="20"/>
          <w:szCs w:val="20"/>
          <w:color w:val="auto"/>
        </w:rPr>
      </w:pPr>
      <w:r>
        <w:rPr>
          <w:rFonts w:ascii="Courier New" w:cs="Courier New" w:eastAsia="Courier New" w:hAnsi="Courier New"/>
          <w:sz w:val="16"/>
          <w:szCs w:val="16"/>
          <w:color w:val="auto"/>
        </w:rPr>
        <w:t>or any bank, commercial finance lender or other institutional lender regularly engaged in the business of lending money, and including related notes, guarantee and note agreements and other instruments and agreements executed in connection therewith, (ii) all indebtedness and obligations of Casual Male incurred to repurchase notes issued pursuant to this offering pursuant to the exercise by a holder of its repurchase option in the event of a fundamental change or on a purchase date for the notes, and any amendments, supplements, deferrals, renewals, extensions, replacements, refinancings, repayments or refundings thereof, or amendments or modifications or supplements thereto, and (iii) any other indebtedness and obligations of Casual Male in an aggregate amount not to exceed $20 million issued after November 12, 2003 to any person that is not an affiliate of Casual Male or any affiliate of any direct or indirect subsidiary of Casual Male, so long as such indebtedness or obligation explicitly states that it shall be "designated senior debt" for the purposes of the indenture governing the notes.</w:t>
      </w:r>
    </w:p>
    <w:p>
      <w:pPr>
        <w:spacing w:after="0" w:line="193"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We may not make any payment on account of principal, premium or interest, including additional interest, if any, on the notes, or redeem or repurchase the notes, if:</w:t>
      </w:r>
    </w:p>
    <w:p>
      <w:pPr>
        <w:spacing w:after="0" w:line="190" w:lineRule="exact"/>
        <w:rPr>
          <w:sz w:val="20"/>
          <w:szCs w:val="20"/>
          <w:color w:val="auto"/>
        </w:rPr>
      </w:pPr>
    </w:p>
    <w:p>
      <w:pPr>
        <w:ind w:left="1140" w:right="2599" w:hanging="570"/>
        <w:spacing w:after="0" w:line="241" w:lineRule="auto"/>
        <w:tabs>
          <w:tab w:leader="none" w:pos="11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default in our obligations to pay principal, premium, interest or other amounts on our designated senior debt, including a default under any redemption or repurchase obligation, and the default continues beyond any applicable grace period that we may have to make these payments; or</w:t>
      </w:r>
    </w:p>
    <w:p>
      <w:pPr>
        <w:spacing w:after="0" w:line="190"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default occurs and is continuing on any designated senior debt, and</w:t>
      </w:r>
    </w:p>
    <w:p>
      <w:pPr>
        <w:spacing w:after="0" w:line="189" w:lineRule="exact"/>
        <w:rPr>
          <w:rFonts w:ascii="Courier New" w:cs="Courier New" w:eastAsia="Courier New" w:hAnsi="Courier New"/>
          <w:sz w:val="16"/>
          <w:szCs w:val="16"/>
          <w:color w:val="auto"/>
        </w:rPr>
      </w:pPr>
    </w:p>
    <w:p>
      <w:pPr>
        <w:ind w:left="1720" w:right="2679" w:hanging="578"/>
        <w:spacing w:after="0" w:line="239" w:lineRule="auto"/>
        <w:tabs>
          <w:tab w:leader="none" w:pos="17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default permits the holders of the designated senior debt to accelerate its maturity; and</w:t>
      </w:r>
    </w:p>
    <w:p>
      <w:pPr>
        <w:spacing w:after="0" w:line="189" w:lineRule="exact"/>
        <w:rPr>
          <w:rFonts w:ascii="Courier New" w:cs="Courier New" w:eastAsia="Courier New" w:hAnsi="Courier New"/>
          <w:sz w:val="16"/>
          <w:szCs w:val="16"/>
          <w:color w:val="auto"/>
        </w:rPr>
      </w:pPr>
    </w:p>
    <w:p>
      <w:pPr>
        <w:ind w:left="1720" w:right="2599" w:hanging="578"/>
        <w:spacing w:after="0"/>
        <w:tabs>
          <w:tab w:leader="none" w:pos="17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received a payment blockage notice from us, the holder of such debt or such other person permitted to give such notice under the indenture.</w:t>
      </w:r>
    </w:p>
    <w:p>
      <w:pPr>
        <w:spacing w:after="0" w:line="190" w:lineRule="exact"/>
        <w:rPr>
          <w:sz w:val="20"/>
          <w:szCs w:val="20"/>
          <w:color w:val="auto"/>
        </w:rPr>
      </w:pPr>
    </w:p>
    <w:p>
      <w:pPr>
        <w:ind w:right="3259" w:firstLine="572"/>
        <w:spacing w:after="0"/>
        <w:rPr>
          <w:sz w:val="20"/>
          <w:szCs w:val="20"/>
          <w:color w:val="auto"/>
        </w:rPr>
      </w:pPr>
      <w:r>
        <w:rPr>
          <w:rFonts w:ascii="Courier New" w:cs="Courier New" w:eastAsia="Courier New" w:hAnsi="Courier New"/>
          <w:sz w:val="16"/>
          <w:szCs w:val="16"/>
          <w:color w:val="auto"/>
        </w:rPr>
        <w:t>If payments on the notes have been blocked by a payment default on designated senior debt, payments on the notes may resume when the payment default has been cured or waived or ceases to exist.</w:t>
      </w:r>
    </w:p>
    <w:p>
      <w:pPr>
        <w:spacing w:after="0" w:line="190" w:lineRule="exact"/>
        <w:rPr>
          <w:sz w:val="20"/>
          <w:szCs w:val="20"/>
          <w:color w:val="auto"/>
        </w:rPr>
      </w:pPr>
    </w:p>
    <w:p>
      <w:pPr>
        <w:jc w:val="both"/>
        <w:ind w:right="3059" w:firstLine="572"/>
        <w:spacing w:after="0" w:line="271" w:lineRule="auto"/>
        <w:rPr>
          <w:sz w:val="20"/>
          <w:szCs w:val="20"/>
          <w:color w:val="auto"/>
        </w:rPr>
      </w:pPr>
      <w:r>
        <w:rPr>
          <w:rFonts w:ascii="Courier New" w:cs="Courier New" w:eastAsia="Courier New" w:hAnsi="Courier New"/>
          <w:sz w:val="15"/>
          <w:szCs w:val="15"/>
          <w:color w:val="auto"/>
        </w:rPr>
        <w:t>If payments on the notes have been blocked by a nonpayment default on designated senior debt, payments on the notes may resume on the earlier of:</w:t>
      </w:r>
    </w:p>
    <w:p>
      <w:pPr>
        <w:spacing w:after="0" w:line="166" w:lineRule="exact"/>
        <w:rPr>
          <w:sz w:val="20"/>
          <w:szCs w:val="20"/>
          <w:color w:val="auto"/>
        </w:rPr>
      </w:pPr>
    </w:p>
    <w:p>
      <w:pPr>
        <w:ind w:left="1140" w:right="3059" w:hanging="570"/>
        <w:spacing w:after="0" w:line="239" w:lineRule="auto"/>
        <w:tabs>
          <w:tab w:leader="none" w:pos="11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the nonpayment default is cured or waived or ceases to exist; or</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179 days after the payment blockage notice is received.</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No nonpayment default that existed on the day a payment blockage notice was delivered to the trustee can be used as the basis of any subsequent payment blockage notice. In addition, once a holder of designated senior debt has blocked payment on the notes by giving a payment blockage notice, no new period of payment blockage can be commenced pursuant to a subsequent payment blockage notice unless and until both of the following are satisfied:</w:t>
      </w:r>
    </w:p>
    <w:p>
      <w:pPr>
        <w:spacing w:after="0" w:line="187" w:lineRule="exact"/>
        <w:rPr>
          <w:sz w:val="20"/>
          <w:szCs w:val="20"/>
          <w:color w:val="auto"/>
        </w:rPr>
      </w:pPr>
    </w:p>
    <w:p>
      <w:pPr>
        <w:ind w:left="1140" w:right="3359" w:hanging="570"/>
        <w:spacing w:after="0" w:line="239" w:lineRule="auto"/>
        <w:tabs>
          <w:tab w:leader="none" w:pos="11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365 days have elapsed since the initial effectiveness of the immediately prior payment blockage notice; and</w:t>
      </w:r>
    </w:p>
    <w:p>
      <w:pPr>
        <w:spacing w:after="0" w:line="189" w:lineRule="exact"/>
        <w:rPr>
          <w:rFonts w:ascii="Courier New" w:cs="Courier New" w:eastAsia="Courier New" w:hAnsi="Courier New"/>
          <w:sz w:val="16"/>
          <w:szCs w:val="16"/>
          <w:color w:val="auto"/>
        </w:rPr>
      </w:pPr>
    </w:p>
    <w:p>
      <w:pPr>
        <w:ind w:left="1140" w:right="2779" w:hanging="570"/>
        <w:spacing w:after="0"/>
        <w:tabs>
          <w:tab w:leader="none" w:pos="11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any premium and interest with respect to the notes that have come due have been paid in full in cash.</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7" w:right="1440" w:bottom="1440" w:gutter="0" w:footer="0" w:header="0"/>
        </w:sectPr>
      </w:pPr>
    </w:p>
    <w:bookmarkStart w:id="27" w:name="page28"/>
    <w:bookmarkEnd w:id="27"/>
    <w:p>
      <w:pPr>
        <w:jc w:val="both"/>
        <w:ind w:right="2879" w:firstLine="572"/>
        <w:spacing w:after="0"/>
        <w:rPr>
          <w:sz w:val="20"/>
          <w:szCs w:val="20"/>
          <w:color w:val="auto"/>
        </w:rPr>
      </w:pPr>
      <w:r>
        <w:rPr>
          <w:rFonts w:ascii="Courier New" w:cs="Courier New" w:eastAsia="Courier New" w:hAnsi="Courier New"/>
          <w:sz w:val="16"/>
          <w:szCs w:val="16"/>
          <w:color w:val="auto"/>
        </w:rPr>
        <w:t>In addition, all principal, premium, if any, interest and other amounts due on all designated senior debt must be paid in full in cash before you are entitled to receive any payment otherwise due upon:</w:t>
      </w:r>
    </w:p>
    <w:p>
      <w:pPr>
        <w:spacing w:after="0" w:line="190" w:lineRule="exact"/>
        <w:rPr>
          <w:sz w:val="20"/>
          <w:szCs w:val="20"/>
          <w:color w:val="auto"/>
        </w:rPr>
      </w:pPr>
    </w:p>
    <w:p>
      <w:pPr>
        <w:ind w:left="1140" w:right="2879" w:hanging="570"/>
        <w:spacing w:after="0" w:line="239" w:lineRule="auto"/>
        <w:tabs>
          <w:tab w:leader="none" w:pos="11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acceleration of the principal on the notes as a result of any event of default of the notes; or</w:t>
      </w:r>
    </w:p>
    <w:p>
      <w:pPr>
        <w:spacing w:after="0" w:line="189" w:lineRule="exact"/>
        <w:rPr>
          <w:rFonts w:ascii="Courier New" w:cs="Courier New" w:eastAsia="Courier New" w:hAnsi="Courier New"/>
          <w:sz w:val="16"/>
          <w:szCs w:val="16"/>
          <w:color w:val="auto"/>
        </w:rPr>
      </w:pPr>
    </w:p>
    <w:p>
      <w:pPr>
        <w:ind w:left="1140" w:right="2679" w:hanging="570"/>
        <w:spacing w:after="0" w:line="241" w:lineRule="auto"/>
        <w:tabs>
          <w:tab w:leader="none" w:pos="11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or distribution of our assets to creditors upon any dissolution, winding up, liquidation or reorganization, whether voluntary or involuntary, marshaling of assets, assignment for the benefit of creditors, or in bankruptcy, insolvency, receivership or other similar proceedings.</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In the event of insolvency, creditors who are holders of designated senior debt are likely to recover more, ratably, than you because of this subordination. The subordination may result in a reduction or elimination of payments on the notes to you. The subordination will not prevent the occurrence of any event of default under the indenture.</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either the trustee or any holder of notes receives any payment or distribution of our assets in contravention of these subordination provisions before all designated senior debt is paid in full, then such payment or distribution will be held by the recipient in trust for the benefit of holders of designated senior debt to the extent necessary to make payment in full of all senior debt remaining unpaid.</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notes are "structurally subordinated" to all indebtedness and other liabilities of our subsidiaries, including trade payables and lease obligations. This occurs because our right to receive assets of any of our subsidiaries upon its liquidation or reorganization, and your right to participate in those assets, are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Except as described in the next section, the indenture does not limit our ability or the ability of our subsidiaries to incur any liabilities including indebtedness. If we incur additional indebtedness, our ability to pay our obligations on the notes could be affected. We expect from time to time to incur additional indebtedness and other liabilities.</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We are obligated to pay reasonable compensation to the trustee. We will indemnify the trustee against any losses, liabilities or expenses incurred by it in connection with its duties. The trustee's claims for such payments is senior to the claims of the note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on Incurring Subordinated Indebtedness Senior to the Notes</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indenture will provide that we shall not, directly or indirectly, incur, or suffer to exist, any indebtedness that by its terms would expressly rank senior in right of payment to the notes and subordinate in right of payment to any of our designated senior indebtedness.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For purposes of the indenture for the notes, "incur" means, with respect to any indebtedness or other obligation to any person, to create, issue, incur (including by conversion, exchange or otherwise), assume, guarantee or otherwise become liable in respect of such indebtedness or other obligation or the recording, as required pursuant to GAAP or otherwise, of any such indebtedness or other obligation on the balance sheet of such person (and "incurrence," "incurred" and "incurring" shall have meanings correlative to the foregoing). Indebtedness of any person or company that we acquire or any of such person or company's subsidiaries existing at the time such person or company becomes our subsidiary (or is merged into or consolidated with or any subsidiary of us), whether or not such indebtedness was incurred in connection with, as a result of, or in contemplation of, such person or company becoming a subsidiary of us (or being merged into or</w:t>
      </w:r>
    </w:p>
    <w:p>
      <w:pPr>
        <w:spacing w:after="0" w:line="18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7" w:right="1440" w:bottom="1440" w:gutter="0" w:footer="0" w:header="0"/>
        </w:sectPr>
      </w:pPr>
    </w:p>
    <w:bookmarkStart w:id="28" w:name="page29"/>
    <w:bookmarkEnd w:id="28"/>
    <w:p>
      <w:pPr>
        <w:ind w:right="2779"/>
        <w:spacing w:after="0"/>
        <w:rPr>
          <w:sz w:val="20"/>
          <w:szCs w:val="20"/>
          <w:color w:val="auto"/>
        </w:rPr>
      </w:pPr>
      <w:r>
        <w:rPr>
          <w:rFonts w:ascii="Courier New" w:cs="Courier New" w:eastAsia="Courier New" w:hAnsi="Courier New"/>
          <w:sz w:val="16"/>
          <w:szCs w:val="16"/>
          <w:color w:val="auto"/>
        </w:rPr>
        <w:t>consolidated with us or any subsidiary), shall be deemed incurred at the time any such person or company becomes a subsidiary or merges into or consolidates with us or any of our subsidiaries.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 by Casual Male</w:t>
      </w:r>
    </w:p>
    <w:p>
      <w:pPr>
        <w:spacing w:after="0" w:line="188" w:lineRule="exact"/>
        <w:rPr>
          <w:sz w:val="20"/>
          <w:szCs w:val="20"/>
          <w:color w:val="auto"/>
        </w:rPr>
      </w:pPr>
    </w:p>
    <w:p>
      <w:pPr>
        <w:ind w:right="2599" w:firstLine="572"/>
        <w:spacing w:after="0" w:line="262" w:lineRule="auto"/>
        <w:rPr>
          <w:sz w:val="20"/>
          <w:szCs w:val="20"/>
          <w:color w:val="auto"/>
        </w:rPr>
      </w:pPr>
      <w:r>
        <w:rPr>
          <w:rFonts w:ascii="Courier New" w:cs="Courier New" w:eastAsia="Courier New" w:hAnsi="Courier New"/>
          <w:sz w:val="15"/>
          <w:szCs w:val="15"/>
          <w:color w:val="auto"/>
        </w:rPr>
        <w:t>On or after January 6, 2007, we may redeem the notes, in whole or in part, at the redemption price, which is 100% of the principal amount plus accrued and unpaid interest and additional interest, if any. If we elect to redeem all or part of the notes, we will give at least 20, but no more than 60, days notice to you. In each case, we will pay interest to, but excluding, the redemption date.</w:t>
      </w:r>
    </w:p>
    <w:p>
      <w:pPr>
        <w:spacing w:after="0" w:line="173"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we decide to redeem fewer than all of the notes, the trustee will select the notes to be redeemed by lot or, in its discretion, on a pro rata basis. If any note is to be redeemed in part only, a new note in principal amount equal to the unredeemed principal portion will be issued. If a portion of your notes is selected for partial redemption and you convert a portion of your notes, the converted portion will be deemed to be part of the portion selected for redemption.</w:t>
      </w:r>
    </w:p>
    <w:p>
      <w:pPr>
        <w:spacing w:after="0" w:line="188"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No sinking fund is provided for the notes, which means that the indenture does not require us to redeem or retire the notes periodically.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at Option of the Holder</w:t>
      </w:r>
    </w:p>
    <w:p>
      <w:pPr>
        <w:spacing w:after="0" w:line="188"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You have the right to require us to purchase your notes for cash or by delivery of shares of our common stock, at our option, on January 1, 2009, January 1, 2014 or January 1, 2019. We will be required to purchase any outstanding note for which you deliver a written purchase notice to the paying agent. This notice must be delivered during the period beginning at any time from the opening of business on the date that is 20 business days prior to the purchase date until the close of business on the purchase date. If a purchase notice is given and withdrawn during that period, we will not be obligated to purchase the notes listed on the notice. Our repurchase obligation will be subject to certain additional conditions.</w:t>
      </w:r>
    </w:p>
    <w:p>
      <w:pPr>
        <w:spacing w:after="0" w:line="190" w:lineRule="exact"/>
        <w:rPr>
          <w:sz w:val="20"/>
          <w:szCs w:val="20"/>
          <w:color w:val="auto"/>
        </w:rPr>
      </w:pPr>
    </w:p>
    <w:p>
      <w:pPr>
        <w:ind w:right="2879" w:firstLine="572"/>
        <w:spacing w:after="0"/>
        <w:rPr>
          <w:sz w:val="20"/>
          <w:szCs w:val="20"/>
          <w:color w:val="auto"/>
        </w:rPr>
      </w:pPr>
      <w:r>
        <w:rPr>
          <w:rFonts w:ascii="Courier New" w:cs="Courier New" w:eastAsia="Courier New" w:hAnsi="Courier New"/>
          <w:sz w:val="16"/>
          <w:szCs w:val="16"/>
          <w:color w:val="auto"/>
        </w:rPr>
        <w:t>The purchase price payable for a note will be equal to 100% of its principal amount plus accrued and unpaid interest and additional interest, if any, to, but excluding, the repurchase date.</w:t>
      </w:r>
    </w:p>
    <w:p>
      <w:pPr>
        <w:spacing w:after="0" w:line="190"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Your right to require us to purchase notes is exercisable by delivering a written purchase notice to the paying agent within 20 business days of the repurchase date. The paying agent initially is the trustee.</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purchase notice must state:</w:t>
      </w:r>
    </w:p>
    <w:p>
      <w:pPr>
        <w:spacing w:after="0" w:line="188" w:lineRule="exact"/>
        <w:rPr>
          <w:sz w:val="20"/>
          <w:szCs w:val="20"/>
          <w:color w:val="auto"/>
        </w:rPr>
      </w:pPr>
    </w:p>
    <w:p>
      <w:pPr>
        <w:ind w:left="1140" w:right="2599" w:hanging="570"/>
        <w:spacing w:after="0"/>
        <w:tabs>
          <w:tab w:leader="none" w:pos="11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certificated notes have been issued, the note certificate numbers (or, if your notes are not certificated, your purchase notice must comply with appropriate DTC procedures);</w:t>
      </w:r>
    </w:p>
    <w:p>
      <w:pPr>
        <w:spacing w:after="0" w:line="189"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principal amount of notes to be purchased, which must be in $1,000 multiples; and</w:t>
      </w:r>
    </w:p>
    <w:p>
      <w:pPr>
        <w:spacing w:after="0" w:line="189" w:lineRule="exact"/>
        <w:rPr>
          <w:rFonts w:ascii="Courier New" w:cs="Courier New" w:eastAsia="Courier New" w:hAnsi="Courier New"/>
          <w:sz w:val="16"/>
          <w:szCs w:val="16"/>
          <w:color w:val="auto"/>
        </w:rPr>
      </w:pPr>
    </w:p>
    <w:p>
      <w:pPr>
        <w:ind w:left="1140" w:right="3539" w:hanging="570"/>
        <w:spacing w:after="0" w:line="239" w:lineRule="auto"/>
        <w:tabs>
          <w:tab w:leader="none" w:pos="11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notes are to be repurchased by us pursuant to the applicable provisions of the notes and the indenture.</w:t>
      </w:r>
    </w:p>
    <w:p>
      <w:pPr>
        <w:spacing w:after="0" w:line="189" w:lineRule="exact"/>
        <w:rPr>
          <w:sz w:val="20"/>
          <w:szCs w:val="20"/>
          <w:color w:val="auto"/>
        </w:rPr>
      </w:pPr>
    </w:p>
    <w:p>
      <w:pPr>
        <w:ind w:right="2779" w:firstLine="572"/>
        <w:spacing w:after="0"/>
        <w:rPr>
          <w:sz w:val="20"/>
          <w:szCs w:val="20"/>
          <w:color w:val="auto"/>
        </w:rPr>
      </w:pPr>
      <w:r>
        <w:rPr>
          <w:rFonts w:ascii="Courier New" w:cs="Courier New" w:eastAsia="Courier New" w:hAnsi="Courier New"/>
          <w:sz w:val="16"/>
          <w:szCs w:val="16"/>
          <w:color w:val="auto"/>
        </w:rPr>
        <w:t>You may withdraw any written repurchase notice by delivering a written notice of withdrawal to the paying agent prior to the close of business on the repurchase date. The withdrawal notice must state: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7" w:right="1440" w:bottom="1440" w:gutter="0" w:footer="0" w:header="0"/>
        </w:sectPr>
      </w:pPr>
    </w:p>
    <w:bookmarkStart w:id="29" w:name="page30"/>
    <w:bookmarkEnd w:id="29"/>
    <w:p>
      <w:pPr>
        <w:ind w:left="1140" w:hanging="570"/>
        <w:spacing w:after="0"/>
        <w:tabs>
          <w:tab w:leader="none" w:pos="11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withdrawn notes;</w:t>
      </w:r>
    </w:p>
    <w:p>
      <w:pPr>
        <w:spacing w:after="0" w:line="188" w:lineRule="exact"/>
        <w:rPr>
          <w:rFonts w:ascii="Courier New" w:cs="Courier New" w:eastAsia="Courier New" w:hAnsi="Courier New"/>
          <w:sz w:val="16"/>
          <w:szCs w:val="16"/>
          <w:color w:val="auto"/>
        </w:rPr>
      </w:pPr>
    </w:p>
    <w:p>
      <w:pPr>
        <w:ind w:left="1140" w:right="2679" w:hanging="570"/>
        <w:spacing w:after="0" w:line="265"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certificated notes have been issued, the certificate numbers of the withdrawn notes (or, if your notes are not certificated, your withdrawal notice must comply with appropriate DTC procedures); and</w:t>
      </w:r>
    </w:p>
    <w:p>
      <w:pPr>
        <w:spacing w:after="0" w:line="170" w:lineRule="exact"/>
        <w:rPr>
          <w:rFonts w:ascii="Courier New" w:cs="Courier New" w:eastAsia="Courier New" w:hAnsi="Courier New"/>
          <w:sz w:val="15"/>
          <w:szCs w:val="15"/>
          <w:color w:val="auto"/>
        </w:rPr>
      </w:pPr>
    </w:p>
    <w:p>
      <w:pPr>
        <w:ind w:left="1140" w:right="2679" w:hanging="570"/>
        <w:spacing w:after="0" w:line="239" w:lineRule="auto"/>
        <w:tabs>
          <w:tab w:leader="none" w:pos="11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if any, which remains subject to the purchase notice.</w:t>
      </w:r>
    </w:p>
    <w:p>
      <w:pPr>
        <w:spacing w:after="0" w:line="189" w:lineRule="exact"/>
        <w:rPr>
          <w:sz w:val="20"/>
          <w:szCs w:val="20"/>
          <w:color w:val="auto"/>
        </w:rPr>
      </w:pPr>
    </w:p>
    <w:p>
      <w:pPr>
        <w:ind w:right="2679" w:firstLine="572"/>
        <w:spacing w:after="0" w:line="262" w:lineRule="auto"/>
        <w:rPr>
          <w:sz w:val="20"/>
          <w:szCs w:val="20"/>
          <w:color w:val="auto"/>
        </w:rPr>
      </w:pPr>
      <w:r>
        <w:rPr>
          <w:rFonts w:ascii="Courier New" w:cs="Courier New" w:eastAsia="Courier New" w:hAnsi="Courier New"/>
          <w:sz w:val="15"/>
          <w:szCs w:val="15"/>
          <w:color w:val="auto"/>
        </w:rPr>
        <w:t>We must give notice of an upcoming purchase date to all noteholders not less than 20 business days prior to the purchase date at their addresses shown in the register of the registrar. We will also give notice to beneficial owners as required by applicable law. This notice will state, among other things, the procedures that holders must follow to require us to repurchase their notes.</w:t>
      </w:r>
    </w:p>
    <w:p>
      <w:pPr>
        <w:spacing w:after="0" w:line="173"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Payment of the purchase price for a note for which a 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purchase notice. Payment of the purchase price for the note will be made promptly following the later of the purchase date and the time of book-entry transfer or delivery of the note. If the paying agent holds money or securities sufficient to pay the repurchase price of the note on the business day following the repurchase date, then, on and after the date:</w:t>
      </w:r>
    </w:p>
    <w:p>
      <w:pPr>
        <w:spacing w:after="0" w:line="187" w:lineRule="exact"/>
        <w:rPr>
          <w:sz w:val="20"/>
          <w:szCs w:val="20"/>
          <w:color w:val="auto"/>
        </w:rPr>
      </w:pPr>
    </w:p>
    <w:p>
      <w:pPr>
        <w:ind w:left="1140" w:hanging="570"/>
        <w:spacing w:after="0"/>
        <w:tabs>
          <w:tab w:leader="none" w:pos="11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 will cease to be outstanding;</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will cease to accrue; and</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rights of the holder will terminate.</w:t>
      </w:r>
    </w:p>
    <w:p>
      <w:pPr>
        <w:spacing w:after="0" w:line="188"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This will be the case whether or not book-entry transfer of the note has been made or the note has been delivered to the paying agent, and all other rights of the noteholder will terminate, other than the right to receive the purchase price upon delivery of the note.</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Our ability to purchase notes with cash may be limited by the terms of our then-existing borrowing agreements. Even though we become obligated to purchase any outstanding notes on a repurchase date, we may not have sufficient funds to pay the repurchase price on that repurchase date. See "Risk Factors--We may be unable to repay, repurchase or redeem the notes."</w:t>
      </w:r>
    </w:p>
    <w:p>
      <w:pPr>
        <w:spacing w:after="0" w:line="190"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We will comply with any applicable provisions of Rule 13e-4 and any other tender offer rules under the Securities Exchange Act of 1934.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Option of Holders Upon a Fundamental Change</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If a "fundamental change" as defined below occurs, you will have the right, at your option, to require us to repurchase all of your notes not previously converted or called for redemption, or any portion of the principal amount thereof, that is equal to $1,000 or an integral multiple of $1,000. The price we are required to pay is 100% of the principal amount of the notes to be repurchased, together with accrued but unpaid interest and additional interest, if any, to, but excluding, the repurchase date.</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Within 30 calendar days after the occurrence of a fundamental change, we are obligated to give to you notice of the fundamental change and of the repurchase right arising as a result of the fundamental change. We must also deliver a copy of this notice to the trustee. To exercise the repurchase right, you must deliver on or before the close of business on the business day prior to the repurchase date written notice to</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4" w:right="1440" w:bottom="1440" w:gutter="0" w:footer="0" w:header="0"/>
        </w:sectPr>
      </w:pPr>
    </w:p>
    <w:bookmarkStart w:id="30" w:name="page31"/>
    <w:bookmarkEnd w:id="30"/>
    <w:p>
      <w:pPr>
        <w:ind w:right="2679"/>
        <w:spacing w:after="0" w:line="241" w:lineRule="auto"/>
        <w:rPr>
          <w:sz w:val="20"/>
          <w:szCs w:val="20"/>
          <w:color w:val="auto"/>
        </w:rPr>
      </w:pPr>
      <w:r>
        <w:rPr>
          <w:rFonts w:ascii="Courier New" w:cs="Courier New" w:eastAsia="Courier New" w:hAnsi="Courier New"/>
          <w:sz w:val="16"/>
          <w:szCs w:val="16"/>
          <w:color w:val="auto"/>
        </w:rPr>
        <w:t>the trustee of your exercise of your repurchase right, together with the notes with respect to which the right is being exercised. We are required to repurchase the notes on the date that is 30 business days after the date of our notice.</w:t>
      </w:r>
    </w:p>
    <w:p>
      <w:pPr>
        <w:spacing w:after="0" w:line="189"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A fundamental change will be deemed to have occurred, at any time after the notes are originally issued if any of the following occurs:</w:t>
      </w:r>
    </w:p>
    <w:p>
      <w:pPr>
        <w:spacing w:after="0" w:line="189" w:lineRule="exact"/>
        <w:rPr>
          <w:sz w:val="20"/>
          <w:szCs w:val="20"/>
          <w:color w:val="auto"/>
        </w:rPr>
      </w:pPr>
    </w:p>
    <w:p>
      <w:pPr>
        <w:ind w:left="1140" w:right="2599" w:hanging="570"/>
        <w:spacing w:after="0" w:line="242" w:lineRule="auto"/>
        <w:tabs>
          <w:tab w:leader="none" w:pos="11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such period constituted the board of directors of Casual Male (together with any new directors whose election to the board of directors, or whose nomination for election by the stockholders of Casual Male, was approved by a vote of a majority of the directors then still in office who were either directors at the beginning of such period or whose election or nomination for election was previously so approved) cease for any reason to constitute a majority of the board of directors then in office; or</w:t>
      </w:r>
    </w:p>
    <w:p>
      <w:pPr>
        <w:spacing w:after="0" w:line="189" w:lineRule="exact"/>
        <w:rPr>
          <w:rFonts w:ascii="Courier New" w:cs="Courier New" w:eastAsia="Courier New" w:hAnsi="Courier New"/>
          <w:sz w:val="16"/>
          <w:szCs w:val="16"/>
          <w:color w:val="auto"/>
        </w:rPr>
      </w:pPr>
    </w:p>
    <w:p>
      <w:pPr>
        <w:ind w:left="1140" w:right="2599" w:hanging="570"/>
        <w:spacing w:after="0" w:line="242" w:lineRule="auto"/>
        <w:tabs>
          <w:tab w:leader="none" w:pos="11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acquires beneficial ownership, directly or indirectly, through a purchase, merger or other acquisition transaction or series of transactions, of shares of our capital stock entitling the person to exercise more than 50% of the total voting power of all shares of our capital stock entitled to vote generally in elections of directors, other than an acquisition by us, any of our subsidiaries or any of our employee benefit plans; or</w:t>
      </w:r>
    </w:p>
    <w:p>
      <w:pPr>
        <w:spacing w:after="0" w:line="187" w:lineRule="exact"/>
        <w:rPr>
          <w:rFonts w:ascii="Courier New" w:cs="Courier New" w:eastAsia="Courier New" w:hAnsi="Courier New"/>
          <w:sz w:val="16"/>
          <w:szCs w:val="16"/>
          <w:color w:val="auto"/>
        </w:rPr>
      </w:pPr>
    </w:p>
    <w:p>
      <w:pPr>
        <w:ind w:left="1140" w:right="2599" w:hanging="570"/>
        <w:spacing w:after="0"/>
        <w:tabs>
          <w:tab w:leader="none" w:pos="11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merge or consolidate with or into any other person, any merger of another person into us or we convey, sell, transfer or lease all or substantially all of our assets to another person, other than:</w:t>
      </w:r>
    </w:p>
    <w:p>
      <w:pPr>
        <w:spacing w:after="0" w:line="189" w:lineRule="exact"/>
        <w:rPr>
          <w:rFonts w:ascii="Courier New" w:cs="Courier New" w:eastAsia="Courier New" w:hAnsi="Courier New"/>
          <w:sz w:val="16"/>
          <w:szCs w:val="16"/>
          <w:color w:val="auto"/>
        </w:rPr>
      </w:pPr>
    </w:p>
    <w:p>
      <w:pPr>
        <w:ind w:left="1720" w:right="2599" w:hanging="578"/>
        <w:spacing w:after="0" w:line="242" w:lineRule="auto"/>
        <w:tabs>
          <w:tab w:leader="none" w:pos="17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involving a merger or consolidation that does not result in any reclassification, conversion, exchange or cancellation of outstanding shares of our capital stock and pursuant to which the holders of more than 50% of the total voting power of all shares of our capital stock entitled to vote generally in elections of directors immediately prior to such transaction have the entitlement to exercise, directly or indirectly, more than 50% of the total voting power of all shares of capital stock entitled to vote generally in the election of directors of the continuing or surviving corporation in generally the same proportion immediately after such transaction; or</w:t>
      </w:r>
    </w:p>
    <w:p>
      <w:pPr>
        <w:spacing w:after="0" w:line="191" w:lineRule="exact"/>
        <w:rPr>
          <w:rFonts w:ascii="Courier New" w:cs="Courier New" w:eastAsia="Courier New" w:hAnsi="Courier New"/>
          <w:sz w:val="16"/>
          <w:szCs w:val="16"/>
          <w:color w:val="auto"/>
        </w:rPr>
      </w:pPr>
    </w:p>
    <w:p>
      <w:pPr>
        <w:ind w:left="1720" w:right="2599" w:hanging="578"/>
        <w:spacing w:after="0" w:line="241" w:lineRule="auto"/>
        <w:tabs>
          <w:tab w:leader="none" w:pos="17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effected solely to change our jurisdiction of incorporation and results in a reclassification, conversion or exchange of outstanding shares of our common stock into solely shares of common stock.</w:t>
      </w:r>
    </w:p>
    <w:p>
      <w:pPr>
        <w:spacing w:after="0" w:line="189" w:lineRule="exact"/>
        <w:rPr>
          <w:rFonts w:ascii="Courier New" w:cs="Courier New" w:eastAsia="Courier New" w:hAnsi="Courier New"/>
          <w:sz w:val="16"/>
          <w:szCs w:val="16"/>
          <w:color w:val="auto"/>
        </w:rPr>
      </w:pPr>
    </w:p>
    <w:p>
      <w:pPr>
        <w:ind w:left="1140" w:right="2779" w:hanging="570"/>
        <w:spacing w:after="0" w:line="241" w:lineRule="auto"/>
        <w:tabs>
          <w:tab w:leader="none" w:pos="11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into which the notes are convertible ceases to be quoted on the Nasdaq National Market and is not listed on an established national securities exchange or automated over-the-counter trading market in the United States.</w:t>
      </w:r>
    </w:p>
    <w:p>
      <w:pPr>
        <w:spacing w:after="0" w:line="189"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However, a fundamental change shall not be deemed to have occurred if the closing price per share of our common stock for any five trading days within the period of 10 consecutive trading days ending immediately after the later of the fundamental change or the public announcement of, the fundamental change (in the case of a fundamental change relating to an acquisition of capital stock under the second bullet above) or the period of 10 consecutive trading days ending immediately before the fundamental change relating to a merger, consolidation or asset sale (in the case of a fundamental change relating to a merger, consolidation or asset sale under the third bullet above) shall equal or exceed 105% of the conversion price of the notes in effect on each such trading day.</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7" w:right="1440" w:bottom="1440" w:gutter="0" w:footer="0" w:header="0"/>
        </w:sectPr>
      </w:pPr>
    </w:p>
    <w:bookmarkStart w:id="31" w:name="page32"/>
    <w:bookmarkEnd w:id="31"/>
    <w:p>
      <w:pPr>
        <w:ind w:left="580"/>
        <w:spacing w:after="0"/>
        <w:rPr>
          <w:sz w:val="20"/>
          <w:szCs w:val="20"/>
          <w:color w:val="auto"/>
        </w:rPr>
      </w:pPr>
      <w:r>
        <w:rPr>
          <w:rFonts w:ascii="Courier New" w:cs="Courier New" w:eastAsia="Courier New" w:hAnsi="Courier New"/>
          <w:sz w:val="16"/>
          <w:szCs w:val="16"/>
          <w:color w:val="auto"/>
        </w:rPr>
        <w:t>For purposes of these provisions:</w:t>
      </w:r>
    </w:p>
    <w:p>
      <w:pPr>
        <w:spacing w:after="0" w:line="188" w:lineRule="exact"/>
        <w:rPr>
          <w:sz w:val="20"/>
          <w:szCs w:val="20"/>
          <w:color w:val="auto"/>
        </w:rPr>
      </w:pPr>
    </w:p>
    <w:p>
      <w:pPr>
        <w:ind w:left="1140" w:right="3159" w:hanging="570"/>
        <w:spacing w:after="0" w:line="239" w:lineRule="auto"/>
        <w:tabs>
          <w:tab w:leader="none" w:pos="11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 person is a "beneficial owner" will be determined in accordance with Rule 13d-3 under the Exchange Act; and</w:t>
      </w:r>
    </w:p>
    <w:p>
      <w:pPr>
        <w:spacing w:after="0" w:line="189"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includes any syndicate or group that would be deemed to be a "person" under Section 13(d)(3) of the Exchange Act.</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rules and regulations promulgated under the Exchange Act require the dissemination of prescribed information to security holders in the event of an issuer tender offer and may apply in the event that the repurchase option becomes available to you. We will comply with this rule to the extent it applies at that time.</w:t>
      </w:r>
    </w:p>
    <w:p>
      <w:pPr>
        <w:spacing w:after="0" w:line="190" w:lineRule="exact"/>
        <w:rPr>
          <w:sz w:val="20"/>
          <w:szCs w:val="20"/>
          <w:color w:val="auto"/>
        </w:rPr>
      </w:pPr>
    </w:p>
    <w:p>
      <w:pPr>
        <w:ind w:right="2679" w:firstLine="572"/>
        <w:spacing w:after="0" w:line="260" w:lineRule="auto"/>
        <w:rPr>
          <w:sz w:val="20"/>
          <w:szCs w:val="20"/>
          <w:color w:val="auto"/>
        </w:rPr>
      </w:pPr>
      <w:r>
        <w:rPr>
          <w:rFonts w:ascii="Courier New" w:cs="Courier New" w:eastAsia="Courier New" w:hAnsi="Courier New"/>
          <w:sz w:val="15"/>
          <w:szCs w:val="15"/>
          <w:color w:val="auto"/>
        </w:rPr>
        <w:t>The definition of fundamental change includes the conveyance, transfer, sale, lease or disposition of all or substantially all of our assets. There is no precise, established legal definition of the phrase "substantially all." The phrase will likely be interpreted under applicable state law and will depend on particular facts and circumstances. As a result of the uncertainty as to the definition of the phrase "substantially all," we cannot assure you how a court would interpret this phrase if you elect to exercise your rights following the occurrence of a transaction that you believe constitutes a transfer of "substantially all" of our assets. Accordingly, your ability to require us to repurchase your notes as a result of the conveyance, transfer, sale, lease or other disposition of less than all of our assets may be uncertain.</w:t>
      </w:r>
    </w:p>
    <w:p>
      <w:pPr>
        <w:spacing w:after="0" w:line="176" w:lineRule="exact"/>
        <w:rPr>
          <w:sz w:val="20"/>
          <w:szCs w:val="20"/>
          <w:color w:val="auto"/>
        </w:rPr>
      </w:pPr>
    </w:p>
    <w:p>
      <w:pPr>
        <w:jc w:val="both"/>
        <w:ind w:right="2599" w:firstLine="572"/>
        <w:spacing w:after="0"/>
        <w:rPr>
          <w:sz w:val="20"/>
          <w:szCs w:val="20"/>
          <w:color w:val="auto"/>
        </w:rPr>
      </w:pPr>
      <w:r>
        <w:rPr>
          <w:rFonts w:ascii="Courier New" w:cs="Courier New" w:eastAsia="Courier New" w:hAnsi="Courier New"/>
          <w:sz w:val="16"/>
          <w:szCs w:val="16"/>
          <w:color w:val="auto"/>
        </w:rPr>
        <w:t>The foregoing provisions would not necessarily provide you with protection if we are involved in a highly leveraged or other transaction that may adversely affect you.</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This fundamental change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fundamental change purchase feature is not part of a plan by management to adopt a series of anti-takeover provisions. Instead, the fundamental change purchase feature is a result of negotiations between us and the Initial Purchaser.</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Our ability to repurchase notes upon the occurrence of a fundamental change is subject to important limitations. Certain of our debt agreements may prohibit our redemption or repurchase of the notes. Moreover, a fundamental change could cause an event of default under, or be prohibited or limited by, the terms of our senior debt. As a result, unless we were to obtain a waiver from our other lenders, a repurchase of the notes could be prohibited under the subordination provisions of the indenture until the senior debt is paid in full. If holders elect to have us repurchase notes upon a fundamental change, we may not have the financial resources, or be able to arrange financing, to pay the repurchase price in cash for all the notes that might be delivered by holders of notes seeking to exercise the repurchase right. If we were to fail to repurchase the notes when required following a fundamental change, an event of default under the indenture would occur, whether or not such repurchase is permitted by the subordination provisions of the indenture. Any such default may, in turn, cause a default under our other debt. See "--Subordination."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Mergers and Sales of Assets by Casual Male</w:t>
      </w:r>
    </w:p>
    <w:p>
      <w:pPr>
        <w:spacing w:after="0" w:line="188"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We may not consolidate with or merge into any other entity or convey, transfer, sell or lease our properties and assets substantially as an entirety to any entity, and we may not permit any entity to consolidate with or merge into us or convey, transfer, sell or lease such entity's properties and assets substantially as an entirety to us unless: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5" w:right="1440" w:bottom="1440" w:gutter="0" w:footer="0" w:header="0"/>
        </w:sectPr>
      </w:pPr>
    </w:p>
    <w:bookmarkStart w:id="32" w:name="page33"/>
    <w:bookmarkEnd w:id="32"/>
    <w:p>
      <w:pPr>
        <w:ind w:left="1140" w:right="2599" w:hanging="570"/>
        <w:spacing w:after="0" w:line="242" w:lineRule="auto"/>
        <w:tabs>
          <w:tab w:leader="none" w:pos="11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entity formed by such consolidation or into or with which we are merged, or in the case of a merger pursuant to section 251(g) of the Delaware General Corporation Law, the resulting holding company so long as such holding company, after giving effect to such merger and related transactions, is a corporation and holds substantially all of our properties and assets either directly or in a manner not materially more adverse to the interests of the holders than the manner in which such properties and assets were held by us prior to such merger, or the entity to which our properties and assets are so conveyed, transferred, sold or leased shall be a corporation organized and existing under the laws of the United States, any state within the United States or the District of Columbia and, if we are not the surviving entity, the surviving entity assumes the payment of the principal of, premium, if any, and interest on the notes and the performance of our other covenants under the indenture;</w:t>
      </w:r>
    </w:p>
    <w:p>
      <w:pPr>
        <w:spacing w:after="0" w:line="193" w:lineRule="exact"/>
        <w:rPr>
          <w:rFonts w:ascii="Courier New" w:cs="Courier New" w:eastAsia="Courier New" w:hAnsi="Courier New"/>
          <w:sz w:val="16"/>
          <w:szCs w:val="16"/>
          <w:color w:val="auto"/>
        </w:rPr>
      </w:pPr>
    </w:p>
    <w:p>
      <w:pPr>
        <w:ind w:left="1140" w:right="2779" w:hanging="570"/>
        <w:spacing w:after="0" w:line="241" w:lineRule="auto"/>
        <w:tabs>
          <w:tab w:leader="none" w:pos="11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the transaction, no event of default, and no event that, after notice or lapse of time or both, would become an event of default, will have occurred and be continuing; and</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conditions specified in the indenture are met.</w:t>
      </w:r>
    </w:p>
    <w:p>
      <w:pPr>
        <w:spacing w:after="0" w:line="188"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When such a person assumes our obligations in such circumstances, subject to certain exceptions, we shall be discharged from all obligations under the notes and the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If any of the following occurs, it would constitute an event of default under the indenture:</w:t>
      </w:r>
    </w:p>
    <w:p>
      <w:pPr>
        <w:spacing w:after="0" w:line="189" w:lineRule="exact"/>
        <w:rPr>
          <w:sz w:val="20"/>
          <w:szCs w:val="20"/>
          <w:color w:val="auto"/>
        </w:rPr>
      </w:pPr>
    </w:p>
    <w:p>
      <w:pPr>
        <w:ind w:left="1140" w:right="2979" w:hanging="570"/>
        <w:spacing w:after="0" w:line="239" w:lineRule="auto"/>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pay principal of or premium, if any, on any note when due;</w:t>
      </w:r>
    </w:p>
    <w:p>
      <w:pPr>
        <w:spacing w:after="0" w:line="189" w:lineRule="exact"/>
        <w:rPr>
          <w:rFonts w:ascii="Courier New" w:cs="Courier New" w:eastAsia="Courier New" w:hAnsi="Courier New"/>
          <w:sz w:val="16"/>
          <w:szCs w:val="16"/>
          <w:color w:val="auto"/>
        </w:rPr>
      </w:pPr>
    </w:p>
    <w:p>
      <w:pPr>
        <w:ind w:left="1140" w:right="2779" w:hanging="570"/>
        <w:spacing w:after="0" w:line="271" w:lineRule="auto"/>
        <w:tabs>
          <w:tab w:leader="none" w:pos="11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interest, including any additional interest, if any, on any note when due, which failure continues for 30 days;</w:t>
      </w:r>
    </w:p>
    <w:p>
      <w:pPr>
        <w:spacing w:after="0" w:line="163" w:lineRule="exact"/>
        <w:rPr>
          <w:rFonts w:ascii="Courier New" w:cs="Courier New" w:eastAsia="Courier New" w:hAnsi="Courier New"/>
          <w:sz w:val="15"/>
          <w:szCs w:val="15"/>
          <w:color w:val="auto"/>
        </w:rPr>
      </w:pPr>
    </w:p>
    <w:p>
      <w:pPr>
        <w:ind w:left="1140" w:hanging="570"/>
        <w:spacing w:after="0"/>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provide timely notice of a fundamental change;</w:t>
      </w:r>
    </w:p>
    <w:p>
      <w:pPr>
        <w:spacing w:after="0" w:line="188" w:lineRule="exact"/>
        <w:rPr>
          <w:rFonts w:ascii="Courier New" w:cs="Courier New" w:eastAsia="Courier New" w:hAnsi="Courier New"/>
          <w:sz w:val="16"/>
          <w:szCs w:val="16"/>
          <w:color w:val="auto"/>
        </w:rPr>
      </w:pPr>
    </w:p>
    <w:p>
      <w:pPr>
        <w:ind w:left="1140" w:right="2879" w:hanging="570"/>
        <w:spacing w:after="0"/>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perform any other covenant in the indenture, which failure continues for 60 days following notice as provided in the indenture;</w:t>
      </w:r>
    </w:p>
    <w:p>
      <w:pPr>
        <w:spacing w:after="0" w:line="189" w:lineRule="exact"/>
        <w:rPr>
          <w:rFonts w:ascii="Courier New" w:cs="Courier New" w:eastAsia="Courier New" w:hAnsi="Courier New"/>
          <w:sz w:val="16"/>
          <w:szCs w:val="16"/>
          <w:color w:val="auto"/>
        </w:rPr>
      </w:pPr>
    </w:p>
    <w:p>
      <w:pPr>
        <w:ind w:left="1140" w:right="2599" w:hanging="570"/>
        <w:spacing w:after="0" w:line="242" w:lineRule="auto"/>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pay any indebtedness under any bonds, debentures, notes or other evidences of indebtedness for money borrowed, or any guarantee thereof, by us or any of our subsidiaries, in an aggregate principal amount in excess of $5 million when due either at its stated maturity or upon acceleration thereof, and such indebtedness is not discharged, or such acceleration is not rescinded or annulled, within a period of 30 days after notice as provided in the indenture; and</w:t>
      </w:r>
    </w:p>
    <w:p>
      <w:pPr>
        <w:spacing w:after="0" w:line="188"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events of bankruptcy, insolvency or reorganization involving us or any of our subsidiaries.</w:t>
      </w:r>
    </w:p>
    <w:p>
      <w:pPr>
        <w:spacing w:after="0" w:line="189"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7" w:right="1440" w:bottom="1440" w:gutter="0" w:footer="0" w:header="0"/>
        </w:sectPr>
      </w:pPr>
    </w:p>
    <w:bookmarkStart w:id="33" w:name="page34"/>
    <w:bookmarkEnd w:id="33"/>
    <w:p>
      <w:pPr>
        <w:ind w:right="2679"/>
        <w:spacing w:after="0" w:line="241" w:lineRule="auto"/>
        <w:rPr>
          <w:sz w:val="20"/>
          <w:szCs w:val="20"/>
          <w:color w:val="auto"/>
        </w:rPr>
      </w:pPr>
      <w:r>
        <w:rPr>
          <w:rFonts w:ascii="Courier New" w:cs="Courier New" w:eastAsia="Courier New" w:hAnsi="Courier New"/>
          <w:sz w:val="16"/>
          <w:szCs w:val="16"/>
          <w:color w:val="auto"/>
        </w:rPr>
        <w:t>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an event of default, other than an event of default arising from events of insolvency, bankruptcy or reorganization, occurs and is continuing, either the trustee or the holders of at least 25% in principal amount of the outstanding notes may accelerate the maturity of all notes. After such acceleration, but before a judgment or decree based on acceleration, the holders of a majority in aggregate principal amount of outstanding notes may, however,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 below.</w:t>
      </w:r>
    </w:p>
    <w:p>
      <w:pPr>
        <w:spacing w:after="0" w:line="193"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You will not have any right to institute any proceeding with respect to the indenture, or for any remedy under the indenture, unless:</w:t>
      </w:r>
    </w:p>
    <w:p>
      <w:pPr>
        <w:spacing w:after="0" w:line="189" w:lineRule="exact"/>
        <w:rPr>
          <w:sz w:val="20"/>
          <w:szCs w:val="20"/>
          <w:color w:val="auto"/>
        </w:rPr>
      </w:pPr>
    </w:p>
    <w:p>
      <w:pPr>
        <w:ind w:left="1140" w:right="3359" w:hanging="570"/>
        <w:spacing w:after="0" w:line="239" w:lineRule="auto"/>
        <w:tabs>
          <w:tab w:leader="none" w:pos="1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give the trustee written notice of a continuing event of default;</w:t>
      </w:r>
    </w:p>
    <w:p>
      <w:pPr>
        <w:spacing w:after="0" w:line="189" w:lineRule="exact"/>
        <w:rPr>
          <w:rFonts w:ascii="Courier New" w:cs="Courier New" w:eastAsia="Courier New" w:hAnsi="Courier New"/>
          <w:sz w:val="16"/>
          <w:szCs w:val="16"/>
          <w:color w:val="auto"/>
        </w:rPr>
      </w:pPr>
    </w:p>
    <w:p>
      <w:pPr>
        <w:ind w:left="1140" w:right="2779" w:hanging="570"/>
        <w:spacing w:after="0"/>
        <w:tabs>
          <w:tab w:leader="none" w:pos="1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aggregate principal amount of the outstanding notes have made written request and offered reasonable indemnity to the trustee to institute proceedings;</w:t>
      </w:r>
    </w:p>
    <w:p>
      <w:pPr>
        <w:spacing w:after="0" w:line="189" w:lineRule="exact"/>
        <w:rPr>
          <w:rFonts w:ascii="Courier New" w:cs="Courier New" w:eastAsia="Courier New" w:hAnsi="Courier New"/>
          <w:sz w:val="16"/>
          <w:szCs w:val="16"/>
          <w:color w:val="auto"/>
        </w:rPr>
      </w:pPr>
    </w:p>
    <w:p>
      <w:pPr>
        <w:ind w:left="1140" w:right="3059" w:hanging="570"/>
        <w:spacing w:after="0"/>
        <w:tabs>
          <w:tab w:leader="none" w:pos="1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not received from the holders of a majority in aggregate principal amount of the outstanding notes a direction inconsistent with the written request; and</w:t>
      </w:r>
    </w:p>
    <w:p>
      <w:pPr>
        <w:spacing w:after="0" w:line="189"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failed to institute such proceeding within 60 days of the written request.</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These limitations do not, however, apply to a suit instituted by you for the enforcement of payment of the principal of, premium, if any, or interest, including additional interest, on your note on or after the respective due dates expressed in your note or your right to convert your note in accordance with the indenture.</w:t>
      </w:r>
    </w:p>
    <w:p>
      <w:pPr>
        <w:spacing w:after="0" w:line="190" w:lineRule="exact"/>
        <w:rPr>
          <w:sz w:val="20"/>
          <w:szCs w:val="20"/>
          <w:color w:val="auto"/>
        </w:rPr>
      </w:pPr>
    </w:p>
    <w:p>
      <w:pPr>
        <w:ind w:right="2779" w:firstLine="572"/>
        <w:spacing w:after="0"/>
        <w:rPr>
          <w:sz w:val="20"/>
          <w:szCs w:val="20"/>
          <w:color w:val="auto"/>
        </w:rPr>
      </w:pPr>
      <w:r>
        <w:rPr>
          <w:rFonts w:ascii="Courier New" w:cs="Courier New" w:eastAsia="Courier New" w:hAnsi="Courier New"/>
          <w:sz w:val="16"/>
          <w:szCs w:val="16"/>
          <w:color w:val="auto"/>
        </w:rPr>
        <w:t>We are required to furnish to the trustee annually a statement as to the performance of certain of our obligations under the indenture and as to any default in such performance.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Modification and Waiver</w:t>
      </w:r>
    </w:p>
    <w:p>
      <w:pPr>
        <w:spacing w:after="0" w:line="188" w:lineRule="exact"/>
        <w:rPr>
          <w:sz w:val="20"/>
          <w:szCs w:val="20"/>
          <w:color w:val="auto"/>
        </w:rPr>
      </w:pPr>
    </w:p>
    <w:p>
      <w:pPr>
        <w:ind w:right="2599" w:firstLine="572"/>
        <w:spacing w:after="0" w:line="239" w:lineRule="auto"/>
        <w:rPr>
          <w:sz w:val="20"/>
          <w:szCs w:val="20"/>
          <w:color w:val="auto"/>
        </w:rPr>
      </w:pPr>
      <w:r>
        <w:rPr>
          <w:rFonts w:ascii="Courier New" w:cs="Courier New" w:eastAsia="Courier New" w:hAnsi="Courier New"/>
          <w:sz w:val="16"/>
          <w:szCs w:val="16"/>
          <w:color w:val="auto"/>
        </w:rPr>
        <w:t>The indenture contains provisions for convening meetings of the holders of notes to consider matters affecting their interests.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Certain limited modifications of the indenture may be made without the necessity of obtaining the consent of the holders of the notes. Other modifications and amendments of the indenture may be made, compliance by us with certain restrictive provisions of the indenture may be waived and any past defaults by us under the indenture (except a default in the payment of principal, premium, if any, or interest) may be waived, either:</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7" w:right="1440" w:bottom="1440" w:gutter="0" w:footer="0" w:header="0"/>
        </w:sectPr>
      </w:pPr>
    </w:p>
    <w:bookmarkStart w:id="34" w:name="page35"/>
    <w:bookmarkEnd w:id="34"/>
    <w:p>
      <w:pPr>
        <w:jc w:val="both"/>
        <w:ind w:left="1140" w:right="2679" w:hanging="570"/>
        <w:spacing w:after="0"/>
        <w:tabs>
          <w:tab w:leader="none" w:pos="11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written consent of the holders of not less than a majority in aggregate principal amount of the notes at the time outstanding; or</w:t>
      </w:r>
    </w:p>
    <w:p>
      <w:pPr>
        <w:spacing w:after="0" w:line="189" w:lineRule="exact"/>
        <w:rPr>
          <w:rFonts w:ascii="Courier New" w:cs="Courier New" w:eastAsia="Courier New" w:hAnsi="Courier New"/>
          <w:sz w:val="16"/>
          <w:szCs w:val="16"/>
          <w:color w:val="auto"/>
        </w:rPr>
      </w:pPr>
    </w:p>
    <w:p>
      <w:pPr>
        <w:ind w:left="1140" w:right="2679" w:hanging="570"/>
        <w:spacing w:after="0" w:line="241" w:lineRule="auto"/>
        <w:tabs>
          <w:tab w:leader="none" w:pos="11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adoption of a resolution, at a meeting of holders of the notes at which a quorum is present, by the holders of at least 66?% in aggregate principal amount of the notes represented at such meeting.</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The quorum at any meeting called to adopt a resolution will consist of persons holding or representing a majority in aggregate principal amount of the notes at the time outstanding and, at any reconvened meeting adjourned for lack of a quorum, 25% of such aggregate principal amount.</w:t>
      </w:r>
    </w:p>
    <w:p>
      <w:pPr>
        <w:spacing w:after="0" w:line="189" w:lineRule="exact"/>
        <w:rPr>
          <w:sz w:val="20"/>
          <w:szCs w:val="20"/>
          <w:color w:val="auto"/>
        </w:rPr>
      </w:pPr>
    </w:p>
    <w:p>
      <w:pPr>
        <w:ind w:right="2599" w:firstLine="572"/>
        <w:spacing w:after="0" w:line="271" w:lineRule="auto"/>
        <w:rPr>
          <w:sz w:val="20"/>
          <w:szCs w:val="20"/>
          <w:color w:val="auto"/>
        </w:rPr>
      </w:pPr>
      <w:r>
        <w:rPr>
          <w:rFonts w:ascii="Courier New" w:cs="Courier New" w:eastAsia="Courier New" w:hAnsi="Courier New"/>
          <w:sz w:val="15"/>
          <w:szCs w:val="15"/>
          <w:color w:val="auto"/>
        </w:rPr>
        <w:t>A modification or amendment, however, requires the consent of the holder of each outstanding note affected by such modification or amendment if it would:</w:t>
      </w:r>
    </w:p>
    <w:p>
      <w:pPr>
        <w:spacing w:after="0" w:line="166" w:lineRule="exact"/>
        <w:rPr>
          <w:sz w:val="20"/>
          <w:szCs w:val="20"/>
          <w:color w:val="auto"/>
        </w:rPr>
      </w:pPr>
    </w:p>
    <w:p>
      <w:pPr>
        <w:ind w:left="1140" w:right="277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interest on, a note;</w:t>
      </w:r>
    </w:p>
    <w:p>
      <w:pPr>
        <w:spacing w:after="0" w:line="189" w:lineRule="exact"/>
        <w:rPr>
          <w:rFonts w:ascii="Courier New" w:cs="Courier New" w:eastAsia="Courier New" w:hAnsi="Courier New"/>
          <w:sz w:val="16"/>
          <w:szCs w:val="16"/>
          <w:color w:val="auto"/>
        </w:rPr>
      </w:pPr>
    </w:p>
    <w:p>
      <w:pPr>
        <w:ind w:left="1140" w:right="325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or any premium or the rate of interest payable on, any note;</w:t>
      </w:r>
    </w:p>
    <w:p>
      <w:pPr>
        <w:spacing w:after="0" w:line="189"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payable upon a redemption or mandatory repurchase upon a fundamental change;</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payable upon acceleration of the maturity of the note;</w:t>
      </w:r>
    </w:p>
    <w:p>
      <w:pPr>
        <w:spacing w:after="0" w:line="189" w:lineRule="exact"/>
        <w:rPr>
          <w:rFonts w:ascii="Courier New" w:cs="Courier New" w:eastAsia="Courier New" w:hAnsi="Courier New"/>
          <w:sz w:val="16"/>
          <w:szCs w:val="16"/>
          <w:color w:val="auto"/>
        </w:rPr>
      </w:pPr>
    </w:p>
    <w:p>
      <w:pPr>
        <w:ind w:left="1140" w:right="315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provisions with respect to the repurchase rights of holders of notes in a manner adverse to the holders;</w:t>
      </w:r>
    </w:p>
    <w:p>
      <w:pPr>
        <w:spacing w:after="0" w:line="189" w:lineRule="exact"/>
        <w:rPr>
          <w:rFonts w:ascii="Courier New" w:cs="Courier New" w:eastAsia="Courier New" w:hAnsi="Courier New"/>
          <w:sz w:val="16"/>
          <w:szCs w:val="16"/>
          <w:color w:val="auto"/>
        </w:rPr>
      </w:pPr>
    </w:p>
    <w:p>
      <w:pPr>
        <w:ind w:left="1140" w:right="305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right to redeem the notes in a manner adverse to the holders;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place or currency of payment on a note;</w:t>
      </w:r>
    </w:p>
    <w:p>
      <w:pPr>
        <w:spacing w:after="0" w:line="188" w:lineRule="exact"/>
        <w:rPr>
          <w:rFonts w:ascii="Courier New" w:cs="Courier New" w:eastAsia="Courier New" w:hAnsi="Courier New"/>
          <w:sz w:val="16"/>
          <w:szCs w:val="16"/>
          <w:color w:val="auto"/>
        </w:rPr>
      </w:pPr>
    </w:p>
    <w:p>
      <w:pPr>
        <w:ind w:left="1140" w:right="325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to institute suit for the enforcement of any payment on any note;</w:t>
      </w:r>
    </w:p>
    <w:p>
      <w:pPr>
        <w:spacing w:after="0" w:line="189"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 to maintain an office or agency in the City of New York;</w:t>
      </w:r>
    </w:p>
    <w:p>
      <w:pPr>
        <w:spacing w:after="0" w:line="189" w:lineRule="exact"/>
        <w:rPr>
          <w:rFonts w:ascii="Courier New" w:cs="Courier New" w:eastAsia="Courier New" w:hAnsi="Courier New"/>
          <w:sz w:val="16"/>
          <w:szCs w:val="16"/>
          <w:color w:val="auto"/>
        </w:rPr>
      </w:pPr>
    </w:p>
    <w:p>
      <w:pPr>
        <w:ind w:left="1140" w:right="2879" w:hanging="570"/>
        <w:spacing w:after="0" w:line="271" w:lineRule="auto"/>
        <w:tabs>
          <w:tab w:leader="none" w:pos="11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the right to convert the notes other than a modification or amendment required by the terms of the indenture;</w:t>
      </w:r>
    </w:p>
    <w:p>
      <w:pPr>
        <w:spacing w:after="0" w:line="163" w:lineRule="exact"/>
        <w:rPr>
          <w:rFonts w:ascii="Courier New" w:cs="Courier New" w:eastAsia="Courier New" w:hAnsi="Courier New"/>
          <w:sz w:val="15"/>
          <w:szCs w:val="15"/>
          <w:color w:val="auto"/>
        </w:rPr>
      </w:pPr>
    </w:p>
    <w:p>
      <w:pPr>
        <w:ind w:left="1140" w:hanging="570"/>
        <w:spacing w:after="0"/>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 to deliver information required under Rule</w:t>
      </w:r>
    </w:p>
    <w:p>
      <w:pPr>
        <w:spacing w:after="0" w:line="4" w:lineRule="exact"/>
        <w:rPr>
          <w:rFonts w:ascii="Courier New" w:cs="Courier New" w:eastAsia="Courier New" w:hAnsi="Courier New"/>
          <w:sz w:val="16"/>
          <w:szCs w:val="16"/>
          <w:color w:val="auto"/>
        </w:rPr>
      </w:pPr>
    </w:p>
    <w:p>
      <w:pPr>
        <w:ind w:left="1140"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144A of the Securities Act to permit resales of the notes and common stock issued upon conversion of the notes if we cease to be subject to the reporting requirements under the Exchange Act;</w:t>
      </w:r>
    </w:p>
    <w:p>
      <w:pPr>
        <w:spacing w:after="0" w:line="189" w:lineRule="exact"/>
        <w:rPr>
          <w:rFonts w:ascii="Courier New" w:cs="Courier New" w:eastAsia="Courier New" w:hAnsi="Courier New"/>
          <w:sz w:val="16"/>
          <w:szCs w:val="16"/>
          <w:color w:val="auto"/>
        </w:rPr>
      </w:pPr>
    </w:p>
    <w:p>
      <w:pPr>
        <w:jc w:val="both"/>
        <w:ind w:left="1140" w:right="2879" w:hanging="570"/>
        <w:spacing w:after="0" w:line="271" w:lineRule="auto"/>
        <w:tabs>
          <w:tab w:leader="none" w:pos="11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above-stated percentage of the principal amount of the holders whose consent is needed to modify or amend the indenture;</w:t>
      </w:r>
    </w:p>
    <w:p>
      <w:pPr>
        <w:spacing w:after="0" w:line="166" w:lineRule="exact"/>
        <w:rPr>
          <w:rFonts w:ascii="Courier New" w:cs="Courier New" w:eastAsia="Courier New" w:hAnsi="Courier New"/>
          <w:sz w:val="15"/>
          <w:szCs w:val="15"/>
          <w:color w:val="auto"/>
        </w:rPr>
      </w:pPr>
    </w:p>
    <w:p>
      <w:pPr>
        <w:ind w:left="1140" w:right="2599" w:hanging="570"/>
        <w:spacing w:after="0"/>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of the principal amount of the holders whose consent is needed to waive compliance with certain provisions of the indenture or to waive certain defaults; or</w:t>
      </w:r>
    </w:p>
    <w:p>
      <w:pPr>
        <w:spacing w:after="0" w:line="189" w:lineRule="exact"/>
        <w:rPr>
          <w:rFonts w:ascii="Courier New" w:cs="Courier New" w:eastAsia="Courier New" w:hAnsi="Courier New"/>
          <w:sz w:val="16"/>
          <w:szCs w:val="16"/>
          <w:color w:val="auto"/>
        </w:rPr>
      </w:pPr>
    </w:p>
    <w:p>
      <w:pPr>
        <w:ind w:left="1140" w:right="2779" w:hanging="570"/>
        <w:spacing w:after="0"/>
        <w:tabs>
          <w:tab w:leader="none" w:pos="1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required for the adoption of a resolution or the quorum required at any meeting of holders of notes at which a resolution is adopted.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Payment</w:t>
      </w:r>
    </w:p>
    <w:p>
      <w:pPr>
        <w:spacing w:after="0" w:line="188"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entity in whose name the note, or any predecessor note, is registered at the close of business on June 15 or December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 Payments made to DTC as holder of one or more global notes will be made by wire transfer.</w:t>
      </w:r>
    </w:p>
    <w:p>
      <w:pPr>
        <w:spacing w:after="0" w:line="175"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w:t>
      </w:r>
    </w:p>
    <w:p>
      <w:pPr>
        <w:spacing w:after="0" w:line="189" w:lineRule="exact"/>
        <w:rPr>
          <w:sz w:val="20"/>
          <w:szCs w:val="20"/>
          <w:color w:val="auto"/>
        </w:rPr>
      </w:pPr>
    </w:p>
    <w:p>
      <w:pPr>
        <w:ind w:left="1140" w:right="2879" w:hanging="570"/>
        <w:spacing w:after="0" w:line="242" w:lineRule="auto"/>
        <w:tabs>
          <w:tab w:leader="none" w:pos="11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187"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 relating to the actions and practices of DTC or any of its participants or indirect participants.</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We will not be required to make any payment on the notes due on any day that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have initially appointed the trustee as paying agent and conversion agent. We may terminate the appointment of any paying agent or conversion agent and appoint additional or other paying agents and conversion agents. Until, however,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the City of New York for surrender of notes for conversion. Notice of any termination or appointment and of any change in the office through which any paying agent or conversion agent will act will be given in accordance with "-- Notices" below.</w:t>
      </w:r>
    </w:p>
    <w:p>
      <w:pPr>
        <w:spacing w:after="0" w:line="191"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All moneys deposited with the trustee or any paying agent, or then held by us, in trust for the payment of principal of, premium, if any, or interest on any notes that remain unclaimed at the end of two years after the payment has become due and payable will be repaid to us, and you will then look only to us for payment.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of Notes by Casual Male</w:t>
      </w:r>
    </w:p>
    <w:p>
      <w:pPr>
        <w:spacing w:after="0" w:line="188" w:lineRule="exact"/>
        <w:rPr>
          <w:sz w:val="20"/>
          <w:szCs w:val="20"/>
          <w:color w:val="auto"/>
        </w:rPr>
      </w:pPr>
    </w:p>
    <w:p>
      <w:pPr>
        <w:jc w:val="both"/>
        <w:ind w:right="2879" w:firstLine="572"/>
        <w:spacing w:after="0"/>
        <w:rPr>
          <w:sz w:val="20"/>
          <w:szCs w:val="20"/>
          <w:color w:val="auto"/>
        </w:rPr>
      </w:pPr>
      <w:r>
        <w:rPr>
          <w:rFonts w:ascii="Courier New" w:cs="Courier New" w:eastAsia="Courier New" w:hAnsi="Courier New"/>
          <w:sz w:val="16"/>
          <w:szCs w:val="16"/>
          <w:color w:val="auto"/>
        </w:rPr>
        <w:t>We may, to the extent permitted by applicable law, at any time purchase notes in the open market, by tender at any price or by private agreement. Any note that we purchase may, to the extent permitted by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65" w:right="1440" w:bottom="1440" w:gutter="0" w:footer="0" w:header="0"/>
        </w:sectPr>
      </w:pPr>
    </w:p>
    <w:bookmarkStart w:id="36" w:name="page37"/>
    <w:bookmarkEnd w:id="36"/>
    <w:p>
      <w:pPr>
        <w:ind w:right="2779"/>
        <w:spacing w:after="0"/>
        <w:rPr>
          <w:sz w:val="20"/>
          <w:szCs w:val="20"/>
          <w:color w:val="auto"/>
        </w:rPr>
      </w:pPr>
      <w:r>
        <w:rPr>
          <w:rFonts w:ascii="Courier New" w:cs="Courier New" w:eastAsia="Courier New" w:hAnsi="Courier New"/>
          <w:sz w:val="16"/>
          <w:szCs w:val="16"/>
          <w:color w:val="auto"/>
        </w:rPr>
        <w:t>applicable law and subject to restrictions contained in the purchase agreement with the Initial Purchaser, be re-issued or resold or may, at our option, be surrendered to the trustee for cancellation.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Surrender and Cancellation of Notes</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All notes surrendered for payment, redemption, registration of transfer or exchange or conversion shall, if surrendered to any person other than the trustee, be delivered to the trustee. All notes delivered to the trustee shall be cancelled promptly by the trustee. No notes shall be authenticated in exchange for any notes cancelled as provided in the indenture.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88" w:lineRule="exact"/>
        <w:rPr>
          <w:sz w:val="20"/>
          <w:szCs w:val="20"/>
          <w:color w:val="auto"/>
        </w:rPr>
      </w:pPr>
    </w:p>
    <w:p>
      <w:pPr>
        <w:jc w:val="both"/>
        <w:ind w:right="2979" w:firstLine="572"/>
        <w:spacing w:after="0"/>
        <w:rPr>
          <w:sz w:val="20"/>
          <w:szCs w:val="20"/>
          <w:color w:val="auto"/>
        </w:rPr>
      </w:pPr>
      <w:r>
        <w:rPr>
          <w:rFonts w:ascii="Courier New" w:cs="Courier New" w:eastAsia="Courier New" w:hAnsi="Courier New"/>
          <w:sz w:val="16"/>
          <w:szCs w:val="16"/>
          <w:color w:val="auto"/>
        </w:rPr>
        <w:t>Notice to holders of the registered notes will be given by mail to the addresses as they appear in the security register. Notices will be deemed to have been given on the date of such mailing.</w:t>
      </w:r>
    </w:p>
    <w:p>
      <w:pPr>
        <w:spacing w:after="0" w:line="190"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Notice of a redemption of notes will be given not less than 30 or more than 60 days prior to the redemption date and will specify the redemption date. A notice of redemption of the notes will be irrevocable.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Replacement of Notes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Stamp and Other Taxes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will pay all stamp and other duties, if any, that may be imposed by the United States or any political subdivision thereof or taxing authority thereof or therein with respect to the issuance of the notes or of shares of stock upon conversion of the notes. We will not be required to make any payment with respect to any other tax, assessment or governmental charge imposed by any government or any political subdivision thereof or taxing authority thereof or therein.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8" w:lineRule="exact"/>
        <w:rPr>
          <w:sz w:val="20"/>
          <w:szCs w:val="20"/>
          <w:color w:val="auto"/>
        </w:rPr>
      </w:pPr>
    </w:p>
    <w:p>
      <w:pPr>
        <w:ind w:right="2879" w:firstLine="572"/>
        <w:spacing w:after="0" w:line="242" w:lineRule="auto"/>
        <w:rPr>
          <w:sz w:val="20"/>
          <w:szCs w:val="20"/>
          <w:color w:val="auto"/>
        </w:rPr>
      </w:pPr>
      <w:r>
        <w:rPr>
          <w:rFonts w:ascii="Courier New" w:cs="Courier New" w:eastAsia="Courier New" w:hAnsi="Courier New"/>
          <w:sz w:val="16"/>
          <w:szCs w:val="16"/>
          <w:color w:val="auto"/>
        </w:rPr>
        <w:t>We entered into a registration rights agreement with the Initial Purchaser. The following summary of certain provisions of the registration rights agreement is not complete and is subject to, and qualified in its entirety by reference to, all the provisions of the registration rights agreement, a copy of which will be made available to beneficial owners of the notes upon request to us.</w:t>
      </w:r>
    </w:p>
    <w:p>
      <w:pPr>
        <w:spacing w:after="0" w:line="187" w:lineRule="exact"/>
        <w:rPr>
          <w:sz w:val="20"/>
          <w:szCs w:val="20"/>
          <w:color w:val="auto"/>
        </w:rPr>
      </w:pPr>
    </w:p>
    <w:p>
      <w:pPr>
        <w:ind w:right="2679" w:firstLine="572"/>
        <w:spacing w:after="0"/>
        <w:rPr>
          <w:sz w:val="20"/>
          <w:szCs w:val="20"/>
          <w:color w:val="auto"/>
        </w:rPr>
      </w:pPr>
      <w:r>
        <w:rPr>
          <w:rFonts w:ascii="Courier New" w:cs="Courier New" w:eastAsia="Courier New" w:hAnsi="Courier New"/>
          <w:sz w:val="16"/>
          <w:szCs w:val="16"/>
          <w:color w:val="auto"/>
        </w:rPr>
        <w:t>In the registration rights agreement we agreed, for the benefit of the holders of the notes and the shares of common stock issuable upon conversion of the notes (the "registrable securities"), that we will, at our expense:</w:t>
      </w:r>
    </w:p>
    <w:p>
      <w:pPr>
        <w:spacing w:after="0" w:line="190" w:lineRule="exact"/>
        <w:rPr>
          <w:sz w:val="20"/>
          <w:szCs w:val="20"/>
          <w:color w:val="auto"/>
        </w:rPr>
      </w:pPr>
    </w:p>
    <w:p>
      <w:pPr>
        <w:jc w:val="both"/>
        <w:ind w:left="1140" w:right="3159" w:hanging="570"/>
        <w:spacing w:after="0"/>
        <w:tabs>
          <w:tab w:leader="none" w:pos="11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SEC, within 90 days after the date the notes are issued, a shelf registration statement covering resales of the registrable securities;</w:t>
      </w:r>
    </w:p>
    <w:p>
      <w:pPr>
        <w:spacing w:after="0" w:line="189" w:lineRule="exact"/>
        <w:rPr>
          <w:rFonts w:ascii="Courier New" w:cs="Courier New" w:eastAsia="Courier New" w:hAnsi="Courier New"/>
          <w:sz w:val="16"/>
          <w:szCs w:val="16"/>
          <w:color w:val="auto"/>
        </w:rPr>
      </w:pPr>
    </w:p>
    <w:p>
      <w:pPr>
        <w:ind w:left="1140" w:right="2599" w:hanging="570"/>
        <w:spacing w:after="0"/>
        <w:tabs>
          <w:tab w:leader="none" w:pos="11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reasonable efforts to cause the shelf registration statement to be declared effective under the Securities Act within 180 days after the date the notes are originally issued;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7" w:right="1440" w:bottom="1440" w:gutter="0" w:footer="0" w:header="0"/>
        </w:sectPr>
      </w:pPr>
    </w:p>
    <w:bookmarkStart w:id="37" w:name="page38"/>
    <w:bookmarkEnd w:id="37"/>
    <w:p>
      <w:pPr>
        <w:ind w:left="1140" w:right="2599" w:hanging="570"/>
        <w:spacing w:after="0" w:line="241" w:lineRule="auto"/>
        <w:tabs>
          <w:tab w:leader="none" w:pos="11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reasonable efforts to keep effective the shelf registration statement until two years after the date the notes are issued or, if earlier, until the notes and the common stock issuable upon conversion of the notes are no longer deemed registrable securities within the meaning of the registration rights agreement.</w:t>
      </w:r>
    </w:p>
    <w:p>
      <w:pPr>
        <w:spacing w:after="0" w:line="190"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We will be permitted to suspend the use of the prospectus that is part of the shelf registration statement in connection with the sales of registrable securities during prescribed periods of time for business reasons, including acquisitions and divestitures of assets, pending corporate developments, public filings with the SEC and similar events. The periods during which we can suspend the use of the prospectus may not, however, exceed a total of 45 days in any</w:t>
      </w:r>
    </w:p>
    <w:p>
      <w:pPr>
        <w:ind w:right="2599"/>
        <w:spacing w:after="0" w:line="241" w:lineRule="auto"/>
        <w:rPr>
          <w:sz w:val="20"/>
          <w:szCs w:val="20"/>
          <w:color w:val="auto"/>
        </w:rPr>
      </w:pPr>
      <w:r>
        <w:rPr>
          <w:rFonts w:ascii="Courier New" w:cs="Courier New" w:eastAsia="Courier New" w:hAnsi="Courier New"/>
          <w:sz w:val="16"/>
          <w:szCs w:val="16"/>
          <w:color w:val="auto"/>
        </w:rPr>
        <w:t>90-day period or a total of 90 days in any 365-day period. We will provide to each holder of registrable securities copies of the prospectus that is a part of the shelf registration statement, notify each holder when the shelf registration statement has become effective and take certain other actions required to permit public resales of the registrable securities.</w:t>
      </w:r>
    </w:p>
    <w:p>
      <w:pPr>
        <w:spacing w:after="0" w:line="190"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We will pay predetermined additional interest if the shelf registration statement is not timely filed or made effective or if the prospectus is unavailable for periods in excess of those permitted above. The rates at which additional interest will accrue will be as follows:</w:t>
      </w:r>
    </w:p>
    <w:p>
      <w:pPr>
        <w:spacing w:after="0" w:line="189" w:lineRule="exact"/>
        <w:rPr>
          <w:sz w:val="20"/>
          <w:szCs w:val="20"/>
          <w:color w:val="auto"/>
        </w:rPr>
      </w:pPr>
    </w:p>
    <w:p>
      <w:pPr>
        <w:ind w:left="1140" w:right="2779" w:hanging="570"/>
        <w:spacing w:after="0" w:line="239" w:lineRule="auto"/>
        <w:tabs>
          <w:tab w:leader="none" w:pos="11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0.25% of the aggregate principal amount of the notes per annum to and including the 90th day after the registration default; and</w:t>
      </w:r>
    </w:p>
    <w:p>
      <w:pPr>
        <w:spacing w:after="0" w:line="189"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0.50% of the aggregate principal amount of the notes per annum from and after the 91st day after the registration default.</w:t>
      </w:r>
    </w:p>
    <w:p>
      <w:pPr>
        <w:spacing w:after="0" w:line="189"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In the event notes that are registrable securities are converted into shares of common stock that are restricted securities, any additional interest will accrue on such shares at the rates described above, applied to the conversion price at that time.</w:t>
      </w:r>
    </w:p>
    <w:p>
      <w:pPr>
        <w:spacing w:after="0" w:line="189" w:lineRule="exact"/>
        <w:rPr>
          <w:sz w:val="20"/>
          <w:szCs w:val="20"/>
          <w:color w:val="auto"/>
        </w:rPr>
      </w:pPr>
    </w:p>
    <w:p>
      <w:pPr>
        <w:ind w:right="2979" w:firstLine="572"/>
        <w:spacing w:after="0" w:line="239" w:lineRule="auto"/>
        <w:rPr>
          <w:sz w:val="20"/>
          <w:szCs w:val="20"/>
          <w:color w:val="auto"/>
        </w:rPr>
      </w:pPr>
      <w:r>
        <w:rPr>
          <w:rFonts w:ascii="Courier New" w:cs="Courier New" w:eastAsia="Courier New" w:hAnsi="Courier New"/>
          <w:sz w:val="16"/>
          <w:szCs w:val="16"/>
          <w:color w:val="auto"/>
        </w:rPr>
        <w:t>A holder who elects to sell any registrable securities pursuant to the shelf registration statement:</w:t>
      </w:r>
    </w:p>
    <w:p>
      <w:pPr>
        <w:spacing w:after="0" w:line="189" w:lineRule="exact"/>
        <w:rPr>
          <w:sz w:val="20"/>
          <w:szCs w:val="20"/>
          <w:color w:val="auto"/>
        </w:rPr>
      </w:pPr>
    </w:p>
    <w:p>
      <w:pPr>
        <w:ind w:left="1140" w:right="2779" w:hanging="570"/>
        <w:spacing w:after="0" w:line="239" w:lineRule="auto"/>
        <w:tabs>
          <w:tab w:leader="none" w:pos="11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required to be named as a selling security holder in the related prospectus;</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required to deliver a prospectus to purchasers;</w:t>
      </w:r>
    </w:p>
    <w:p>
      <w:pPr>
        <w:spacing w:after="0" w:line="188"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subject to certain civil liability provisions under the Securities Act in connection with those sales; and</w:t>
      </w:r>
    </w:p>
    <w:p>
      <w:pPr>
        <w:spacing w:after="0" w:line="189" w:lineRule="exact"/>
        <w:rPr>
          <w:rFonts w:ascii="Courier New" w:cs="Courier New" w:eastAsia="Courier New" w:hAnsi="Courier New"/>
          <w:sz w:val="16"/>
          <w:szCs w:val="16"/>
          <w:color w:val="auto"/>
        </w:rPr>
      </w:pPr>
    </w:p>
    <w:p>
      <w:pPr>
        <w:ind w:left="1140" w:right="2599" w:hanging="570"/>
        <w:spacing w:after="0"/>
        <w:tabs>
          <w:tab w:leader="none" w:pos="11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bound by the provisions of the registration rights agreement that apply to a holder making such an election, including certain indemnification provisions.</w:t>
      </w:r>
    </w:p>
    <w:p>
      <w:pPr>
        <w:spacing w:after="0" w:line="190"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We will give notice of our intention to file the shelf registration statement, which we refer to as a filing notice, to each of the holders of the notes in the same manner as we would give notice to holders of notes under the indenture. The filing notice will seek, among other things, a determination from each of such holders as to whether such holder elects to have its registrable securities registered for sale pursuant to the shelf registration statement. We will mail the notice and questionnaire to the holders of registrable securities not less than 30 calendar days prior to the time we intend in good faith to have the shelf registration statement declared effective.</w:t>
      </w:r>
    </w:p>
    <w:p>
      <w:pPr>
        <w:spacing w:after="0" w:line="17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 holder of registrable securities will be entitled: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67" w:right="1440" w:bottom="1440" w:gutter="0" w:footer="0" w:header="0"/>
        </w:sectPr>
      </w:pPr>
    </w:p>
    <w:bookmarkStart w:id="38" w:name="page39"/>
    <w:bookmarkEnd w:id="38"/>
    <w:p>
      <w:pPr>
        <w:ind w:left="1140" w:right="2779" w:hanging="570"/>
        <w:spacing w:after="0"/>
        <w:tabs>
          <w:tab w:leader="none" w:pos="1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named as a selling security holder in the shelf registration statement as of the date the shelf registration statement is declared effective; or</w:t>
      </w:r>
    </w:p>
    <w:p>
      <w:pPr>
        <w:spacing w:after="0" w:line="189" w:lineRule="exact"/>
        <w:rPr>
          <w:rFonts w:ascii="Courier New" w:cs="Courier New" w:eastAsia="Courier New" w:hAnsi="Courier New"/>
          <w:sz w:val="16"/>
          <w:szCs w:val="16"/>
          <w:color w:val="auto"/>
        </w:rPr>
      </w:pPr>
    </w:p>
    <w:p>
      <w:pPr>
        <w:ind w:left="1140" w:right="2879" w:hanging="570"/>
        <w:spacing w:after="0"/>
        <w:tabs>
          <w:tab w:leader="none" w:pos="11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the prospectus forming a part of the shelf registration statement for offers and resales of registrable securities at any time,</w:t>
      </w:r>
    </w:p>
    <w:p>
      <w:pPr>
        <w:spacing w:after="0" w:line="190"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unless such holder has returned a completed and signed notice in the form attached as Appendix A to this prospectus by the deadline for response set forth in the notice and questionnaire.</w:t>
      </w:r>
    </w:p>
    <w:p>
      <w:pPr>
        <w:spacing w:after="0" w:line="190"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Holders of registrable securities will, however, have at least 28 calendar days from the date on which the notice and questionnaire is first mailed to return a completed and signed notice and questionnaire to us.</w:t>
      </w:r>
    </w:p>
    <w:p>
      <w:pPr>
        <w:spacing w:after="0" w:line="190"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Beneficial owners of registrable securities who have not returned a notice and questionnaire by the questionnaire deadline described above may receive another notice and questionnaire from us upon request. Following our receipt of a completed and signed notice and questionnaire after the questionnaire deadline, we will use our reasonable efforts to file within ten business days any amendments or supplements to the shelf registration statement or supplements to the related prospectus as are necessary to allow holders to be named as selling securityholders in the prospectus contained in it. Notwithstanding any of the foregoing, we will not be required to file more than one post-effective amendment to the shelf registration statement during any 30-day period. We will pay the additional amounts described above to a holder if we fail to make a filing in the time required with respect to such holder or, in the event such filing is a post-effective amendment to the shelf registration statement that is required to be declared effective under the Securities Act, if such post-effective amendment is not declared effective within 45 days to the filing.</w:t>
      </w:r>
    </w:p>
    <w:p>
      <w:pPr>
        <w:spacing w:after="0" w:line="184" w:lineRule="exact"/>
        <w:rPr>
          <w:sz w:val="20"/>
          <w:szCs w:val="20"/>
          <w:color w:val="auto"/>
        </w:rPr>
      </w:pPr>
    </w:p>
    <w:p>
      <w:pPr>
        <w:jc w:val="both"/>
        <w:ind w:right="3059" w:firstLine="572"/>
        <w:spacing w:after="0"/>
        <w:rPr>
          <w:sz w:val="20"/>
          <w:szCs w:val="20"/>
          <w:color w:val="auto"/>
        </w:rPr>
      </w:pPr>
      <w:r>
        <w:rPr>
          <w:rFonts w:ascii="Courier New" w:cs="Courier New" w:eastAsia="Courier New" w:hAnsi="Courier New"/>
          <w:sz w:val="16"/>
          <w:szCs w:val="16"/>
          <w:color w:val="auto"/>
        </w:rPr>
        <w:t>We agreed in the registration rights agreement to use our reasonable efforts to cause the shares of common stock issuable upon conversion of the notes to be quoted on the Nasdaq National Market.</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will pay all registration expenses of the shelf registration, provide each holder that is selling registrable securities pursuant to the shelf registration statement copies of the related prospectus and take other actions as are required to permit, subject to the foregoing, unrestricted resales of the registrable securities. Selling securityholders remain responsible for all selling expenses (i.e., commissions and discounts).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indenture, the notes, and the registration rights agreement are</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governed by and construed in accordance with the laws of the state of New York.</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w:t>
      </w:r>
    </w:p>
    <w:p>
      <w:pPr>
        <w:spacing w:after="0" w:line="188" w:lineRule="exact"/>
        <w:rPr>
          <w:sz w:val="20"/>
          <w:szCs w:val="20"/>
          <w:color w:val="auto"/>
        </w:rPr>
      </w:pPr>
    </w:p>
    <w:p>
      <w:pPr>
        <w:ind w:right="2879" w:firstLine="572"/>
        <w:spacing w:after="0" w:line="242" w:lineRule="auto"/>
        <w:rPr>
          <w:sz w:val="20"/>
          <w:szCs w:val="20"/>
          <w:color w:val="auto"/>
        </w:rPr>
      </w:pPr>
      <w:r>
        <w:rPr>
          <w:rFonts w:ascii="Courier New" w:cs="Courier New" w:eastAsia="Courier New" w:hAnsi="Courier New"/>
          <w:sz w:val="16"/>
          <w:szCs w:val="16"/>
          <w:color w:val="auto"/>
        </w:rPr>
        <w:t>U.S. Bank National Association has agreed to serve as the trustee under the indenture. The trustee is permitted to deal with us and any of our affiliates with the same rights as if it were not trustee. Under the Trust Indenture Act, however, if the trustee acquires any conflicting interest and there exists a default with respect to the notes, the trustee must eliminate such conflict or resign.</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holders of a majority in principal amount of all outstanding notes will have the right to direct the time, method and place of conducting any proceeding for exercising any remedy or power available to the trustee. Any such direction may not, however, conflict with any law or the indenture, may not be unduly prejudicial to the rights of another holder or the trustee and may not involve the trustee in personal liability.</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7" w:right="1440" w:bottom="1440" w:gutter="0" w:footer="0" w:header="0"/>
        </w:sectPr>
      </w:pPr>
    </w:p>
    <w:bookmarkStart w:id="39" w:name="page40"/>
    <w:bookmarkEnd w:id="39"/>
    <w:p>
      <w:pPr>
        <w:ind w:right="2599" w:firstLine="572"/>
        <w:spacing w:after="0" w:line="242" w:lineRule="auto"/>
        <w:rPr>
          <w:sz w:val="20"/>
          <w:szCs w:val="20"/>
          <w:color w:val="auto"/>
        </w:rPr>
      </w:pPr>
      <w:r>
        <w:rPr>
          <w:rFonts w:ascii="Courier New" w:cs="Courier New" w:eastAsia="Courier New" w:hAnsi="Courier New"/>
          <w:sz w:val="16"/>
          <w:szCs w:val="16"/>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Denomination and Registry</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notes will be issued:</w:t>
      </w:r>
    </w:p>
    <w:p>
      <w:pPr>
        <w:spacing w:after="0" w:line="186" w:lineRule="exact"/>
        <w:rPr>
          <w:sz w:val="20"/>
          <w:szCs w:val="20"/>
          <w:color w:val="auto"/>
        </w:rPr>
      </w:pPr>
    </w:p>
    <w:p>
      <w:pPr>
        <w:ind w:left="1140" w:hanging="570"/>
        <w:spacing w:after="0"/>
        <w:tabs>
          <w:tab w:leader="none" w:pos="11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in fully registered form;</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interest coupons; and</w:t>
      </w:r>
    </w:p>
    <w:p>
      <w:pPr>
        <w:spacing w:after="0" w:line="188" w:lineRule="exact"/>
        <w:rPr>
          <w:rFonts w:ascii="Courier New" w:cs="Courier New" w:eastAsia="Courier New" w:hAnsi="Courier New"/>
          <w:sz w:val="16"/>
          <w:szCs w:val="16"/>
          <w:color w:val="auto"/>
        </w:rPr>
      </w:pPr>
    </w:p>
    <w:p>
      <w:pPr>
        <w:ind w:left="580" w:right="4399" w:hanging="10"/>
        <w:spacing w:after="0" w:line="481" w:lineRule="auto"/>
        <w:tabs>
          <w:tab w:leader="none" w:pos="115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denominations of $1,000 and greater multiples. Global Note, Book-Entry Form</w:t>
      </w:r>
    </w:p>
    <w:p>
      <w:pPr>
        <w:spacing w:after="0" w:line="7" w:lineRule="exact"/>
        <w:rPr>
          <w:sz w:val="20"/>
          <w:szCs w:val="20"/>
          <w:color w:val="auto"/>
        </w:rPr>
      </w:pPr>
    </w:p>
    <w:p>
      <w:pPr>
        <w:ind w:right="2779" w:firstLine="572"/>
        <w:spacing w:after="0" w:line="262" w:lineRule="auto"/>
        <w:rPr>
          <w:sz w:val="20"/>
          <w:szCs w:val="20"/>
          <w:color w:val="auto"/>
        </w:rPr>
      </w:pPr>
      <w:r>
        <w:rPr>
          <w:rFonts w:ascii="Courier New" w:cs="Courier New" w:eastAsia="Courier New" w:hAnsi="Courier New"/>
          <w:sz w:val="15"/>
          <w:szCs w:val="15"/>
          <w:color w:val="auto"/>
        </w:rPr>
        <w:t>The notes are evidenced by one or more global notes, which are deposited with the trustee as custodian for The Depository Trust Company, or DTC, and registered in the name of Cede &amp; Co., as nominee of DTC. Except as set forth below, record ownership of the global note may be transferred, in whole or in part, only to another nominee of DTC or to a successor of DTC or its nominee.</w:t>
      </w:r>
    </w:p>
    <w:p>
      <w:pPr>
        <w:spacing w:after="0" w:line="173"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DTC was created to hold securities of institutions that have accounts with DTC (called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 banks, trust companies, clearing corporations and certain other organizations. Some of the participants or their representatives, together with other entities, own DTC. Access to DTC's book-entry system is also available to others such as banks, brokers, dealers and trust companies that clear through or maintain a custodial relationship with a participant, whether directly or indirectly (called "indirect participants").</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DTC or its nominee is considered the sole owner and holder of the global notes for all purposes. Except as otherwise provided in this section, as a holder of a beneficial interest in the global notes, you will not be entitled to have notes represented by the global note registered in your name, will not receive physical delivery of certificated securities and will not be considered to be the owner or holder of the global note or any note it represents for any purpose.</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expected that, pursuant to procedures established by DTC, upon the deposit of the global security with DTC, DTC will credit, on its book-entry registration and transfer system, the principal amount of notes represented by such global security to the accounts of participants. The Initial Purchaser will designate the accounts to be credited. Ownership of beneficial interests in the global security will be limited to participants or persons that may hold interests through participants. Ownership of beneficial interests in the global security will be shown on, and the transfer of those beneficial interests will be effected only through, records maintained by DTC (with respect to participants' interests), the participants and the indirect participants. The laws of some jurisdictions may require that certain purchasers of securities take physical delivery of such securities in definitive form. These limits and laws may impair the ability to transfer or pledge beneficial interests in the global security to such persons.</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67" w:right="1440" w:bottom="1440" w:gutter="0" w:footer="0" w:header="0"/>
        </w:sectPr>
      </w:pPr>
    </w:p>
    <w:bookmarkStart w:id="40" w:name="page41"/>
    <w:bookmarkEnd w:id="40"/>
    <w:p>
      <w:pPr>
        <w:ind w:right="2599" w:firstLine="572"/>
        <w:spacing w:after="0" w:line="239" w:lineRule="auto"/>
        <w:rPr>
          <w:sz w:val="20"/>
          <w:szCs w:val="20"/>
          <w:color w:val="auto"/>
        </w:rPr>
      </w:pPr>
      <w:r>
        <w:rPr>
          <w:rFonts w:ascii="Courier New" w:cs="Courier New" w:eastAsia="Courier New" w:hAnsi="Courier New"/>
          <w:sz w:val="16"/>
          <w:szCs w:val="16"/>
          <w:color w:val="auto"/>
        </w:rPr>
        <w:t>Transfers between participants in DTC will be effected in the ordinary way in accordance with DTC rules and will be settled in same-day funds.</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We will make cash payments of interest on and principal of and the redemption or repurchase price of the global note, as well as any payment of additional interest, to Cede &amp; Co. We will make these payments by wire transfer of immediately available funds on each payment date.</w:t>
      </w:r>
    </w:p>
    <w:p>
      <w:pPr>
        <w:spacing w:after="0" w:line="189"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89" w:lineRule="exact"/>
        <w:rPr>
          <w:sz w:val="20"/>
          <w:szCs w:val="20"/>
          <w:color w:val="auto"/>
        </w:rPr>
      </w:pPr>
    </w:p>
    <w:p>
      <w:pPr>
        <w:jc w:val="both"/>
        <w:ind w:right="2879" w:firstLine="572"/>
        <w:spacing w:after="0" w:line="265" w:lineRule="auto"/>
        <w:rPr>
          <w:sz w:val="20"/>
          <w:szCs w:val="20"/>
          <w:color w:val="auto"/>
        </w:rPr>
      </w:pPr>
      <w:r>
        <w:rPr>
          <w:rFonts w:ascii="Courier New" w:cs="Courier New" w:eastAsia="Courier New" w:hAnsi="Courier New"/>
          <w:sz w:val="15"/>
          <w:szCs w:val="15"/>
          <w:color w:val="auto"/>
        </w:rPr>
        <w:t>We will send any redemption notices to Cede &amp; Co. We understand that if less than all the notes are being redeemed, DTC's practice is to determine by lot the amount of the holdings of each participant to be redeemed.</w:t>
      </w:r>
    </w:p>
    <w:p>
      <w:pPr>
        <w:spacing w:after="0" w:line="17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also understand that neither DTC nor Cede &amp; Co. will consent or vote with respect to the notes. We have been advised that under its usual procedures, DTC will mail an omnibus proxy to us as soon as possible after the record date. The omnibus proxy assigns Cede &amp; Co.'s consenting or voting rights to those participants to whose accounts the notes are credited on the record date identified in a listing attached to the omnibus proxy.</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notes as to which such participant or participants has or have given such direction. 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91" w:lineRule="exact"/>
        <w:rPr>
          <w:sz w:val="20"/>
          <w:szCs w:val="20"/>
          <w:color w:val="auto"/>
        </w:rPr>
      </w:pPr>
    </w:p>
    <w:p>
      <w:pPr>
        <w:ind w:right="2879" w:firstLine="572"/>
        <w:spacing w:after="0" w:line="261" w:lineRule="auto"/>
        <w:rPr>
          <w:sz w:val="20"/>
          <w:szCs w:val="20"/>
          <w:color w:val="auto"/>
        </w:rPr>
      </w:pPr>
      <w:r>
        <w:rPr>
          <w:rFonts w:ascii="Courier New" w:cs="Courier New" w:eastAsia="Courier New" w:hAnsi="Courier New"/>
          <w:sz w:val="15"/>
          <w:szCs w:val="15"/>
          <w:color w:val="auto"/>
        </w:rPr>
        <w:t>The global notes will not be registered in the name of any person, or exchanged for notes that are registered in the name of any person, other than DTC or its nominee, unless DTC is unwilling, unable or no longer qualified to continue acting as the depositary for the global note or an event of default with respect to the notes represented by the global notes has occurred and is continuing. In those circumstances, DTC will exchange the global note for certificated notes that it will distribute to its participants.</w:t>
      </w:r>
    </w:p>
    <w:p>
      <w:pPr>
        <w:spacing w:after="0" w:line="17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DTC has advised us that it is:</w:t>
      </w:r>
    </w:p>
    <w:p>
      <w:pPr>
        <w:spacing w:after="0" w:line="188" w:lineRule="exact"/>
        <w:rPr>
          <w:sz w:val="20"/>
          <w:szCs w:val="20"/>
          <w:color w:val="auto"/>
        </w:rPr>
      </w:pPr>
    </w:p>
    <w:p>
      <w:pPr>
        <w:ind w:left="1140" w:right="3059" w:hanging="570"/>
        <w:spacing w:after="0" w:line="239" w:lineRule="auto"/>
        <w:tabs>
          <w:tab w:leader="none" w:pos="1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limited purpose trust company organized under the laws of the state of New York;</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of the Federal Reserve System;</w:t>
      </w:r>
    </w:p>
    <w:p>
      <w:pPr>
        <w:spacing w:after="0" w:line="188" w:lineRule="exact"/>
        <w:rPr>
          <w:rFonts w:ascii="Courier New" w:cs="Courier New" w:eastAsia="Courier New" w:hAnsi="Courier New"/>
          <w:sz w:val="16"/>
          <w:szCs w:val="16"/>
          <w:color w:val="auto"/>
        </w:rPr>
      </w:pPr>
    </w:p>
    <w:p>
      <w:pPr>
        <w:ind w:left="1140" w:right="2679" w:hanging="570"/>
        <w:spacing w:after="0" w:line="239" w:lineRule="auto"/>
        <w:tabs>
          <w:tab w:leader="none" w:pos="1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clearing corporation within the meaning of the Uniform Commercial Code, as amended; and</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clearing agency registered pursuant to the provisions of Section 17A of the Exchange Act.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7" w:right="1440" w:bottom="1440" w:gutter="0" w:footer="0" w:header="0"/>
        </w:sectPr>
      </w:pPr>
    </w:p>
    <w:bookmarkStart w:id="41" w:name="page42"/>
    <w:bookmarkEnd w:id="41"/>
    <w:p>
      <w:pPr>
        <w:ind w:right="2599" w:firstLine="572"/>
        <w:spacing w:after="0"/>
        <w:rPr>
          <w:sz w:val="20"/>
          <w:szCs w:val="20"/>
          <w:color w:val="auto"/>
        </w:rPr>
      </w:pPr>
      <w:r>
        <w:rPr>
          <w:rFonts w:ascii="Courier New" w:cs="Courier New" w:eastAsia="Courier New" w:hAnsi="Courier New"/>
          <w:sz w:val="16"/>
          <w:szCs w:val="16"/>
          <w:color w:val="auto"/>
        </w:rPr>
        <w:t>The policies and procedures of DTC, which may change periodically, will apply to payments, transfers, exchanges and other matters relating to beneficial interests in the global note.</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Certificated Notes</w:t>
      </w:r>
    </w:p>
    <w:p>
      <w:pPr>
        <w:spacing w:after="0" w:line="188" w:lineRule="exact"/>
        <w:rPr>
          <w:sz w:val="20"/>
          <w:szCs w:val="20"/>
          <w:color w:val="auto"/>
        </w:rPr>
      </w:pPr>
    </w:p>
    <w:p>
      <w:pPr>
        <w:ind w:right="3059" w:firstLine="572"/>
        <w:spacing w:after="0" w:line="239" w:lineRule="auto"/>
        <w:rPr>
          <w:sz w:val="20"/>
          <w:szCs w:val="20"/>
          <w:color w:val="auto"/>
        </w:rPr>
      </w:pPr>
      <w:r>
        <w:rPr>
          <w:rFonts w:ascii="Courier New" w:cs="Courier New" w:eastAsia="Courier New" w:hAnsi="Courier New"/>
          <w:sz w:val="16"/>
          <w:szCs w:val="16"/>
          <w:color w:val="auto"/>
        </w:rPr>
        <w:t>Qualified institutional buyers may request that certificated notes be issued in exchange for notes represented by a global note.</w:t>
      </w:r>
    </w:p>
    <w:p>
      <w:pPr>
        <w:spacing w:after="0" w:line="37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DESCRIPTION OF CAPITAL STOCK</w:t>
      </w:r>
    </w:p>
    <w:p>
      <w:pPr>
        <w:spacing w:after="0" w:line="188" w:lineRule="exact"/>
        <w:rPr>
          <w:sz w:val="20"/>
          <w:szCs w:val="20"/>
          <w:color w:val="auto"/>
        </w:rPr>
      </w:pPr>
    </w:p>
    <w:p>
      <w:pPr>
        <w:ind w:right="2779" w:firstLine="572"/>
        <w:spacing w:after="0" w:line="262" w:lineRule="auto"/>
        <w:rPr>
          <w:sz w:val="20"/>
          <w:szCs w:val="20"/>
          <w:color w:val="auto"/>
        </w:rPr>
      </w:pPr>
      <w:r>
        <w:rPr>
          <w:rFonts w:ascii="Courier New" w:cs="Courier New" w:eastAsia="Courier New" w:hAnsi="Courier New"/>
          <w:sz w:val="15"/>
          <w:szCs w:val="15"/>
          <w:color w:val="auto"/>
        </w:rPr>
        <w:t>We are authorized to issue a total of 76,000,000 shares, consisting of 75,000,000 shares of common stock and 1,000,000 shares of preferred stock. The following is a summary of some of the rights and privileges pertaining to our common stock. For a full description of our common stock and our preferred stock, you should refer to our certificate of incorporation and by-laws.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Common Stock</w:t>
      </w:r>
    </w:p>
    <w:p>
      <w:pPr>
        <w:spacing w:after="0" w:line="188"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As of January 31, 2004, there were 35,073,153 shares of our common stock outstanding. The holders of our common stock are entitled to one vote per share on all matters to be voted upon by the stockholders. None of our common stockholders will be entitled to cumulate votes at any election of directors. Subject to preferences that are applicable to any series of our preferred stock that may come into existence in the future, the holders of our common stock are entitled to receive such dividends, if any, as may be declared from time to time by our board out of legally available funds. In the event of our liquidation, dissolution or winding up, the holders of our common stock are entitled to share ratably in all assets remaining after payment of liabilities, subject to prior rights of any other series of our preferred stock that may come into existence in the future. Holders of our common stock have no preemptive or conversion rights or other subscription rights. There are no redemption or sinking fund provisions available to the holders of our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Preferred Stock</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Our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6" w:lineRule="exact"/>
        <w:rPr>
          <w:sz w:val="20"/>
          <w:szCs w:val="20"/>
          <w:color w:val="auto"/>
        </w:rPr>
      </w:pPr>
    </w:p>
    <w:p>
      <w:pPr>
        <w:ind w:left="1140" w:hanging="570"/>
        <w:spacing w:after="0"/>
        <w:tabs>
          <w:tab w:leader="none" w:pos="11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dividends on the common stock;</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diluting the voting power of the common stock;</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impairing the liquidation rights of the common stock; or</w:t>
      </w:r>
    </w:p>
    <w:p>
      <w:pPr>
        <w:spacing w:after="0" w:line="188" w:lineRule="exact"/>
        <w:rPr>
          <w:rFonts w:ascii="Courier New" w:cs="Courier New" w:eastAsia="Courier New" w:hAnsi="Courier New"/>
          <w:sz w:val="16"/>
          <w:szCs w:val="16"/>
          <w:color w:val="auto"/>
        </w:rPr>
      </w:pPr>
    </w:p>
    <w:p>
      <w:pPr>
        <w:ind w:left="1140" w:right="3259" w:hanging="570"/>
        <w:spacing w:after="0" w:line="239" w:lineRule="auto"/>
        <w:tabs>
          <w:tab w:leader="none" w:pos="11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delaying or preventing a fundamental change in control of our company without further action by our stockholders.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6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Warrants</w:t>
      </w:r>
    </w:p>
    <w:p>
      <w:pPr>
        <w:spacing w:after="0" w:line="188"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As of January 31, 2004, there were outstanding warrants to purchase an aggregate of up to 3,383,871 shares of our common stock at a weighted average exercise price of $5.74 per share. These warrants are currently exercisable in full and expire between April 2007 and 2010.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As of January 31, 2004, there were an aggregate of 2,219,869 shares of our common stock subject to outstanding options at a weighted average exercise price of $4.33 per share under our 1992 Stock Incentive Plan, as amended. In addition, as of January 31, 2004, there were an aggregate of 1,140,000 shares of our common stock issued outside of our 1992 Stock Incentive Plan subject to outstanding options at a weighted average exercise price of $3.40. In addition, 3,673,813 shares were reserved for future issuance upon exercise of options that may be granted under the plan after January 31, 2004.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of Certain Holders</w:t>
      </w:r>
    </w:p>
    <w:p>
      <w:pPr>
        <w:spacing w:after="0" w:line="188"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Holders of warrants to purchase 1,182,400 shares of our common stock issued in connection with our outstanding 12% Senior Subordinated Notes due 2010 are entitled to require us to register the shares issuable upon exercise of such warrants on a Form S-3 registration statement. In addition, from time to time, we have issued and may continue to issue shares of capital stock, warrants, convertible notes or other securities entitled to registration rights. All previously issued securities entitled to such registration rights, other than the shares issuable upon exercise of the warrants to purchase 1,182,400 shares of our common stock described above, have been registered pursuant to a registration statement on Form S-3 in September 2002. Accordingly, all such previously granted registration rights have been satisfied.</w:t>
      </w:r>
    </w:p>
    <w:p>
      <w:pPr>
        <w:spacing w:after="0" w:line="176"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Antitakeover Effects of Provisions of Our Certificate of Incorporation, Our Bylaws and Delaware Law</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Provisions of our certificate of incorporation and bylaws, as well as provisions of Delaware law, could make it more difficult for a third party to acquire us and to remove incumbent officers and directors. These provisions, summarized below, are expected to discourage certain types of coercive takeover practices and inadequate takeover bids and to encourage persons seeking to acquire control of us to first negotiate with us. These provisions could discourage potential acquisition proposals and could delay or prevent a change in control. These provisions are also intended to enhance the likelihood of continuity and stability in the composition of our board and in the policies formulated by our board of directors and to discourage certain types of transactions that may involve an actual or threatened change of control. These provisions are designed to reduce our vulnerability to an unsolicited acquisition proposal and to discourage certain tactics that may be used in proxy fights. These provisions could, however, have the effect of discouraging others from making tender offers for our shares and, as a consequence, they also may inhibit fluctuations in the market price of our shares that could result from actual or rumored takeover attempts. These provisions also may have the effect of preventing changes in our management. We believe that the benefits of increased protection of our ability to negotiate with the proponent of an unfriendly or unsolicited proposal to acquire or restructure us outweigh the disadvantages of discouraging those proposals because, among other things, negotiation of those proposals could result in an improvement of their terms.</w:t>
      </w:r>
    </w:p>
    <w:p>
      <w:pPr>
        <w:spacing w:after="0" w:line="19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Preferred Stock. Our board of directors, without stockholder approval, has the authority under our certificate of incorporation to issue up to 1,000,000 shares of convertible preferred stock with rights superior to the rights of the holders of our common stock. As a result, preferred stock could be issued quickly and easily, could hurt the rights of holders of common stock and could be issued with terms calculated to delay or prevent a change of control or make removal of management more difficult.</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4" w:right="1440" w:bottom="1440" w:gutter="0" w:footer="0" w:header="0"/>
        </w:sectPr>
      </w:pPr>
    </w:p>
    <w:bookmarkStart w:id="43" w:name="page44"/>
    <w:bookmarkEnd w:id="43"/>
    <w:p>
      <w:pPr>
        <w:ind w:right="2599" w:firstLine="572"/>
        <w:spacing w:after="0" w:line="241" w:lineRule="auto"/>
        <w:rPr>
          <w:sz w:val="20"/>
          <w:szCs w:val="20"/>
          <w:color w:val="auto"/>
        </w:rPr>
      </w:pPr>
      <w:r>
        <w:rPr>
          <w:rFonts w:ascii="Courier New" w:cs="Courier New" w:eastAsia="Courier New" w:hAnsi="Courier New"/>
          <w:sz w:val="16"/>
          <w:szCs w:val="16"/>
          <w:color w:val="auto"/>
        </w:rPr>
        <w:t>Stockholder Meetings. Certain provisions of our bylaws may have the effect of delaying, deferring or preventing a change of control through limitations on the right of stockholders to call, or determine the agenda for, special stockholder meetings, including a requirement for advance notification of stockholder proposals.</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Delaware Antitakeover Law. We are subject to Section 203 of the Delaware General Corporation Law, which prohibits a publicly held Delaware corporation from engaging in a business combination with an interested stockholder for a period of three years after the date of the transaction in which the person becomes an interested stockholder, unless, before that date, the board of directors of the corporation approves either the business combination or the transaction that resulted in the stockholder becoming an interested stockholder; upon consummation of the transaction that resulted in the stockholder becoming an interested stockholder, the interested stockholder owns at least 85% of the outstanding voting stock, excluding shares held by directors, officers and employee stock plans; or, on or after the consummation date, the business combination is approved by the board of directors and by the affirmative vote at an annual or special meeting of stockholders of at least 66?% of the outstanding voting stock that is not owned by the interested stockholder. For purposes of Section 203, a business combination includes a merger, asset sale or other transaction resulting in a financial benefit to the interested stockholder. An interested stockholder is generally a person who, together with affiliates and associates of that person, (a) owns 15% or more of the corporation's voting stock or (b) is an affiliate or associate of the corporation and was the owner of 15% or more of the outstanding voting stock of the corporation at any time within the prior three years.</w:t>
      </w: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2879" w:firstLine="572"/>
        <w:spacing w:after="0"/>
        <w:rPr>
          <w:sz w:val="20"/>
          <w:szCs w:val="20"/>
          <w:color w:val="auto"/>
        </w:rPr>
      </w:pPr>
      <w:r>
        <w:rPr>
          <w:rFonts w:ascii="Courier New" w:cs="Courier New" w:eastAsia="Courier New" w:hAnsi="Courier New"/>
          <w:sz w:val="16"/>
          <w:szCs w:val="16"/>
          <w:color w:val="auto"/>
        </w:rPr>
        <w:t>The transfer agent and registrar for the common stock is American Stock Transfer and Trust Company. Its address is 59 Maiden Lane, Plaza Level, New York, NY 10038.</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Listing</w:t>
      </w:r>
    </w:p>
    <w:p>
      <w:pPr>
        <w:spacing w:after="0" w:line="188" w:lineRule="exact"/>
        <w:rPr>
          <w:sz w:val="20"/>
          <w:szCs w:val="20"/>
          <w:color w:val="auto"/>
        </w:rPr>
      </w:pPr>
    </w:p>
    <w:p>
      <w:pPr>
        <w:ind w:right="2679" w:firstLine="572"/>
        <w:spacing w:after="0" w:line="239" w:lineRule="auto"/>
        <w:rPr>
          <w:sz w:val="20"/>
          <w:szCs w:val="20"/>
          <w:color w:val="auto"/>
        </w:rPr>
      </w:pPr>
      <w:r>
        <w:rPr>
          <w:rFonts w:ascii="Courier New" w:cs="Courier New" w:eastAsia="Courier New" w:hAnsi="Courier New"/>
          <w:sz w:val="16"/>
          <w:szCs w:val="16"/>
          <w:color w:val="auto"/>
        </w:rPr>
        <w:t>Our common stock is quoted on the Nasdaq National Market under the symbol "CMRG."</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67" w:right="1440" w:bottom="1440" w:gutter="0" w:footer="0" w:header="0"/>
        </w:sectPr>
      </w:pPr>
    </w:p>
    <w:bookmarkStart w:id="44" w:name="page45"/>
    <w:bookmarkEnd w:id="44"/>
    <w:p>
      <w:pPr>
        <w:ind w:left="1420"/>
        <w:spacing w:after="0"/>
        <w:rPr>
          <w:sz w:val="20"/>
          <w:szCs w:val="20"/>
          <w:color w:val="auto"/>
        </w:rPr>
      </w:pPr>
      <w:r>
        <w:rPr>
          <w:rFonts w:ascii="Courier New" w:cs="Courier New" w:eastAsia="Courier New" w:hAnsi="Courier New"/>
          <w:sz w:val="16"/>
          <w:szCs w:val="16"/>
          <w:color w:val="auto"/>
        </w:rPr>
        <w:t>CERTAIN UNITED STATES FEDERAL TAX CONSIDERATIONS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following discusses the material U.S. federal income tax consequences to holders, and U.S. estate tax consequences to non-U.S. holders (defined below), relating to the ownership, conversion and disposition of the notes and the ownership and disposition of common stock into which the notes may be converted. This discussion is for general information only and does not address all aspects of U.S. federal income taxation that may be relevant to you in light of your personal circumstances. This summary is based on the provisions of the Internal Revenue Code of 1986, as amended (the "Code"), applicable existing and proposed U.S. Treasury regulations, and judicial authority and current administrative rulings and practice, all of which are subject to change, possibly on a retroactive basis, or to differing interpretation. Except as otherwise noted, this summary applies only to holders that hold the notes and our common stock into which the notes may be converted as capital assets within the meaning of Section 1221 of the Code (generally, for investment). It does not address tax consequences applicable to those U.S. holders that may be subject to special tax rules, including financial institutions, regulated investment companies, tax-exempt organizations, expatriates, persons subject to the alternative minimum tax provisions of the Code, pension funds, insurance companies, dealers in securities or foreign currencies, persons that will hold notes as a position in a hedging transaction, straddle, conversion transaction or other risk reduction transaction for tax purposes, persons deemed to sell notes or common stock under the constructive sale provisions of the Code, persons who hold notes through a partnership or other pass through entity, or persons whose functional currency is not the U.S. dollar (except as disclosed below under "Non-U.S. Holders"). We have not sought any ruling from the Internal Revenue Service (the "IRS") with respect to the statements made and the conclusions reached in the following summary, and there can be no assurance that the IRS or a court will agree with our statements and conclusions. Moreover, this discussion does not address the effect of the federal estate and gift tax laws on U.S. holders or the effect of any applicable state, local or foreign tax laws.</w:t>
      </w:r>
    </w:p>
    <w:p>
      <w:pPr>
        <w:spacing w:after="0" w:line="203"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5"/>
          <w:szCs w:val="15"/>
          <w:color w:val="auto"/>
        </w:rPr>
        <w:t>THE FOLLOWING DISCUSSION OF U.S. FEDERAL TAX CONSIDERATIONS IS FOR GENERAL INFORMATION ONLY. IT IS NOT TAX ADVICE. INVESTORS CONSIDERING THE PURCHASE OF NOTES SHOULD CONSULT THEIR OWN TAX ADVISORS WITH RESPECT TO THE APPLICATION OF THE U.S. FEDERAL INCOME TAX AND ESTATE TAX LAWS TO THEIR PARTICULAR SITUATIONS AS WELL AS ANY TAX CONSEQUENCES ARISING UNDER THE LAWS OF ANY STATE, LOCAL OR FOREIGN TAXING JURISDICTION OR UNDER ANY APPLICABLE TAX TREATY.</w:t>
      </w:r>
    </w:p>
    <w:p>
      <w:pPr>
        <w:spacing w:after="0" w:line="175" w:lineRule="exact"/>
        <w:rPr>
          <w:sz w:val="20"/>
          <w:szCs w:val="20"/>
          <w:color w:val="auto"/>
        </w:rPr>
      </w:pPr>
    </w:p>
    <w:p>
      <w:pPr>
        <w:ind w:right="2779" w:firstLine="572"/>
        <w:spacing w:after="0" w:line="271" w:lineRule="auto"/>
        <w:rPr>
          <w:sz w:val="20"/>
          <w:szCs w:val="20"/>
          <w:color w:val="auto"/>
        </w:rPr>
      </w:pPr>
      <w:r>
        <w:rPr>
          <w:rFonts w:ascii="Courier New" w:cs="Courier New" w:eastAsia="Courier New" w:hAnsi="Courier New"/>
          <w:sz w:val="15"/>
          <w:szCs w:val="15"/>
          <w:color w:val="auto"/>
        </w:rPr>
        <w:t>For purposes of this discussion, the term U.S. holder means a beneficial owner of a note or common stock that is for U.S. federal income tax purposes:</w:t>
      </w:r>
    </w:p>
    <w:p>
      <w:pPr>
        <w:spacing w:after="0" w:line="164" w:lineRule="exact"/>
        <w:rPr>
          <w:sz w:val="20"/>
          <w:szCs w:val="20"/>
          <w:color w:val="auto"/>
        </w:rPr>
      </w:pPr>
    </w:p>
    <w:p>
      <w:pPr>
        <w:ind w:left="1140" w:hanging="570"/>
        <w:spacing w:after="0"/>
        <w:tabs>
          <w:tab w:leader="none" w:pos="11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U.S.;</w:t>
      </w:r>
    </w:p>
    <w:p>
      <w:pPr>
        <w:spacing w:after="0" w:line="188"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created or organized under the laws of the U.S. or any state;</w:t>
      </w:r>
    </w:p>
    <w:p>
      <w:pPr>
        <w:spacing w:after="0" w:line="189" w:lineRule="exact"/>
        <w:rPr>
          <w:rFonts w:ascii="Courier New" w:cs="Courier New" w:eastAsia="Courier New" w:hAnsi="Courier New"/>
          <w:sz w:val="16"/>
          <w:szCs w:val="16"/>
          <w:color w:val="auto"/>
        </w:rPr>
      </w:pPr>
    </w:p>
    <w:p>
      <w:pPr>
        <w:ind w:left="1140" w:right="2979" w:hanging="570"/>
        <w:spacing w:after="0" w:line="239" w:lineRule="auto"/>
        <w:tabs>
          <w:tab w:leader="none" w:pos="11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U.S. federal income taxation regardless of its source; or</w:t>
      </w:r>
    </w:p>
    <w:p>
      <w:pPr>
        <w:spacing w:after="0" w:line="189" w:lineRule="exact"/>
        <w:rPr>
          <w:rFonts w:ascii="Courier New" w:cs="Courier New" w:eastAsia="Courier New" w:hAnsi="Courier New"/>
          <w:sz w:val="16"/>
          <w:szCs w:val="16"/>
          <w:color w:val="auto"/>
        </w:rPr>
      </w:pPr>
    </w:p>
    <w:p>
      <w:pPr>
        <w:ind w:left="1140" w:right="2679" w:hanging="570"/>
        <w:spacing w:after="0" w:line="241" w:lineRule="auto"/>
        <w:tabs>
          <w:tab w:leader="none" w:pos="11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its administration is subject to the primary supervision of a court within the U.S. and one or more U.S. persons have authority to control all of its substantial decisions, or (b) it has a valid election in effect under applicable Treasury regulations to be treated as a U.S. person.</w:t>
      </w:r>
    </w:p>
    <w:p>
      <w:pPr>
        <w:spacing w:after="0" w:line="190" w:lineRule="exact"/>
        <w:rPr>
          <w:sz w:val="20"/>
          <w:szCs w:val="20"/>
          <w:color w:val="auto"/>
        </w:rPr>
      </w:pPr>
    </w:p>
    <w:p>
      <w:pPr>
        <w:ind w:right="2779" w:firstLine="572"/>
        <w:spacing w:after="0" w:line="263" w:lineRule="auto"/>
        <w:rPr>
          <w:sz w:val="20"/>
          <w:szCs w:val="20"/>
          <w:color w:val="auto"/>
        </w:rPr>
      </w:pPr>
      <w:r>
        <w:rPr>
          <w:rFonts w:ascii="Courier New" w:cs="Courier New" w:eastAsia="Courier New" w:hAnsi="Courier New"/>
          <w:sz w:val="15"/>
          <w:szCs w:val="15"/>
          <w:color w:val="auto"/>
        </w:rPr>
        <w:t>A non-U.S. holder means a holder of a note or common stock that is not a U.S. holder for U.S. federal income tax purposes. For U.S. federal income tax purposes, income earned through a foreign or domestic partnership or similar entity is generally attributed to its owners. A beneficial owner of notes that</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4" w:right="1440" w:bottom="1440" w:gutter="0" w:footer="0" w:header="0"/>
        </w:sectPr>
      </w:pPr>
    </w:p>
    <w:bookmarkStart w:id="45" w:name="page46"/>
    <w:bookmarkEnd w:id="45"/>
    <w:p>
      <w:pPr>
        <w:ind w:right="2679"/>
        <w:spacing w:after="0" w:line="265" w:lineRule="auto"/>
        <w:rPr>
          <w:sz w:val="20"/>
          <w:szCs w:val="20"/>
          <w:color w:val="auto"/>
        </w:rPr>
      </w:pPr>
      <w:r>
        <w:rPr>
          <w:rFonts w:ascii="Courier New" w:cs="Courier New" w:eastAsia="Courier New" w:hAnsi="Courier New"/>
          <w:sz w:val="15"/>
          <w:szCs w:val="15"/>
          <w:color w:val="auto"/>
        </w:rPr>
        <w:t>is a partnership for U.S. federal income tax purposes, and the partners in such a partnership, should consult their tax advisors about the U.S. federal income tax consequences of holding and disposing of the notes and common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Holders</w:t>
      </w:r>
    </w:p>
    <w:p>
      <w:pPr>
        <w:spacing w:after="0" w:line="188" w:lineRule="exact"/>
        <w:rPr>
          <w:sz w:val="20"/>
          <w:szCs w:val="20"/>
          <w:color w:val="auto"/>
        </w:rPr>
      </w:pPr>
    </w:p>
    <w:p>
      <w:pPr>
        <w:ind w:right="2979" w:firstLine="572"/>
        <w:spacing w:after="0"/>
        <w:rPr>
          <w:sz w:val="20"/>
          <w:szCs w:val="20"/>
          <w:color w:val="auto"/>
        </w:rPr>
      </w:pPr>
      <w:r>
        <w:rPr>
          <w:rFonts w:ascii="Courier New" w:cs="Courier New" w:eastAsia="Courier New" w:hAnsi="Courier New"/>
          <w:sz w:val="16"/>
          <w:szCs w:val="16"/>
          <w:color w:val="auto"/>
        </w:rPr>
        <w:t>The following is a summary of the material U.S. federal income tax consequences resulting from the ownership, conversion and disposition of the notes and ownership and disposition of common stock by U.S. 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Interest</w:t>
      </w:r>
    </w:p>
    <w:p>
      <w:pPr>
        <w:spacing w:after="0" w:line="188"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Interest paid on the notes will be includable in the income of a U.S. holder as ordinary income at the time the interest is received or accrued, in accordance with each U.S. holder's method of accounting for U.S. federal income tax purposes.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 certain circumstances we may be obligated to pay holders additional interest if we do not cause to be declared or keep effective a registration statement, as described under "Description of Notes -- Registration Rights." We intend to take the position that the likelihood that we will be obligated to pay additional interest is remote. Our determination that this contingency is remote is binding on holders unless they disclose a contrary position in the manner required by applicable Treasury regulations. Our determination is not, however, binding on the IRS. Remote contingencies are not taken into account unless and until they occur. If we are required to pay additional interest, U.S. holders would likely recognize additional income in accordance with their method of accounting for U.S. federal income tax purposes.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Sale</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Except as set forth below under "U.S. Holders -- The Notes -- Conversion" and "U.S. Holders -- The Notes -- Market Discount", upon the sale, exchange, redemption for cash or other taxable disposition of a note, a U.S. holder will recognize capital gain or loss equal to the difference between the amount realized on the disposition and the U.S. holder's adjusted tax basis in that note. For these purposes, the amount realized on the disposition of a note does not include any amount attributable to accrued but unpaid interest, which will be taxable as such unless previously taken into income. A U.S. holder's adjusted tax basis in a note generally will be the purchase price of that note on the date of purchase increased by any market discount previously included in income by the holder and reduced by any amortized premium. For a discussion of market discount and premium, see "U.S. Holders--The Notes--Market Discount" and "U.S. Holders--The Notes--Premium." Gain or loss so recognized will be capital gain or loss and will be long-term capital gain or loss if, at the time of the disposition, the note has been held for more than one year. Long-term capital gains of non-corporate taxpayers are taxed at lower rates than those applicable to ordinary income. The deductibility of capital losses is subject to limitation.</w:t>
      </w:r>
    </w:p>
    <w:p>
      <w:pPr>
        <w:spacing w:after="0" w:line="19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Market Discount</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 holder of notes may be affected by the impact on a purchaser of the market discount provisions of the Code. For this purpose, and subject to a de minimis exception, the market discount on a note generally will equal the amount, if any, by which the stated redemption price at maturity of the note (which is its stated principal amount) exceeds the holder's adjusted tax basis in the note when purchased. Subject to a limited exception, these provisions generally require a U.S. holder who acquires a note at a market discount to include as ordinary income upon the disposition, retirement or gift of that note an amount equal to the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67" w:right="1440" w:bottom="1440" w:gutter="0" w:footer="0" w:header="0"/>
        </w:sectPr>
      </w:pPr>
    </w:p>
    <w:bookmarkStart w:id="46" w:name="page47"/>
    <w:bookmarkEnd w:id="46"/>
    <w:p>
      <w:pPr>
        <w:ind w:right="2779"/>
        <w:spacing w:after="0" w:line="241" w:lineRule="auto"/>
        <w:rPr>
          <w:sz w:val="20"/>
          <w:szCs w:val="20"/>
          <w:color w:val="auto"/>
        </w:rPr>
      </w:pPr>
      <w:r>
        <w:rPr>
          <w:rFonts w:ascii="Courier New" w:cs="Courier New" w:eastAsia="Courier New" w:hAnsi="Courier New"/>
          <w:sz w:val="16"/>
          <w:szCs w:val="16"/>
          <w:color w:val="auto"/>
        </w:rPr>
        <w:t>lesser of (i) the gain realized upon the disposition or retirement or, in the case of a gift, the appreciation in the notes, and (ii) the accrued market discount on that note at the time of disposition, maturity or gift, unless the U.S. holder elects to include accrued market discount in income over the remaining life of the note.</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election to include market discount in income over the life of the note, once made, applies to all market discount obligations acquired on or after the first taxable year to which the election applies and may not be revoked without the consent of the IRS. In general, market discount will be treated as accruing on a straight-line basis over the remaining term of the note at the time of acquisition, or, at the election of the U.S. holder, under a constant yield method. A U.S. holder who acquires a note at a market discount and who does not elect to include accrued market discount in income over the life of the note may be required to defer the deduction of a portion of the interest on any indebtedness incurred or maintained to purchase or carry the note until maturity or until the note is disposed of in a taxable transaction. If a U.S. holder acquires a note with market discount and receives common stock upon conversion of the note, the amount of accrued market discount not previously included in income with respect to the converted note through the date of conversion will be treated as ordinary income when the holder disposes of the common stock. The rules regarding market discount are complex, and U.S. holders should consult their tax advisors.</w:t>
      </w:r>
    </w:p>
    <w:p>
      <w:pPr>
        <w:spacing w:after="0" w:line="19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Premium</w:t>
      </w:r>
    </w:p>
    <w:p>
      <w:pPr>
        <w:spacing w:after="0" w:line="188"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A U.S. holder who purchases a note at a premium over its stated principal amount, plus accrued interest, generally may elect to amortize that premium from the purchase date to the note's maturity date under a constant-yield method. Amortizable premium, however, will not include any premium attributable to a note's conversion feature. The premium attributable to the conversion feature is the excess, if any, of the note's purchase price over what the note's fair market value would be if there were no conversion feature. Amortized premium, which reduces the holder's basis in the note, can only offset interest income on a note and may not be deducted against other income. The election to amortize premium on a constant yield method, once made, applies to all debt obligations held or subsequently acquired by the electing U.S. holder on or after the first day of the first taxable year to which the election applies and may not be revoked without the consent of the IRS. The rules regarding premium are complex, and U.S. holders should consult their tax advisors.</w:t>
      </w:r>
    </w:p>
    <w:p>
      <w:pPr>
        <w:spacing w:after="0" w:line="18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Conversion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 U.S. holder will not recognize any income, gain or loss upon conversion of a note into our common stock or upon the receipt of our common stock by a U.S. holder in the event that we are required to repurchase notes from such U.S. holder on a specified date and we choose to satisfy our obligation with our common stock except, in each case, with respect to cash received in lieu of a fractional share of common stock or in payment of accrued interest (which will be taxable as such). A U.S. holder's tax basis in the common stock received on conversion of a note will be the same as the U.S. holder's adjusted tax basis in the note at the time of conversion reduced by any basis allocable to a fractional share. The holding period for the common stock received on conversion will generally include the holding period of the note converted.</w:t>
      </w:r>
    </w:p>
    <w:p>
      <w:pPr>
        <w:spacing w:after="0" w:line="191"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Cash received in lieu of a fractional share of common stock upon conversion will be treated as a payment in exchange for a fractional share of common stock and generally will result in capital gain or loss (measured by the difference between the cash received for the fractional share and the U.S. holder's adjusted tax basis allocable to the fractional share).</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67" w:right="1440" w:bottom="1440" w:gutter="0" w:footer="0" w:header="0"/>
        </w:sectPr>
      </w:pPr>
    </w:p>
    <w:bookmarkStart w:id="47" w:name="page48"/>
    <w:bookmarkEnd w:id="47"/>
    <w:p>
      <w:pPr>
        <w:ind w:left="580"/>
        <w:spacing w:after="0"/>
        <w:rPr>
          <w:sz w:val="20"/>
          <w:szCs w:val="20"/>
          <w:color w:val="auto"/>
        </w:rPr>
      </w:pPr>
      <w:r>
        <w:rPr>
          <w:rFonts w:ascii="Courier New" w:cs="Courier New" w:eastAsia="Courier New" w:hAnsi="Courier New"/>
          <w:sz w:val="16"/>
          <w:szCs w:val="16"/>
          <w:color w:val="auto"/>
        </w:rPr>
        <w:t>Constructive Dividends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conversion price of the notes may be adjusted under certain circumstances. Section 305 of the Code treats certain actual or constructive distributions of stock with respect to stock or convertible securities as a dividend distribution taxable as ordinary income to the extent of the issuer's current and accumulated earnings and profits. Under applicable Treasury regulations, an adjustment to the conversion price of the notes may, under certain circumstances, be treated as a constructive dividend under these rules to the extent it increases the proportional interest of a U.S. holder of a note in our fully diluted common stock, whether or not the holder ever converts the note into our common stock and even though the noteholder will not have actually received any cash or other property. For example, in the event that the conversion price is lowered in connection with a distribution of rights to acquire shares of LPI common stock, as described above under "Description of Notes--Conversion," noteholders would likely be treated as receiving a constructive dividend taxable as ordinary income to the extent of our current and accumulated earnings and profits. Generally, a holder's tax basis in a note will be increased by the amount of any constructive dividend. Not all changes in conversion price that allow noteholders to receive more stock on conversion, however, would increase the noteholders' proportionate interests in our stock. For instance, a change in conversion price could simply prevent the dilution of the noteholders' interests upon a stock split or other change in capital structure. Changes of this type, if made pursuant to a bona fide, reasonable adjustment formula, are not treated as constructive dividends. Conversely, a failure to adjust the conversion price of the notes to reflect a stock dividend or similar event could in some circumstances give rise to constructive dividend income to holders of our common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Distributions received on our common stock will be treated as a dividend, subject to tax as ordinary income, to the extent of our current and accumulated earnings and profits as of the end of the year of distribution. For taxable years beginning after December 31, 2002 and before January 1, 2009, subject to certain exceptions, dividends received by individual shareholders generally would be taxed at the same preferential rates that apply to long-term capital gains. Any excess will be treated as a tax-free return of capital to the extent of the U.S. holder's adjusted tax basis in the common stock and thereafter as gain from the sale or exchange of that stock. Subject to applicable rules, U.S. holders that are corporations may be eligible to claim a deduction equal to a portion of any distributions received that are treated as dividends. Special rules may apply to corporate U.S. holders upon the receipt of any "extraordinary dividends" with respect to the common stock.</w:t>
      </w:r>
    </w:p>
    <w:p>
      <w:pPr>
        <w:spacing w:after="0" w:line="18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Sale</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Upon the sale, exchange or other taxable disposition of our common stock, a U.S. holder will recognize capital gain or loss equal to the difference between (i) the amount of cash and the fair market value of any property received upon the disposition and (ii) the U.S. holder's adjusted tax basis in the common stock. Such capital gain or loss will be long-term if the U.S. holder's holding period is more than one year.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Non-U.S. Holders</w:t>
      </w:r>
    </w:p>
    <w:p>
      <w:pPr>
        <w:spacing w:after="0" w:line="188"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The following discussion is a summary of the material U.S. federal income and estate tax consequences resulting from the ownership, conversion and disposition of the notes and ownership and disposition of common stock by non-U.S. holders.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65" w:right="1440" w:bottom="1440" w:gutter="0" w:footer="0" w:header="0"/>
        </w:sectPr>
      </w:pPr>
    </w:p>
    <w:bookmarkStart w:id="48" w:name="page49"/>
    <w:bookmarkEnd w:id="48"/>
    <w:p>
      <w:pPr>
        <w:ind w:left="580"/>
        <w:spacing w:after="0"/>
        <w:rPr>
          <w:sz w:val="20"/>
          <w:szCs w:val="20"/>
          <w:color w:val="auto"/>
        </w:rPr>
      </w:pPr>
      <w:r>
        <w:rPr>
          <w:rFonts w:ascii="Courier New" w:cs="Courier New" w:eastAsia="Courier New" w:hAnsi="Courier New"/>
          <w:sz w:val="16"/>
          <w:szCs w:val="16"/>
          <w:color w:val="auto"/>
        </w:rPr>
        <w:t>Interest</w:t>
      </w:r>
    </w:p>
    <w:p>
      <w:pPr>
        <w:spacing w:after="0" w:line="188"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Interest income paid on the notes to a non-U.S. holder should not be subject to U.S. federal income tax or withholding tax (subject to the discussion below regarding backup withholding) if:</w:t>
      </w:r>
    </w:p>
    <w:p>
      <w:pPr>
        <w:spacing w:after="0" w:line="190" w:lineRule="exact"/>
        <w:rPr>
          <w:sz w:val="20"/>
          <w:szCs w:val="20"/>
          <w:color w:val="auto"/>
        </w:rPr>
      </w:pPr>
    </w:p>
    <w:p>
      <w:pPr>
        <w:ind w:left="1140" w:right="3059" w:hanging="570"/>
        <w:spacing w:after="0" w:line="239" w:lineRule="auto"/>
        <w:tabs>
          <w:tab w:leader="none" w:pos="11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is not effectively connected with the conduct of a trade or business within the U.S. by the non-U.S. holder;</w:t>
      </w:r>
    </w:p>
    <w:p>
      <w:pPr>
        <w:spacing w:after="0" w:line="189" w:lineRule="exact"/>
        <w:rPr>
          <w:rFonts w:ascii="Courier New" w:cs="Courier New" w:eastAsia="Courier New" w:hAnsi="Courier New"/>
          <w:sz w:val="16"/>
          <w:szCs w:val="16"/>
          <w:color w:val="auto"/>
        </w:rPr>
      </w:pPr>
    </w:p>
    <w:p>
      <w:pPr>
        <w:ind w:left="1140" w:right="2679" w:hanging="570"/>
        <w:spacing w:after="0"/>
        <w:tabs>
          <w:tab w:leader="none" w:pos="11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holder does not actually or constructively own 10% or more of the total voting power of all classes of our stock entitled to vote;</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holder is not a "controlled foreign corporation" that is related to us through stock ownership; and</w:t>
      </w:r>
    </w:p>
    <w:p>
      <w:pPr>
        <w:spacing w:after="0" w:line="189" w:lineRule="exact"/>
        <w:rPr>
          <w:rFonts w:ascii="Courier New" w:cs="Courier New" w:eastAsia="Courier New" w:hAnsi="Courier New"/>
          <w:sz w:val="16"/>
          <w:szCs w:val="16"/>
          <w:color w:val="auto"/>
        </w:rPr>
      </w:pPr>
    </w:p>
    <w:p>
      <w:pPr>
        <w:ind w:left="1140" w:right="2779" w:hanging="570"/>
        <w:spacing w:after="0" w:line="263" w:lineRule="auto"/>
        <w:tabs>
          <w:tab w:leader="none" w:pos="11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under penalty of perjury, certifies to us or our agent on IRS Form W-8BEN (or appropriate substitute form) that it is not a U.S. person and provides its name and address (or otherwise satisfies the applicable identification requirements).</w:t>
      </w:r>
    </w:p>
    <w:p>
      <w:pPr>
        <w:spacing w:after="0" w:line="17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a non-U.S. holder satisfies certain requirements, the certification described above may be provided by a securities clearing organization, a bank, or other financial institution that holds customers' securities in the ordinary course of its trade or business. Foreign partnerships and certain foreign trusts must provide additional documentation with respect to their partners or beneficiaries.</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 non-U.S. holder that is not exempt from tax on interest under these rules will be subject to U.S. federal income tax withholding at a rate of 30% on payments of interest, unless (i) the interest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interest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 While not entirely clear, the above discussion should be applicable to additional interest, if any, received by non-U.S. holders.</w:t>
      </w:r>
    </w:p>
    <w:p>
      <w:pPr>
        <w:spacing w:after="0" w:line="19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Constructive Dividends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As discussed above, an adjustment to the conversion price of the notes could potentially give rise to a deemed distribution to holders of the notes. See "U.S. Holders--The Notes--Constructive Dividends" above. With respect to non-U.S. holders, the deemed distribution would be subject to the rules below regarding withholding of U.S. federal tax on dividends in respect of common stock. See "Non-U.S. Holders--Dividends" below.</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Conversion</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A non-U.S. holder will not be subject to U.S. federal income tax on the conversion of a note into shares of our common stock. To the extent a non-U.S. holder receives cash in lieu of a fractional share of common stock on conversion, that cash may give rise to gain that would be subject to the rules described below with respect to the sale or exchange of a note or common stock. See "Non-U.S. Holders--Sale of Notes and Common Stock."</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65" w:right="1440" w:bottom="1440" w:gutter="0" w:footer="0" w:header="0"/>
        </w:sectPr>
      </w:pPr>
    </w:p>
    <w:bookmarkStart w:id="49" w:name="page50"/>
    <w:bookmarkEnd w:id="49"/>
    <w:p>
      <w:pPr>
        <w:ind w:left="58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If we make distributions on our common stock, those distributions generally will be treated as a dividend to the extent of our current and accumulated earnings and profits as of the end of the year of distribution. Subject to the discussion below of backup withholding, any such distribution treated as dividends to a non-U.S. holder generally will be subject to a 30% U.S. federal withholding tax, unless (i) the dividend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dividend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18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Sale of Notes and Common Stock</w:t>
      </w:r>
    </w:p>
    <w:p>
      <w:pPr>
        <w:spacing w:after="0" w:line="188" w:lineRule="exact"/>
        <w:rPr>
          <w:sz w:val="20"/>
          <w:szCs w:val="20"/>
          <w:color w:val="auto"/>
        </w:rPr>
      </w:pPr>
    </w:p>
    <w:p>
      <w:pPr>
        <w:ind w:right="3059" w:firstLine="572"/>
        <w:spacing w:after="0"/>
        <w:rPr>
          <w:sz w:val="20"/>
          <w:szCs w:val="20"/>
          <w:color w:val="auto"/>
        </w:rPr>
      </w:pPr>
      <w:r>
        <w:rPr>
          <w:rFonts w:ascii="Courier New" w:cs="Courier New" w:eastAsia="Courier New" w:hAnsi="Courier New"/>
          <w:sz w:val="16"/>
          <w:szCs w:val="16"/>
          <w:color w:val="auto"/>
        </w:rPr>
        <w:t>A non-U.S. holder will not be subject to U.S. federal income tax or withholding tax on gain realized on the sale, exchange, redemption or other disposition of a note or common stock, unless:</w:t>
      </w:r>
    </w:p>
    <w:p>
      <w:pPr>
        <w:spacing w:after="0" w:line="190" w:lineRule="exact"/>
        <w:rPr>
          <w:sz w:val="20"/>
          <w:szCs w:val="20"/>
          <w:color w:val="auto"/>
        </w:rPr>
      </w:pPr>
    </w:p>
    <w:p>
      <w:pPr>
        <w:ind w:left="1140" w:right="2599" w:hanging="570"/>
        <w:spacing w:after="0"/>
        <w:tabs>
          <w:tab w:leader="none" w:pos="11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individual non-U.S. holder, that holder is present in the U.S. for 183 days or more in the year of the disposition and certain other requirements are met; or</w:t>
      </w:r>
    </w:p>
    <w:p>
      <w:pPr>
        <w:spacing w:after="0" w:line="189" w:lineRule="exact"/>
        <w:rPr>
          <w:rFonts w:ascii="Courier New" w:cs="Courier New" w:eastAsia="Courier New" w:hAnsi="Courier New"/>
          <w:sz w:val="16"/>
          <w:szCs w:val="16"/>
          <w:color w:val="auto"/>
        </w:rPr>
      </w:pPr>
    </w:p>
    <w:p>
      <w:pPr>
        <w:ind w:left="1140" w:right="2779" w:hanging="570"/>
        <w:spacing w:after="0" w:line="239" w:lineRule="auto"/>
        <w:tabs>
          <w:tab w:leader="none" w:pos="11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effectively connected with the conduct of a U.S. trade or business of the non-U.S. holder.</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If the gain is effectively connected to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Notwithstanding the above, if we are or become a U.S. real property holding corporation (a "USRPHC"), a non-U.S. holder could be subject to federal income tax with respect to gain realized on the disposition of notes or shares of common stock. Amounts withheld, if any, with respect to such gain pursuant to the rules applicable to dispositions of U.S. real property interests would be creditable against that non-U.S. holder's U.S. federal income tax liability and could entitle that non-U.S. holder to a refund upon furnishing required information to the IRS. In general, we would be a USRPHC if interests in U.S. real estate comprised most of our assets. We do not believe that we are a USRPHC or will become a USRPHC in the future.</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United States Federal Estate Tax</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 note held by an individual who is not a citizen or resident of the U.S., as specifically defined for U.S. federal estate tax purposes, at the time of death will not be includable in the decedent's gross estate for U.S. estate tax purposes, provided that such holder or beneficial owner did not at the time of death actually or constructively own 10% or more of the combined voting power of all of our classes of stock entitled to vote, and provided that, at the time of death, payments with respect to such note would not have been effectively connected with the conduct by such holder of a trade or business within the U.S. Common stock actually or beneficially held by an individual who is not a citizen or resident of the U.S., as specifically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65" w:right="1440" w:bottom="1440" w:gutter="0" w:footer="0" w:header="0"/>
        </w:sectPr>
      </w:pPr>
    </w:p>
    <w:bookmarkStart w:id="50" w:name="page51"/>
    <w:bookmarkEnd w:id="50"/>
    <w:p>
      <w:pPr>
        <w:ind w:right="2679"/>
        <w:spacing w:after="0" w:line="241" w:lineRule="auto"/>
        <w:rPr>
          <w:sz w:val="20"/>
          <w:szCs w:val="20"/>
          <w:color w:val="auto"/>
        </w:rPr>
      </w:pPr>
      <w:r>
        <w:rPr>
          <w:rFonts w:ascii="Courier New" w:cs="Courier New" w:eastAsia="Courier New" w:hAnsi="Courier New"/>
          <w:sz w:val="16"/>
          <w:szCs w:val="16"/>
          <w:color w:val="auto"/>
        </w:rPr>
        <w:t>defined for U.S. federal estate tax purposes, at the time of death (or who previously transferred such stock subject to certain retained rights or powers) will be subject to U.S. federal estate tax unless otherwise provided by an applicable estate tax treaty.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Backup Withholding and Information Reporting</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the recipient's taxpayer identification number to the payor, furnishing an incorrect identification number, or repeatedly failing to report interest or dividends on his returns. The withholding tax rate is currently 28 percent.</w:t>
      </w:r>
    </w:p>
    <w:p>
      <w:pPr>
        <w:spacing w:after="0" w:line="191"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Non-exempt U.S. holders will be subject to information reporting with respect to payments of interest on notes and dividends on common stock, and under certain circumstances, payments of principal. Non-exempt U.S. holders who are subject to information reporting and who do not provide appropriate information when requested may be subject to backup withholding. U.S. holders should consult their tax advisors.</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Payments of interest on notes and dividends on common stock to non-U.S. holders will be subject to information reporting on Form 1042-S. If the notes are held by a non-U.S. holder through a non-U.S., and non-U.S. related, broker or financial institution, backup withholding generally would not be required. Backup withholding may apply if the notes are held by a non-U.S. holder through a U.S., or U.S. related, broker or financial institution and the non-U.S. holder fails to provide appropriate information. Non-U.S. holders should consult their tax advisors.</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Any amounts withheld from a payment under the backup withholding rules will be allowed as a refund or credit against a holder's federal income tax liability, provided that the required information is furnished to the IRS. Some holders (including, among others, U.S. corporations) are generally not subject to information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67" w:right="1440" w:bottom="1440" w:gutter="0" w:footer="0" w:header="0"/>
        </w:sectPr>
      </w:pPr>
    </w:p>
    <w:bookmarkStart w:id="51" w:name="page52"/>
    <w:bookmarkEnd w:id="51"/>
    <w:p>
      <w:pPr>
        <w:ind w:left="2760"/>
        <w:spacing w:after="0"/>
        <w:rPr>
          <w:sz w:val="20"/>
          <w:szCs w:val="20"/>
          <w:color w:val="auto"/>
        </w:rPr>
      </w:pPr>
      <w:r>
        <w:rPr>
          <w:rFonts w:ascii="Courier New" w:cs="Courier New" w:eastAsia="Courier New" w:hAnsi="Courier New"/>
          <w:sz w:val="16"/>
          <w:szCs w:val="16"/>
          <w:color w:val="auto"/>
        </w:rPr>
        <w:t>SELLING SECURITYHOLDERS</w:t>
      </w:r>
    </w:p>
    <w:p>
      <w:pPr>
        <w:spacing w:after="0" w:line="37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originally issued the notes to the Initial Purchaser in a private placement in November 2003. Our net proceeds from the sale and issuance of the notes to the Initial Purchaser were approximately $95.8 million, after deducting the discount and estimated expenses of the offering. The notes were immediately resold by the Initial Purchaser to persons reasonably believed by the Initial Purchaser to be qualified institutional buyers within the meaning of Rule 144A under the Securities Act in transactions exempt from registration under the Securities Act. Selling securityholders, including their transferees, pledgees or donees or their successors, may from time to time offer and sell the notes and the common stock into which the notes are convertible pursuant to this prospectus. Our registration of the notes and the shares of common stock issuable upon conversion of the notes does not necessarily mean that the selling securityholders will sell all or any of the notes or the common stock. Unless set forth below, none of the selling securityholders has had within the past three years any material relationship with us or any of our predecessors or affiliates.</w:t>
      </w:r>
    </w:p>
    <w:p>
      <w:pPr>
        <w:spacing w:after="0" w:line="194"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as of April 21,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0"/>
          <w:szCs w:val="20"/>
          <w:color w:val="auto"/>
        </w:rPr>
      </w:pPr>
    </w:p>
    <w:p>
      <w:pPr>
        <w:spacing w:after="0" w:line="36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65" w:right="1440" w:bottom="1440" w:gutter="0" w:footer="0" w:header="0"/>
        </w:sectPr>
      </w:pPr>
    </w:p>
    <w:bookmarkStart w:id="52" w:name="page53"/>
    <w:bookmarkEnd w:id="52"/>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Akanthos Arbitrage Master Fund, LP(1)</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5,000,000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5.0</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469,500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1.3</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Argent Classic Convertible Arbitrage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Fund (Bermuda) Ltd.(2)</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2,600,000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244,140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Argent Classic Convertible Arbitrage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Fund II, L.P.(3)</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16,902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Argent Classic Convertible Arbitrage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Fund L. P.(4)</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1,050,000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1.1</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98,595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Arkansas PERS(5)</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1,045,000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1.0</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98,125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00" w:hanging="582"/>
        <w:spacing w:after="0" w:line="241" w:lineRule="auto"/>
        <w:tabs>
          <w:tab w:leader="none" w:pos="5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Akanthos Capital Management, LLC is the general partner of Akanthos Arbitrage Master Fund, LP. Michael Kao, Managing Member of Akanthos Capital Management, LLC, exercises investment and voting control on behalf of such entity.</w:t>
      </w:r>
    </w:p>
    <w:p>
      <w:pPr>
        <w:spacing w:after="0" w:line="189" w:lineRule="exact"/>
        <w:rPr>
          <w:rFonts w:ascii="Courier New" w:cs="Courier New" w:eastAsia="Courier New" w:hAnsi="Courier New"/>
          <w:sz w:val="16"/>
          <w:szCs w:val="16"/>
          <w:color w:val="auto"/>
        </w:rPr>
      </w:pPr>
    </w:p>
    <w:p>
      <w:pPr>
        <w:ind w:left="582" w:right="3900" w:hanging="582"/>
        <w:spacing w:after="0" w:line="242" w:lineRule="auto"/>
        <w:tabs>
          <w:tab w:leader="none" w:pos="5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Cox and Allan Marshall are the controlling shareholders of Argent Classic Convertible Arbitrage Fund (Bermuda) Ltd. Argent International Management Company, LLC is the investment advisor to Argent Classic Convertible Arbitrage Fund (Bermuda) Ltd. with respect to the securities listed on the table. Nathanial Brown and Robert Richardson exercise voting and investment power over such securities on behalf of Argent International Management Company, LLC.</w:t>
      </w:r>
    </w:p>
    <w:p>
      <w:pPr>
        <w:spacing w:after="0" w:line="187" w:lineRule="exact"/>
        <w:rPr>
          <w:rFonts w:ascii="Courier New" w:cs="Courier New" w:eastAsia="Courier New" w:hAnsi="Courier New"/>
          <w:sz w:val="16"/>
          <w:szCs w:val="16"/>
          <w:color w:val="auto"/>
        </w:rPr>
      </w:pPr>
    </w:p>
    <w:p>
      <w:pPr>
        <w:ind w:left="582" w:right="4080" w:hanging="582"/>
        <w:spacing w:after="0" w:line="242" w:lineRule="auto"/>
        <w:tabs>
          <w:tab w:leader="none" w:pos="5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Bruce McMahan, Saul Schwartzman and John Gordon are the General Partners of Argent Classic Convertible Arbitrage Fund II L. P. Argent Management Company, LLC is the investment advisor to Argent Classic Convertible Arbitrage Fund II L. P. with respect to the securities listed on the table. Nathanial Brown and Robert Richardson exercise voting and investment power over such securities on behalf of Argent Management Company, LLC.</w:t>
      </w:r>
    </w:p>
    <w:p>
      <w:pPr>
        <w:spacing w:after="0" w:line="187" w:lineRule="exact"/>
        <w:rPr>
          <w:rFonts w:ascii="Courier New" w:cs="Courier New" w:eastAsia="Courier New" w:hAnsi="Courier New"/>
          <w:sz w:val="16"/>
          <w:szCs w:val="16"/>
          <w:color w:val="auto"/>
        </w:rPr>
      </w:pPr>
    </w:p>
    <w:p>
      <w:pPr>
        <w:ind w:left="582" w:right="3900" w:hanging="582"/>
        <w:spacing w:after="0" w:line="242" w:lineRule="auto"/>
        <w:tabs>
          <w:tab w:leader="none" w:pos="5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Bruce McMahan, Saul Schwartzman and John Gordon are the General Partners of Argent Classic Convertible Arbitrage Fund L. P. Argent Management Company, LLC is the investment advisor to Argent Classic Convertible Arbitrage Fund L. P. with respect to the securities listed on the table. Nathanial Brown and Robert Richardson exercise voting and investment power over such securities on behalf of Argent Management Company, LLC.</w:t>
      </w:r>
    </w:p>
    <w:p>
      <w:pPr>
        <w:spacing w:after="0" w:line="187"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Arkansas PERS with respect to the securities listed on the table. Ann Houlihan exercises voting and investment power over such securities on behalf of Froley Revy Investment Company Inc.</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1522"/>
          </w:cols>
          <w:pgMar w:left="238" w:top="1215" w:right="139" w:bottom="1440" w:gutter="0" w:footer="0" w:header="0"/>
        </w:sectPr>
      </w:pPr>
    </w:p>
    <w:bookmarkStart w:id="53" w:name="page54"/>
    <w:bookmarkEnd w:id="53"/>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Astrazeneca Holdings Pension(6)</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23,475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Bancroft Convertible Fund, Inc.(7)</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1,500,000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1.5</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140,850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Barclays Global Investors Diversified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Alpha Plus Funds(8)</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75,000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7,043</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BNP Paribas Equity Strategies, SNC(9)</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1,657,000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1.7</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155,592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4,137</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BP Amoco PLC Master Trust(10)</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717,000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67,326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Clinton Multistrategy Master Fund,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Ltd.(11)</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500,000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46,950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Clinton Riverside Convertible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Portfolio Limited(12)</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750,000</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70,425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80" w:hanging="582"/>
        <w:spacing w:after="0" w:line="241" w:lineRule="auto"/>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Astrazeneca Holdings Pension with respect to the securities listed on the table. Ann Houlihan exercises voting and investment power over such securities on behalf of Froley Revy Investment Company Inc.</w:t>
      </w:r>
    </w:p>
    <w:p>
      <w:pPr>
        <w:spacing w:after="0" w:line="189" w:lineRule="exact"/>
        <w:rPr>
          <w:rFonts w:ascii="Courier New" w:cs="Courier New" w:eastAsia="Courier New" w:hAnsi="Courier New"/>
          <w:sz w:val="16"/>
          <w:szCs w:val="16"/>
          <w:color w:val="auto"/>
        </w:rPr>
      </w:pPr>
    </w:p>
    <w:p>
      <w:pPr>
        <w:ind w:left="582" w:right="4080" w:hanging="582"/>
        <w:spacing w:after="0" w:line="239" w:lineRule="auto"/>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Bancroft Convertible Fund, Inc. is a publicly held registered investment company.</w:t>
      </w:r>
    </w:p>
    <w:p>
      <w:pPr>
        <w:spacing w:after="0" w:line="189" w:lineRule="exact"/>
        <w:rPr>
          <w:rFonts w:ascii="Courier New" w:cs="Courier New" w:eastAsia="Courier New" w:hAnsi="Courier New"/>
          <w:sz w:val="16"/>
          <w:szCs w:val="16"/>
          <w:color w:val="auto"/>
        </w:rPr>
      </w:pPr>
    </w:p>
    <w:p>
      <w:pPr>
        <w:ind w:left="582" w:right="3980" w:hanging="582"/>
        <w:spacing w:after="0" w:line="262" w:lineRule="auto"/>
        <w:tabs>
          <w:tab w:leader="none" w:pos="58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Forest Investment Management is the investment advisor to Barclays Global Investors Diversified Alpha Plus Funds with respect to the securities listed on the table. Forest Investment Management is wholly owned by Forest Partners II, the sole General Partner of which is Michael A. Boyd Inc. Michael A. Boyd is the sole owner of Michael A. Boyd Inc.</w:t>
      </w:r>
    </w:p>
    <w:p>
      <w:pPr>
        <w:spacing w:after="0" w:line="172" w:lineRule="exact"/>
        <w:rPr>
          <w:rFonts w:ascii="Courier New" w:cs="Courier New" w:eastAsia="Courier New" w:hAnsi="Courier New"/>
          <w:sz w:val="15"/>
          <w:szCs w:val="15"/>
          <w:color w:val="auto"/>
        </w:rPr>
      </w:pPr>
    </w:p>
    <w:p>
      <w:pPr>
        <w:ind w:left="582" w:right="3980" w:hanging="582"/>
        <w:spacing w:after="0" w:line="242" w:lineRule="auto"/>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CooperNeff Advisors Inc. is the investment advisor for BNP Paribas Equity Strategies, SNC with respect to the securities listed on the table. CooperNeff Advisors Inc. is a wholly subsidiary of CooperNeffGroup, Inc., which is in turn wholly owned on a consolidated basis by BNP Paribas, SA, a foreign public company. BNP Paribas Equity Strategies, SNC is an affiliate of BNP Paribas Brokerage Services, Inc., a registered broker-dealer.</w:t>
      </w:r>
    </w:p>
    <w:p>
      <w:pPr>
        <w:spacing w:after="0" w:line="187"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Clinton Group, Inc. is the investment advisor for Clinton Multistrategy Master Fund, Ltd. with respect to the securities listed on the table. Mike Vacca, Senior Portfolio Manager at Clinton Group, Inc., exercises voting and investment power over such securities.</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Clinton Group, Inc. is the investment advisor for Clinton Riverside Convertible Portfolio Limited with respect to the securities listed on the table. Mike Vacca, Senior Portfolio Manager at Clinton Group, Inc., exercises voting and investment power over such securities.</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1522"/>
          </w:cols>
          <w:pgMar w:left="238" w:top="1031" w:right="139" w:bottom="1440" w:gutter="0" w:footer="0" w:header="0"/>
        </w:sectPr>
      </w:pPr>
    </w:p>
    <w:bookmarkStart w:id="54" w:name="page55"/>
    <w:bookmarkEnd w:id="54"/>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CNH CA Master Account, L.P.(13)</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1,250,000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1.3</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117,375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CooperNeff Convertible Strategies</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(Cayman) Master Fund, L.P.(14)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1,640,000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1.6</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153,996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CSS, L.L.C.(15)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93,900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DBAG London(16)</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4,100,000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4.1</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384,990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1.1</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Delaware PERS(17)</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75,120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Ellsworth Convertible Growth and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Income Fund, Inc.(18)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140,850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Fist-Franklin Convertible Securities</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Fund(19)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657,300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1.9</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80" w:hanging="582"/>
        <w:spacing w:after="0" w:line="241" w:lineRule="auto"/>
        <w:tabs>
          <w:tab w:leader="none" w:pos="5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CNH Partners, LLC is the investment advisor for CNH CA Master Account, L.P. Robert Krail, Mark Mitchell and Todd Pulvino exercise voting and investment power over such securities on behalf of CNH Partners, LLC. The general partners of CNH CA Master Account, L.P. is AQR Principal Global Asset Allocation LLC, CNH CA, Ltd. and CHH CA II, Ltd.</w:t>
      </w:r>
    </w:p>
    <w:p>
      <w:pPr>
        <w:spacing w:after="0" w:line="190" w:lineRule="exact"/>
        <w:rPr>
          <w:rFonts w:ascii="Courier New" w:cs="Courier New" w:eastAsia="Courier New" w:hAnsi="Courier New"/>
          <w:sz w:val="16"/>
          <w:szCs w:val="16"/>
          <w:color w:val="auto"/>
        </w:rPr>
      </w:pPr>
    </w:p>
    <w:p>
      <w:pPr>
        <w:ind w:left="582" w:right="3980" w:hanging="582"/>
        <w:spacing w:after="0" w:line="261" w:lineRule="auto"/>
        <w:tabs>
          <w:tab w:leader="none" w:pos="58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CooperNeff (Cayman) Ltd. is the general partner of CooperNeff Convertible Strategies (Cayman) Master Fund, L.P. CooperNeff Advisors Inc. is the investment advisor to CooperNeff (Cayman) Ltd. with respect to the securities listed on the table. CooperNeff Advisors Inc. is a controlled subsidiary of CooperNeff Group, Inc., which is in turn wholly owned on a consolidated basis by BNP Paribas, SA, a foreign public company.</w:t>
      </w:r>
    </w:p>
    <w:p>
      <w:pPr>
        <w:spacing w:after="0" w:line="175" w:lineRule="exact"/>
        <w:rPr>
          <w:rFonts w:ascii="Courier New" w:cs="Courier New" w:eastAsia="Courier New" w:hAnsi="Courier New"/>
          <w:sz w:val="15"/>
          <w:szCs w:val="15"/>
          <w:color w:val="auto"/>
        </w:rPr>
      </w:pPr>
    </w:p>
    <w:p>
      <w:pPr>
        <w:ind w:left="582" w:right="4180" w:hanging="582"/>
        <w:spacing w:after="0" w:line="239" w:lineRule="auto"/>
        <w:tabs>
          <w:tab w:leader="none" w:pos="5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Canusillo and Clayton A. Struve are the managing members and shareholders of CSS, L.L.C., a registered broker-dealer.</w:t>
      </w:r>
    </w:p>
    <w:p>
      <w:pPr>
        <w:spacing w:after="0" w:line="189" w:lineRule="exact"/>
        <w:rPr>
          <w:rFonts w:ascii="Courier New" w:cs="Courier New" w:eastAsia="Courier New" w:hAnsi="Courier New"/>
          <w:sz w:val="16"/>
          <w:szCs w:val="16"/>
          <w:color w:val="auto"/>
        </w:rPr>
      </w:pPr>
    </w:p>
    <w:p>
      <w:pPr>
        <w:ind w:left="582" w:right="4280" w:hanging="582"/>
        <w:spacing w:after="0"/>
        <w:tabs>
          <w:tab w:leader="none" w:pos="5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 Azzi exercises voting and investment power over such securities on behalf of DBAG London. DBAG London is affiliated with Deutsche Bank Securities Inc., a registered broker-dealer.</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Delaware PERS with respect to the securities listed on the table. Ann Houlihan exercises voting and investment power over such securities on behalf of Froley Revy Investment Company Inc.</w:t>
      </w:r>
    </w:p>
    <w:p>
      <w:pPr>
        <w:spacing w:after="0" w:line="189" w:lineRule="exact"/>
        <w:rPr>
          <w:rFonts w:ascii="Courier New" w:cs="Courier New" w:eastAsia="Courier New" w:hAnsi="Courier New"/>
          <w:sz w:val="16"/>
          <w:szCs w:val="16"/>
          <w:color w:val="auto"/>
        </w:rPr>
      </w:pPr>
    </w:p>
    <w:p>
      <w:pPr>
        <w:ind w:left="582" w:right="4360" w:hanging="582"/>
        <w:spacing w:after="0" w:line="239" w:lineRule="auto"/>
        <w:tabs>
          <w:tab w:leader="none" w:pos="5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Ellsworth Convertible Growth and Income Fund, Inc. is a publicly held registered investment company.</w:t>
      </w:r>
    </w:p>
    <w:p>
      <w:pPr>
        <w:spacing w:after="0" w:line="189" w:lineRule="exact"/>
        <w:rPr>
          <w:rFonts w:ascii="Courier New" w:cs="Courier New" w:eastAsia="Courier New" w:hAnsi="Courier New"/>
          <w:sz w:val="16"/>
          <w:szCs w:val="16"/>
          <w:color w:val="auto"/>
        </w:rPr>
      </w:pPr>
    </w:p>
    <w:p>
      <w:pPr>
        <w:ind w:left="582" w:right="4180" w:hanging="582"/>
        <w:spacing w:after="0" w:line="239" w:lineRule="auto"/>
        <w:tabs>
          <w:tab w:leader="none" w:pos="5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Fist-Franklin Convertible Securities Fund is a publicly held registered investment company.</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1522"/>
          </w:cols>
          <w:pgMar w:left="238" w:top="1031" w:right="139" w:bottom="1440" w:gutter="0" w:footer="0" w:header="0"/>
        </w:sectPr>
      </w:pPr>
    </w:p>
    <w:bookmarkStart w:id="55" w:name="page56"/>
    <w:bookmarkEnd w:id="55"/>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Forest Fulcrum Fund LP(20)</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13,146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Forest Global Convertible Fund, Ltd.,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Class A-5(21)</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551,000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51,739</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Forest Multi-Strategy Master Fund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SPC, on behalf of its Multi-Strategy</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Segregated Portfolio(22)</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218,000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20,274</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Froley Revy Investment Convertible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Security Fund(23)</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5,634</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FrontPoint Convertible Arbitrage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Fund, L.P.(24)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2.3</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215,970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80" w:hanging="582"/>
        <w:spacing w:after="0" w:line="242" w:lineRule="auto"/>
        <w:tabs>
          <w:tab w:leader="none" w:pos="5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Forest Fulcrum Fund LP with respect to the securities listed on the table. Forest Investment Management is wholly owned by Forest Partners II, the sole General Partner of which is Michael A. Boyd Inc. Michael A. Boyd is the sole owner of Michael A. Boyd Inc. Forest Fulcrum Fund LP is a registered broker-dealer.</w:t>
      </w:r>
    </w:p>
    <w:p>
      <w:pPr>
        <w:spacing w:after="0" w:line="187"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Forest Global Convertible Fund, Ltd., Class A-5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3900" w:hanging="582"/>
        <w:spacing w:after="0" w:line="242" w:lineRule="auto"/>
        <w:tabs>
          <w:tab w:leader="none" w:pos="5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Forest Multi-Strategy Master Fund SPC, on behalf of its Multi-Strategy Segregated Portfolio with respect to the securities listed on the table. Forest Investment Management is wholly owned by Forest Partners II, the sole General Partner of which is Michael A. Boyd Inc. Michael A. Boyd is the sole owner of Michael A. Boyd Inc.</w:t>
      </w:r>
    </w:p>
    <w:p>
      <w:pPr>
        <w:spacing w:after="0" w:line="187" w:lineRule="exact"/>
        <w:rPr>
          <w:rFonts w:ascii="Courier New" w:cs="Courier New" w:eastAsia="Courier New" w:hAnsi="Courier New"/>
          <w:sz w:val="16"/>
          <w:szCs w:val="16"/>
          <w:color w:val="auto"/>
        </w:rPr>
      </w:pPr>
    </w:p>
    <w:p>
      <w:pPr>
        <w:ind w:left="582" w:right="4080" w:hanging="582"/>
        <w:spacing w:after="0" w:line="263" w:lineRule="auto"/>
        <w:tabs>
          <w:tab w:leader="none" w:pos="58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Froley Revy Investment Company Inc. is the investment advisor for Froley Revy Investment Convertible Security Fund with respect to the securities listed on the table. Ann Houlihan exercises voting and investment power over such securities on behalf of Froley Revy Investment Company Inc.</w:t>
      </w:r>
    </w:p>
    <w:p>
      <w:pPr>
        <w:spacing w:after="0" w:line="172" w:lineRule="exact"/>
        <w:rPr>
          <w:rFonts w:ascii="Courier New" w:cs="Courier New" w:eastAsia="Courier New" w:hAnsi="Courier New"/>
          <w:sz w:val="15"/>
          <w:szCs w:val="15"/>
          <w:color w:val="auto"/>
        </w:rPr>
      </w:pPr>
    </w:p>
    <w:p>
      <w:pPr>
        <w:ind w:left="582" w:right="3900" w:hanging="582"/>
        <w:spacing w:after="0" w:line="242" w:lineRule="auto"/>
        <w:tabs>
          <w:tab w:leader="none" w:pos="5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FrontPoint Convertible Arbitrage Fund GP LLC is the general partner of FrontPoint Convertible Arbitrage Fund, L.P. FrontPoint Partners LLC is the managing member of FrontPoint Convertible Arbitrage Fund GP LLC. Philip Duff, W. Gillespie Caffray and Paul Ghaffare are the members of the board of managers of FrontPoint Partners LLC and exercise voting and dispositive power over the securities on behalf of FrontPoint Partners LLC. Each of the above parties disclaim beneficial ownership of the securities held by the FrontPoint Convertible Arbitrage Fund except for their pecuniary interest therein.</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1522"/>
          </w:cols>
          <w:pgMar w:left="238" w:top="1031" w:right="139" w:bottom="1440" w:gutter="0" w:footer="0" w:header="0"/>
        </w:sectPr>
      </w:pPr>
    </w:p>
    <w:bookmarkStart w:id="56" w:name="page57"/>
    <w:bookmarkEnd w:id="56"/>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Grace Brothers, LTD.(25)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93,900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Grace Convertible Arbitrage Fund,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LTD.(26)</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70,425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HFR CA Global Opportunity Master</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Trust(27)</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3,568</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HFR CA Select Fund(28)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84,510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HFR RVA Select Performance Master</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Trust(29)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3,005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Highbridge International LLC(30)</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187,800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80" w:hanging="582"/>
        <w:spacing w:after="0"/>
        <w:tabs>
          <w:tab w:leader="none" w:pos="5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Bradford Whitmore and Michael Braicov, general partners of Grace Brothers LTD, exercise investment and voting control. Grace Brothers, LTD. is a registered broker-dealer.</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partner of Grace Convertible Arbitrage Fund, LTD. is Grace Brothers Management, LLC. Bradford Whitmore and Michael Braicov exercise investment and voting control on behalf of Grace Brothers Management, LLC. Grace Convertible Arbitrage Fund, LTD. is affiliated with Grace Brothers, LTD., a registered broker-dealer.</w:t>
      </w:r>
    </w:p>
    <w:p>
      <w:pPr>
        <w:spacing w:after="0" w:line="190"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HFR RVA Select Performance Master Trust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4180" w:hanging="582"/>
        <w:spacing w:after="0" w:line="241" w:lineRule="auto"/>
        <w:tabs>
          <w:tab w:leader="none" w:pos="5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Zazove Associates, LLC is the investment advisor for HFR CA Select Fund with respect to the securities listed on the table. Gene T. Prelti exercises investment and voting control on behalf of Zazove Associates, LLC.</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HFR CA Global Opportunity Master Trust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3980" w:hanging="582"/>
        <w:spacing w:after="0" w:line="242" w:lineRule="auto"/>
        <w:tabs>
          <w:tab w:leader="none" w:pos="5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Highbridge Capital Management LLC is the Managing Member of Highbridge International LLC. Glenn Dubin &amp; Henry Swieca are the Managing Members of Highbridge Capital Management LLC and exercise investment and voting control on behalf of such entity. Highbridge International LLC is a subsidiary of Highbridge Capital Management LLC, a registered broker-dealer.</w:t>
      </w:r>
    </w:p>
    <w:p>
      <w:pPr>
        <w:spacing w:after="0" w:line="3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1522"/>
          </w:cols>
          <w:pgMar w:left="238" w:top="1031" w:right="139" w:bottom="1440" w:gutter="0" w:footer="0" w:header="0"/>
        </w:sectPr>
      </w:pPr>
    </w:p>
    <w:bookmarkStart w:id="57" w:name="page58"/>
    <w:bookmarkEnd w:id="57"/>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Hotel Union &amp; Hotel Industry of</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Hawaii Pension Plan(31)</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158,000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14,836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ICI American Holdings Trust(32)</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16,902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Institutional Benchmarks Master Fund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Ltd.(33)</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998,000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93,712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Jefferies &amp; Company Inc.(34)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282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KBC Financial Products USA Inc.(35)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$1,850,000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173,715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LDG Limited(36)</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63,000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5,915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Lexington Vantage Fund(37)</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1,502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jc w:val="both"/>
        <w:ind w:left="582" w:right="3980" w:hanging="582"/>
        <w:spacing w:after="0"/>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ind w:left="582" w:right="4360" w:hanging="582"/>
        <w:spacing w:after="0" w:line="241" w:lineRule="auto"/>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ICI American Holdings Trust with respect to the securities listed on the table. Ann Houlihan exercises voting and investment power over such securities on behalf of Froley Revy Investment Company Inc.</w:t>
      </w:r>
    </w:p>
    <w:p>
      <w:pPr>
        <w:spacing w:after="0" w:line="189"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ind w:left="582" w:right="3900" w:hanging="582"/>
        <w:spacing w:after="0"/>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Luke Edwards, Managing Director of KBC Financial Products USA Inc., exercises investing and voting control over such securities. KBC Financial Products USA Inc. is a registered broker-dealer.</w:t>
      </w:r>
    </w:p>
    <w:p>
      <w:pPr>
        <w:spacing w:after="0" w:line="189"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to LDG Limited with respect to the securities listed on the table. Robert Butman, John Idone, George Esser, Paul Bucci and Bartholomew Tesoriero, Managing Members of TQA Investors, L.L.C., exercise voting and investment power over such securities.</w:t>
      </w:r>
    </w:p>
    <w:p>
      <w:pPr>
        <w:spacing w:after="0" w:line="190"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to Lexington Vantage Fund with respect to the securities listed on the table. Robert Butman, Managing Member of TQA Investors, L.L.C., exercises voting and investment power over such securities.</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1522"/>
          </w:cols>
          <w:pgMar w:left="238" w:top="1031" w:right="139" w:bottom="1440" w:gutter="0" w:footer="0" w:header="0"/>
        </w:sectPr>
      </w:pPr>
    </w:p>
    <w:bookmarkStart w:id="58" w:name="page59"/>
    <w:bookmarkEnd w:id="58"/>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LLT Limited(38)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4,132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Lyxor/Convertible Arbitrage Fund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Limited(39)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167,000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15,681</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Lyxor/Forest Fund Limited(40)</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214,000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20,095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Municipal Employee Retirement System</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of Michigan(41)</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2,250,000</w:t>
            </w:r>
          </w:p>
        </w:tc>
        <w:tc>
          <w:tcPr>
            <w:tcW w:w="15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211,275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Newport Alternative Income Fund(42)</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965,000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90,614</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OCLC Online Computer Library Center</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Inc.(43)</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2,347</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Piper Jaffray Cos.(44)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187,800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Polaris Vega Fund L.P.(45)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234,750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00" w:hanging="582"/>
        <w:spacing w:after="0" w:line="241"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LLT Limited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4180" w:hanging="582"/>
        <w:spacing w:after="0" w:line="241"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SG Hambros Fund Managers (Jersey) Limited, investment advisor to Lyxor/Convertible Arbitrage Fund Limited with respect to the securities listed on the table, is indirectly wholly owned by SOCIETE GENERALE, a foreign public company.</w:t>
      </w:r>
    </w:p>
    <w:p>
      <w:pPr>
        <w:spacing w:after="0" w:line="189" w:lineRule="exact"/>
        <w:rPr>
          <w:rFonts w:ascii="Courier New" w:cs="Courier New" w:eastAsia="Courier New" w:hAnsi="Courier New"/>
          <w:sz w:val="16"/>
          <w:szCs w:val="16"/>
          <w:color w:val="auto"/>
        </w:rPr>
      </w:pPr>
    </w:p>
    <w:p>
      <w:pPr>
        <w:ind w:left="582" w:right="4180" w:hanging="582"/>
        <w:spacing w:after="0" w:line="241"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Lyxor/Forest Fund Limited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Kennedy Capital Management is the investment advisor to Municipal Employee Retirement System of Michigan with respect to the securities listed on the table. Tim Hasara exercises voting and investment power over such securities on behalf of Kennedy Capital Management.</w:t>
      </w:r>
    </w:p>
    <w:p>
      <w:pPr>
        <w:spacing w:after="0" w:line="189" w:lineRule="exact"/>
        <w:rPr>
          <w:rFonts w:ascii="Courier New" w:cs="Courier New" w:eastAsia="Courier New" w:hAnsi="Courier New"/>
          <w:sz w:val="16"/>
          <w:szCs w:val="16"/>
          <w:color w:val="auto"/>
        </w:rPr>
      </w:pPr>
    </w:p>
    <w:p>
      <w:pPr>
        <w:ind w:left="582" w:right="4080" w:hanging="582"/>
        <w:spacing w:after="0" w:line="241"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Silvercreek Management Inc. is the investment advisor for Newport Alternative Income Fund with respect to the securities listed on the table. Louise Morwick and Bryn Joynt, respectively President and Vice President of Silvercreek Management Inc., exercise voting and investment power over such securities.</w:t>
      </w:r>
    </w:p>
    <w:p>
      <w:pPr>
        <w:spacing w:after="0" w:line="190"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Arkansas PERS with respect to the securities listed on the table. Ann Houlihan exercises voting and investment power over such securities on behalf of Froley Revy Investment Company Inc.</w:t>
      </w:r>
    </w:p>
    <w:p>
      <w:pPr>
        <w:spacing w:after="0" w:line="189" w:lineRule="exact"/>
        <w:rPr>
          <w:rFonts w:ascii="Courier New" w:cs="Courier New" w:eastAsia="Courier New" w:hAnsi="Courier New"/>
          <w:sz w:val="16"/>
          <w:szCs w:val="16"/>
          <w:color w:val="auto"/>
        </w:rPr>
      </w:pPr>
    </w:p>
    <w:p>
      <w:pPr>
        <w:ind w:left="582" w:right="3980" w:hanging="582"/>
        <w:spacing w:after="0" w:line="239" w:lineRule="auto"/>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Piper Jaffray Cos. is a publicly held registered investment company and a registered broker-dealer.</w:t>
      </w:r>
    </w:p>
    <w:p>
      <w:pPr>
        <w:spacing w:after="0" w:line="189" w:lineRule="exact"/>
        <w:rPr>
          <w:rFonts w:ascii="Courier New" w:cs="Courier New" w:eastAsia="Courier New" w:hAnsi="Courier New"/>
          <w:sz w:val="16"/>
          <w:szCs w:val="16"/>
          <w:color w:val="auto"/>
        </w:rPr>
      </w:pPr>
    </w:p>
    <w:p>
      <w:pPr>
        <w:ind w:left="582" w:right="4180" w:hanging="582"/>
        <w:spacing w:after="0"/>
        <w:tabs>
          <w:tab w:leader="none" w:pos="5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Silverton Management Company Limited is the General Partner of Polaris Vega Fund L.P. Gregory R. Levinson is the owner of Silverton Management Company Limited.</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1522"/>
          </w:cols>
          <w:pgMar w:left="238" w:top="1031" w:right="139" w:bottom="1440" w:gutter="0" w:footer="0" w:header="0"/>
        </w:sectPr>
      </w:pPr>
    </w:p>
    <w:bookmarkStart w:id="59" w:name="page60"/>
    <w:bookmarkEnd w:id="59"/>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Relay 11 Holdings Co.(46)</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2,817</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S.A.C. Capital Associates, LLC(47)</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11.0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1,032,900</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40,200</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2.9</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San Diego County Employee Retirement</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Association(48)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140,850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Silvercreek II Limited(49)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2,580,000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2.6</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242,262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Silvercreek Limited Partnership(50)</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4,955,000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465,275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1.3</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Singlehedge U.S. Convertible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Arbitrage Fund(51)</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462,000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43,381</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Sphinx Convertible Arb Fund(52)</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265,000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24,884</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4180" w:hanging="582"/>
        <w:spacing w:after="0" w:line="241" w:lineRule="auto"/>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Relay 11 Holdings Co.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S.A.C. Capital Advisors, LLC and S.A.C. Capital Associates, LLC share voting and investment power with respect to the securities listed on the table. Mr. Steven A. Cohen controls both entities and exercises voting and investment power on their behalf. Each of the above parties disclaim beneficial ownership of the securities listed on this table.</w:t>
      </w:r>
    </w:p>
    <w:p>
      <w:pPr>
        <w:spacing w:after="0" w:line="190" w:lineRule="exact"/>
        <w:rPr>
          <w:rFonts w:ascii="Courier New" w:cs="Courier New" w:eastAsia="Courier New" w:hAnsi="Courier New"/>
          <w:sz w:val="16"/>
          <w:szCs w:val="16"/>
          <w:color w:val="auto"/>
        </w:rPr>
      </w:pPr>
    </w:p>
    <w:p>
      <w:pPr>
        <w:ind w:left="582" w:right="4080" w:hanging="582"/>
        <w:spacing w:after="0" w:line="241" w:lineRule="auto"/>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Zazove Associates, LLC is the investment advisor for San Diego County Employee Retirement Association with respect to the securities listed on the table. Gene T. Prelti exercises investment and voting control on behalf of Zazove Associates, LLC.</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Silvercreek Management Inc. is the investment advisor for Silvercreek II Limited with respect to the securities listed on the table. Louise Morwick and Bryn Joynt, respectively President and Vice President of Silvercreek Management Inc., exercise voting and investment power over such securities.</w:t>
      </w:r>
    </w:p>
    <w:p>
      <w:pPr>
        <w:spacing w:after="0" w:line="190"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Silvercreek Management Inc. is the investment advisor for Silvercreek Limited Partnership with respect to the securities listed on the table. Louise Morwick and Bryn Joynt, respectively President and Vice President of Silvercreek Management Inc., exercise voting and investment power over such securities.</w:t>
      </w:r>
    </w:p>
    <w:p>
      <w:pPr>
        <w:spacing w:after="0" w:line="190" w:lineRule="exact"/>
        <w:rPr>
          <w:rFonts w:ascii="Courier New" w:cs="Courier New" w:eastAsia="Courier New" w:hAnsi="Courier New"/>
          <w:sz w:val="16"/>
          <w:szCs w:val="16"/>
          <w:color w:val="auto"/>
        </w:rPr>
      </w:pPr>
    </w:p>
    <w:p>
      <w:pPr>
        <w:ind w:left="582" w:right="4080" w:hanging="582"/>
        <w:spacing w:after="0" w:line="241" w:lineRule="auto"/>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CooperNeff Advisors Inc., investment advisor to Singlehedge U.S. Convertible Arbitrage Fund with respect to the securities listed on the table, is a controlled subsidiary of CooperNeff Group, Inc., which is in turn wholly owned on a consolidated basis by BNP Paribas, SA, a foreign public company.</w:t>
      </w:r>
    </w:p>
    <w:p>
      <w:pPr>
        <w:spacing w:after="0" w:line="190"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1522"/>
          </w:cols>
          <w:pgMar w:left="238" w:top="1031" w:right="139" w:bottom="1440" w:gutter="0" w:footer="0" w:header="0"/>
        </w:sectPr>
      </w:pPr>
    </w:p>
    <w:bookmarkStart w:id="60" w:name="page61"/>
    <w:bookmarkEnd w:id="60"/>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Sphinx Convertible Arbitrage SPC(53)</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42,000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3,944</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Sphinx Fund(54)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3,756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SSI Blended Market Neutral L.P.(55)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314,000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29,485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SSI Hedged Convertible Market Neutral</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L.P.(56)</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529,000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49,673</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State of Oregon/Equity(57)</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2,480,000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232,872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Sturgeon Limited(58)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224,000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224,000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Sunrise Partners Limited Partnership(59)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6,000,000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6.0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563,400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1.6</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00" w:hanging="582"/>
        <w:spacing w:after="0" w:line="241" w:lineRule="auto"/>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Sphinx Convertible Arbitrage SPC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4280" w:hanging="582"/>
        <w:spacing w:after="0" w:line="241" w:lineRule="auto"/>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to Sphinx Fund with respect to the securities listed on the table. Robert Butman, Managing Member of TQA Investors, L.L.C., exercises voting and investment power over such securities.</w:t>
      </w:r>
    </w:p>
    <w:p>
      <w:pPr>
        <w:spacing w:after="0" w:line="189"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State of Oregon/Equity with respect to the securities listed on the table. Ann Houlihan exercises voting and investment power over such securities on behalf of Froley Revy Investment Company Inc.</w:t>
      </w:r>
    </w:p>
    <w:p>
      <w:pPr>
        <w:spacing w:after="0" w:line="189" w:lineRule="exact"/>
        <w:rPr>
          <w:rFonts w:ascii="Courier New" w:cs="Courier New" w:eastAsia="Courier New" w:hAnsi="Courier New"/>
          <w:sz w:val="16"/>
          <w:szCs w:val="16"/>
          <w:color w:val="auto"/>
        </w:rPr>
      </w:pPr>
    </w:p>
    <w:p>
      <w:pPr>
        <w:ind w:left="582" w:right="4180" w:hanging="582"/>
        <w:spacing w:after="0" w:line="241" w:lineRule="auto"/>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CooperNeff Advisors Inc. is the investment advisor to Sturgeon Limited with respect to the securities listed on the table. CooperNeff Advisors Inc. is a controlled subsidiary of CooperNeff Group, Inc., which is in turn wholly owned on a consolidated basis by BNP Paribas, SA, a foreign public company.</w:t>
      </w:r>
    </w:p>
    <w:p>
      <w:pPr>
        <w:spacing w:after="0" w:line="190" w:lineRule="exact"/>
        <w:rPr>
          <w:rFonts w:ascii="Courier New" w:cs="Courier New" w:eastAsia="Courier New" w:hAnsi="Courier New"/>
          <w:sz w:val="16"/>
          <w:szCs w:val="16"/>
          <w:color w:val="auto"/>
        </w:rPr>
      </w:pPr>
    </w:p>
    <w:p>
      <w:pPr>
        <w:ind w:left="582" w:right="4080" w:hanging="582"/>
        <w:spacing w:after="0" w:line="241" w:lineRule="auto"/>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Dawn General Partner Corp. is the General Partner of Sunrise Partners Limited Partnership. S. Donald Sussman is the controlling shareholder of Dawn General Partner Corp. Sunrise Partners Limited Partnership is an affiliate of Paloma Securities L.L.C., a registered broker-dealer.</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1522"/>
          </w:cols>
          <w:pgMar w:left="238" w:top="1031" w:right="139" w:bottom="1440" w:gutter="0" w:footer="0" w:header="0"/>
        </w:sectPr>
      </w:pPr>
    </w:p>
    <w:bookmarkStart w:id="61" w:name="page62"/>
    <w:bookmarkEnd w:id="61"/>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Syngenta AG(60)</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135,000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12,676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TQA Master Fund, LTD.(61)</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636,000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59,720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TQA Master Plus Fund, LTD.(62)</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951,000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89,298</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Viacom Inc. Pension Plan Master</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Trust(63)</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1,502</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Wachovia Capital Markets LLC(64)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3,725,000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3.7</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349,778</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Xavex Convertible Arbitrage 4 Fund(65)</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2,066</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Xavex-Convertible Arbitrage 7 Fund(66)</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144,000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13,521</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550"/>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00" w:hanging="582"/>
        <w:spacing w:after="0" w:line="241" w:lineRule="auto"/>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Froley Revy Investment Company Inc. is the investment advisor for Syngenta AG with respect to the securities listed on the table. Ann Houlihan exercises voting and investment power over such securities on behalf of Froley Revy Investment Company Inc.</w:t>
      </w:r>
    </w:p>
    <w:p>
      <w:pPr>
        <w:spacing w:after="0" w:line="189"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to TQA Master Fund, LTD. with respect to the securities listed on the table. Robert Butman, Managing Member of TQA Investors, L.L.C., exercises voting and investment power over such securities.</w:t>
      </w:r>
    </w:p>
    <w:p>
      <w:pPr>
        <w:spacing w:after="0" w:line="189"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to TQA Master Plus Fund, LTD. with respect to the securities listed on the table. Robert Butman, Managing Member of TQA Investors, L.L.C., exercises voting and investment power over such securities.</w:t>
      </w:r>
    </w:p>
    <w:p>
      <w:pPr>
        <w:spacing w:after="0" w:line="189" w:lineRule="exact"/>
        <w:rPr>
          <w:rFonts w:ascii="Courier New" w:cs="Courier New" w:eastAsia="Courier New" w:hAnsi="Courier New"/>
          <w:sz w:val="16"/>
          <w:szCs w:val="16"/>
          <w:color w:val="auto"/>
        </w:rPr>
      </w:pPr>
    </w:p>
    <w:p>
      <w:pPr>
        <w:jc w:val="both"/>
        <w:ind w:left="582" w:right="3980" w:hanging="582"/>
        <w:spacing w:after="0"/>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SSI Investment Management exercises voting and investment power over such securities. Controlling shareholders of SSI Investment Management are Mr. John Gottfurcht, Mrs. Amy Jo Gottfurcht and Mr. George Douglas.</w:t>
      </w:r>
    </w:p>
    <w:p>
      <w:pPr>
        <w:spacing w:after="0" w:line="189" w:lineRule="exact"/>
        <w:rPr>
          <w:rFonts w:ascii="Courier New" w:cs="Courier New" w:eastAsia="Courier New" w:hAnsi="Courier New"/>
          <w:sz w:val="16"/>
          <w:szCs w:val="16"/>
          <w:color w:val="auto"/>
        </w:rPr>
      </w:pPr>
    </w:p>
    <w:p>
      <w:pPr>
        <w:ind w:left="582" w:right="4360" w:hanging="582"/>
        <w:spacing w:after="0" w:line="239" w:lineRule="auto"/>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Wachovia Capital Markets LLC is a publicly held registered investment company and a registered broker-dealer.</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Xavex Convertible Arbitrage 4 Fund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for Xavex-Convertible Arbitrage 7 Fund with respect to the securities listed on the table. Robert Butman, Managing Member of TQA Investors, L.L.C., exercises voting and investment power over such securities.</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1522"/>
          </w:cols>
          <w:pgMar w:left="238" w:top="1031" w:right="139" w:bottom="1440" w:gutter="0" w:footer="0" w:header="0"/>
        </w:sectPr>
      </w:pPr>
    </w:p>
    <w:bookmarkStart w:id="62" w:name="page63"/>
    <w:bookmarkEnd w:id="62"/>
    <w:tbl>
      <w:tblPr>
        <w:tblLayout w:type="fixed"/>
        <w:tblInd w:w="2"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Other Shares</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of Common</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Aggregate</w:t>
            </w:r>
          </w:p>
        </w:tc>
        <w:tc>
          <w:tcPr>
            <w:tcW w:w="1580" w:type="dxa"/>
            <w:vAlign w:val="bottom"/>
          </w:tcPr>
          <w:p>
            <w:pPr>
              <w:spacing w:after="0"/>
              <w:rPr>
                <w:sz w:val="15"/>
                <w:szCs w:val="15"/>
                <w:color w:val="auto"/>
              </w:rPr>
            </w:pP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Shares of</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Principal</w:t>
            </w:r>
          </w:p>
        </w:tc>
        <w:tc>
          <w:tcPr>
            <w:tcW w:w="1580" w:type="dxa"/>
            <w:vAlign w:val="bottom"/>
          </w:tcPr>
          <w:p>
            <w:pPr>
              <w:spacing w:after="0"/>
              <w:rPr>
                <w:sz w:val="15"/>
                <w:szCs w:val="15"/>
                <w:color w:val="auto"/>
              </w:rPr>
            </w:pP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Common Stock</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Owned Before</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Amount of</w:t>
            </w:r>
          </w:p>
        </w:tc>
        <w:tc>
          <w:tcPr>
            <w:tcW w:w="1580" w:type="dxa"/>
            <w:vAlign w:val="bottom"/>
          </w:tcPr>
          <w:p>
            <w:pPr>
              <w:spacing w:after="0"/>
              <w:rPr>
                <w:sz w:val="15"/>
                <w:szCs w:val="15"/>
                <w:color w:val="auto"/>
              </w:rPr>
            </w:pPr>
          </w:p>
        </w:tc>
        <w:tc>
          <w:tcPr>
            <w:tcW w:w="16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Issuable</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6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Upon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and Assumed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Percentage of</w:t>
            </w:r>
          </w:p>
        </w:tc>
      </w:tr>
      <w:tr>
        <w:trPr>
          <w:trHeight w:val="183"/>
        </w:trPr>
        <w:tc>
          <w:tcPr>
            <w:tcW w:w="38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Conversion</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to be Owned</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860" w:type="dxa"/>
            <w:vAlign w:val="bottom"/>
          </w:tcPr>
          <w:p>
            <w:pPr>
              <w:spacing w:after="0"/>
              <w:rPr>
                <w:sz w:val="15"/>
                <w:szCs w:val="15"/>
                <w:color w:val="auto"/>
              </w:rPr>
            </w:pP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Owned and</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rPr>
              <w:t>of the Notes</w:t>
            </w:r>
          </w:p>
        </w:tc>
        <w:tc>
          <w:tcPr>
            <w:tcW w:w="1440" w:type="dxa"/>
            <w:vAlign w:val="bottom"/>
          </w:tcPr>
          <w:p>
            <w:pPr>
              <w:ind w:left="60"/>
              <w:spacing w:after="0"/>
              <w:rPr>
                <w:sz w:val="20"/>
                <w:szCs w:val="20"/>
                <w:color w:val="auto"/>
              </w:rPr>
            </w:pPr>
            <w:r>
              <w:rPr>
                <w:rFonts w:ascii="Courier New" w:cs="Courier New" w:eastAsia="Courier New" w:hAnsi="Courier New"/>
                <w:sz w:val="16"/>
                <w:szCs w:val="16"/>
                <w:color w:val="auto"/>
              </w:rPr>
              <w:t>Following the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860" w:type="dxa"/>
            <w:vAlign w:val="bottom"/>
          </w:tcPr>
          <w:p>
            <w:pPr>
              <w:ind w:left="1040"/>
              <w:spacing w:after="0"/>
              <w:rPr>
                <w:sz w:val="20"/>
                <w:szCs w:val="20"/>
                <w:color w:val="auto"/>
              </w:rPr>
            </w:pPr>
            <w:r>
              <w:rPr>
                <w:rFonts w:ascii="Courier New" w:cs="Courier New" w:eastAsia="Courier New" w:hAnsi="Courier New"/>
                <w:sz w:val="16"/>
                <w:szCs w:val="16"/>
                <w:color w:val="auto"/>
              </w:rPr>
              <w:t>Name*</w:t>
            </w:r>
          </w:p>
        </w:tc>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Offered</w:t>
            </w:r>
          </w:p>
        </w:tc>
        <w:tc>
          <w:tcPr>
            <w:tcW w:w="15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6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60" w:type="dxa"/>
            <w:vAlign w:val="bottom"/>
          </w:tcPr>
          <w:p>
            <w:pPr>
              <w:spacing w:after="0"/>
              <w:rPr>
                <w:sz w:val="20"/>
                <w:szCs w:val="20"/>
                <w:color w:val="auto"/>
              </w:rPr>
            </w:pPr>
            <w:r>
              <w:rPr>
                <w:rFonts w:ascii="Courier New" w:cs="Courier New" w:eastAsia="Courier New" w:hAnsi="Courier New"/>
                <w:sz w:val="16"/>
                <w:szCs w:val="16"/>
                <w:color w:val="auto"/>
              </w:rPr>
              <w:t>Xavex Convertible Arbitrage 10 Fund(67)</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36,621</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Zazove Convertible Arbitrage Fund,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L.P.(68)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3,950,000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370,905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Zazove Hedged Convertible Fund, L.P.(69)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234,750</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Zazove Income Fund, L.P.(70)</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2,050,000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192,495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Zurich Institutional Benchmarks</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Master Fund, LTD.(71)</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2,296,000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2.3</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215,595</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Any other holder of Notes or future</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transferee, pledgee, donee or</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successor of any holder*****</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730,000</w:t>
            </w:r>
          </w:p>
        </w:tc>
        <w:tc>
          <w:tcPr>
            <w:tcW w:w="1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68,547</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ind w:right="41"/>
              <w:spacing w:after="0"/>
              <w:rPr>
                <w:sz w:val="20"/>
                <w:szCs w:val="20"/>
                <w:color w:val="auto"/>
              </w:rPr>
            </w:pPr>
            <w:r>
              <w:rPr>
                <w:rFonts w:ascii="Courier New" w:cs="Courier New" w:eastAsia="Courier New" w:hAnsi="Courier New"/>
                <w:sz w:val="16"/>
                <w:szCs w:val="16"/>
                <w:color w:val="auto"/>
              </w:rPr>
              <w:t>-</w:t>
            </w:r>
          </w:p>
        </w:tc>
      </w:tr>
      <w:tr>
        <w:trPr>
          <w:trHeight w:val="734"/>
        </w:trPr>
        <w:tc>
          <w:tcPr>
            <w:tcW w:w="3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5" w:lineRule="exact"/>
        <w:rPr>
          <w:sz w:val="20"/>
          <w:szCs w:val="20"/>
          <w:color w:val="auto"/>
        </w:rPr>
      </w:pPr>
    </w:p>
    <w:p>
      <w:pPr>
        <w:ind w:left="582" w:right="3900" w:hanging="582"/>
        <w:spacing w:after="0" w:line="242" w:lineRule="auto"/>
        <w:tabs>
          <w:tab w:leader="none" w:pos="5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Bruce McMahan, Saul Schwartzman and John Gordon are the controlling shareholders of Xavex Convertible Arbitrage 10 Fund. Argent International Management Company, LLC is the investment advisor to Xavex Convertible Arbitrage 10 Fund with respect to the securities listed on the table. Nathanial Brown and Robert Richardson exercise voting and investment power over such securities on behalf of Argent International Management Company, LLC.</w:t>
      </w:r>
    </w:p>
    <w:p>
      <w:pPr>
        <w:spacing w:after="0" w:line="187"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Zazove Associates, LLC is the general partner of Zazove Hedged Convertible Fund, L.P. with respect to the securities listed on the table. Gene T. Prelti exercises investment and voting control on behalf of Zazove Associates, LLC.</w:t>
      </w:r>
    </w:p>
    <w:p>
      <w:pPr>
        <w:spacing w:after="0" w:line="189" w:lineRule="exact"/>
        <w:rPr>
          <w:rFonts w:ascii="Courier New" w:cs="Courier New" w:eastAsia="Courier New" w:hAnsi="Courier New"/>
          <w:sz w:val="16"/>
          <w:szCs w:val="16"/>
          <w:color w:val="auto"/>
        </w:rPr>
      </w:pPr>
    </w:p>
    <w:p>
      <w:pPr>
        <w:ind w:left="582" w:right="3900" w:hanging="582"/>
        <w:spacing w:after="0" w:line="241" w:lineRule="auto"/>
        <w:tabs>
          <w:tab w:leader="none" w:pos="5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Zazove Associates, LLC is the general partner of Zazove Convertible Arbitrage Fund, L.P. with respect to the securities listed on the table. Gene T. Prelti exercises investment and voting control on behalf of Zazove Associates, LLC.</w:t>
      </w:r>
    </w:p>
    <w:p>
      <w:pPr>
        <w:spacing w:after="0" w:line="189" w:lineRule="exact"/>
        <w:rPr>
          <w:rFonts w:ascii="Courier New" w:cs="Courier New" w:eastAsia="Courier New" w:hAnsi="Courier New"/>
          <w:sz w:val="16"/>
          <w:szCs w:val="16"/>
          <w:color w:val="auto"/>
        </w:rPr>
      </w:pPr>
    </w:p>
    <w:p>
      <w:pPr>
        <w:ind w:left="582" w:right="3980" w:hanging="582"/>
        <w:spacing w:after="0" w:line="241" w:lineRule="auto"/>
        <w:tabs>
          <w:tab w:leader="none" w:pos="5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Zazove Associates, LLC is the general partner of Zazove Income Fund, L.P. with respect to the securities listed on the table. Gene T. Prelti exercises investment and voting control on behalf of Zazove Associates, LLC.</w:t>
      </w:r>
    </w:p>
    <w:p>
      <w:pPr>
        <w:spacing w:after="0" w:line="189" w:lineRule="exact"/>
        <w:rPr>
          <w:rFonts w:ascii="Courier New" w:cs="Courier New" w:eastAsia="Courier New" w:hAnsi="Courier New"/>
          <w:sz w:val="16"/>
          <w:szCs w:val="16"/>
          <w:color w:val="auto"/>
        </w:rPr>
      </w:pPr>
    </w:p>
    <w:p>
      <w:pPr>
        <w:ind w:left="582" w:right="3980" w:hanging="582"/>
        <w:spacing w:after="0" w:line="242" w:lineRule="auto"/>
        <w:tabs>
          <w:tab w:leader="none" w:pos="5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for Zurich Institutional Benchmarks Master Fund, LTD. with respect to 150,000 of principal amount of the securities listed on the table. Robert Butman, Managing Member of TQA Investors, L.L.C., exercises voting and investment power over such securities. However, Zazove Associates, LLC is the investment advisor to Zurich Institutional Benchmarks Master Fund, LTD. with respect to 2,050,000 of principal amount of the securities listed on the table. Gene T. Prelti exercises investment and voting control on behalf of Zazove Associates, LLC.</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1522"/>
          </w:cols>
          <w:pgMar w:left="238" w:top="1031" w:right="139" w:bottom="1440" w:gutter="0" w:footer="0" w:header="0"/>
        </w:sectPr>
      </w:pPr>
    </w:p>
    <w:bookmarkStart w:id="63" w:name="page64"/>
    <w:bookmarkEnd w:id="63"/>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862" w:hanging="862"/>
        <w:spacing w:after="0"/>
        <w:tabs>
          <w:tab w:leader="none" w:pos="86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selling securityholders may be identified at a later date.</w:t>
      </w:r>
    </w:p>
    <w:p>
      <w:pPr>
        <w:spacing w:after="0" w:line="188" w:lineRule="exact"/>
        <w:rPr>
          <w:rFonts w:ascii="Courier New" w:cs="Courier New" w:eastAsia="Courier New" w:hAnsi="Courier New"/>
          <w:sz w:val="16"/>
          <w:szCs w:val="16"/>
          <w:color w:val="auto"/>
        </w:rPr>
      </w:pPr>
    </w:p>
    <w:p>
      <w:pPr>
        <w:ind w:left="8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191" w:lineRule="exact"/>
        <w:rPr>
          <w:sz w:val="20"/>
          <w:szCs w:val="20"/>
          <w:color w:val="auto"/>
        </w:rPr>
      </w:pPr>
    </w:p>
    <w:p>
      <w:pPr>
        <w:ind w:left="862" w:right="2979" w:hanging="862"/>
        <w:spacing w:after="0" w:line="239" w:lineRule="auto"/>
        <w:tabs>
          <w:tab w:leader="none" w:pos="86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none of these selling securityholders would beneficially own 1% or more of the outstanding Notes.</w:t>
      </w:r>
    </w:p>
    <w:p>
      <w:pPr>
        <w:spacing w:after="0" w:line="189" w:lineRule="exact"/>
        <w:rPr>
          <w:rFonts w:ascii="Courier New" w:cs="Courier New" w:eastAsia="Courier New" w:hAnsi="Courier New"/>
          <w:sz w:val="16"/>
          <w:szCs w:val="16"/>
          <w:color w:val="auto"/>
        </w:rPr>
      </w:pPr>
    </w:p>
    <w:p>
      <w:pPr>
        <w:ind w:left="862" w:right="2599" w:hanging="862"/>
        <w:spacing w:after="0" w:line="242" w:lineRule="auto"/>
        <w:tabs>
          <w:tab w:leader="none" w:pos="86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189" w:lineRule="exact"/>
        <w:rPr>
          <w:rFonts w:ascii="Courier New" w:cs="Courier New" w:eastAsia="Courier New" w:hAnsi="Courier New"/>
          <w:sz w:val="16"/>
          <w:szCs w:val="16"/>
          <w:color w:val="auto"/>
        </w:rPr>
      </w:pPr>
    </w:p>
    <w:p>
      <w:pPr>
        <w:ind w:left="862" w:right="2779" w:hanging="862"/>
        <w:spacing w:after="0" w:line="241" w:lineRule="auto"/>
        <w:tabs>
          <w:tab w:leader="none" w:pos="86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35,073,153 outstanding shares of CMRG as of January 31, 2004, none of these selling securityholders would beneficially own 1% or more of the outstanding shares following the sale of securities in the offering.</w:t>
      </w:r>
    </w:p>
    <w:p>
      <w:pPr>
        <w:spacing w:after="0" w:line="189" w:lineRule="exact"/>
        <w:rPr>
          <w:rFonts w:ascii="Courier New" w:cs="Courier New" w:eastAsia="Courier New" w:hAnsi="Courier New"/>
          <w:sz w:val="16"/>
          <w:szCs w:val="16"/>
          <w:color w:val="auto"/>
        </w:rPr>
      </w:pPr>
    </w:p>
    <w:p>
      <w:pPr>
        <w:ind w:left="862" w:right="2779" w:hanging="862"/>
        <w:spacing w:after="0" w:line="241" w:lineRule="auto"/>
        <w:tabs>
          <w:tab w:leader="none" w:pos="86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371"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PLAN OF DISTRIBUTION</w:t>
      </w:r>
    </w:p>
    <w:p>
      <w:pPr>
        <w:spacing w:after="0" w:line="188"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The selling securityholders and their successors, which includes their pledgees, donees, partnership distributees and other transferees receiving the notes or common stock from the selling securityholders in non-sale transfers, may sell the notes and the underlying common stock directly to purchasers or through underwriters, broker-dealers or agents. Underwriters, broker-dealers or agents may receive compensation in the form of discounts, concessions or commissions from the selling securityholders or the purchasers. These discounts, concessions or commissions may be in excess of those customary in the types of transactions involved.</w:t>
      </w:r>
    </w:p>
    <w:p>
      <w:pPr>
        <w:spacing w:after="0" w:line="189" w:lineRule="exact"/>
        <w:rPr>
          <w:sz w:val="20"/>
          <w:szCs w:val="20"/>
          <w:color w:val="auto"/>
        </w:rPr>
      </w:pPr>
    </w:p>
    <w:p>
      <w:pPr>
        <w:ind w:left="2" w:right="3159" w:firstLine="572"/>
        <w:spacing w:after="0" w:line="239" w:lineRule="auto"/>
        <w:rPr>
          <w:sz w:val="20"/>
          <w:szCs w:val="20"/>
          <w:color w:val="auto"/>
        </w:rPr>
      </w:pPr>
      <w:r>
        <w:rPr>
          <w:rFonts w:ascii="Courier New" w:cs="Courier New" w:eastAsia="Courier New" w:hAnsi="Courier New"/>
          <w:sz w:val="16"/>
          <w:szCs w:val="16"/>
          <w:color w:val="auto"/>
        </w:rPr>
        <w:t>The notes and the underlying common stock may be sold in one or more transactions at:</w:t>
      </w:r>
    </w:p>
    <w:p>
      <w:pPr>
        <w:spacing w:after="0" w:line="186" w:lineRule="exact"/>
        <w:rPr>
          <w:sz w:val="20"/>
          <w:szCs w:val="20"/>
          <w:color w:val="auto"/>
        </w:rPr>
      </w:pPr>
    </w:p>
    <w:p>
      <w:pPr>
        <w:ind w:left="1142" w:hanging="570"/>
        <w:spacing w:after="0"/>
        <w:tabs>
          <w:tab w:leader="none" w:pos="114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prices that may be changed;</w:t>
      </w:r>
    </w:p>
    <w:p>
      <w:pPr>
        <w:spacing w:after="0" w:line="185" w:lineRule="exact"/>
        <w:rPr>
          <w:rFonts w:ascii="Courier New" w:cs="Courier New" w:eastAsia="Courier New" w:hAnsi="Courier New"/>
          <w:sz w:val="16"/>
          <w:szCs w:val="16"/>
          <w:color w:val="auto"/>
        </w:rPr>
      </w:pPr>
    </w:p>
    <w:p>
      <w:pPr>
        <w:ind w:left="1142" w:hanging="570"/>
        <w:spacing w:after="0"/>
        <w:tabs>
          <w:tab w:leader="none" w:pos="114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prevailing market prices at the time of sale;</w:t>
      </w:r>
    </w:p>
    <w:p>
      <w:pPr>
        <w:spacing w:after="0" w:line="36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1"/>
          </w:cols>
          <w:pgMar w:left="238" w:top="665" w:right="1440" w:bottom="1440" w:gutter="0" w:footer="0" w:header="0"/>
        </w:sectPr>
      </w:pPr>
    </w:p>
    <w:bookmarkStart w:id="64" w:name="page65"/>
    <w:bookmarkEnd w:id="64"/>
    <w:p>
      <w:pPr>
        <w:ind w:left="1140" w:hanging="570"/>
        <w:spacing w:after="0"/>
        <w:tabs>
          <w:tab w:leader="none" w:pos="11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prices related to the prevailing market prices;</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varying prices determined at the time of sale; or</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negotiated prices.</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These sales may be effected in transactions, which may involve cross or block transactions, in the following manner:</w:t>
      </w:r>
    </w:p>
    <w:p>
      <w:pPr>
        <w:spacing w:after="0" w:line="189" w:lineRule="exact"/>
        <w:rPr>
          <w:sz w:val="20"/>
          <w:szCs w:val="20"/>
          <w:color w:val="auto"/>
        </w:rPr>
      </w:pPr>
    </w:p>
    <w:p>
      <w:pPr>
        <w:ind w:left="1140" w:right="2599" w:hanging="570"/>
        <w:spacing w:after="0"/>
        <w:tabs>
          <w:tab w:leader="none" w:pos="11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national securities exchange or quotation service on which the notes or the common stock may be listed or quoted at the time of sale;</w:t>
      </w:r>
    </w:p>
    <w:p>
      <w:pPr>
        <w:spacing w:after="0" w:line="187"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over-the-counter-market;</w:t>
      </w:r>
    </w:p>
    <w:p>
      <w:pPr>
        <w:spacing w:after="0" w:line="188" w:lineRule="exact"/>
        <w:rPr>
          <w:rFonts w:ascii="Courier New" w:cs="Courier New" w:eastAsia="Courier New" w:hAnsi="Courier New"/>
          <w:sz w:val="16"/>
          <w:szCs w:val="16"/>
          <w:color w:val="auto"/>
        </w:rPr>
      </w:pPr>
    </w:p>
    <w:p>
      <w:pPr>
        <w:ind w:left="1140" w:right="2679" w:hanging="570"/>
        <w:spacing w:after="0" w:line="271" w:lineRule="auto"/>
        <w:tabs>
          <w:tab w:leader="none" w:pos="11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transactions otherwise than on these exchanges or services or in the over-the-counter market (privately negotiated transactions);</w:t>
      </w:r>
    </w:p>
    <w:p>
      <w:pPr>
        <w:spacing w:after="0" w:line="166" w:lineRule="exact"/>
        <w:rPr>
          <w:rFonts w:ascii="Courier New" w:cs="Courier New" w:eastAsia="Courier New" w:hAnsi="Courier New"/>
          <w:sz w:val="15"/>
          <w:szCs w:val="15"/>
          <w:color w:val="auto"/>
        </w:rPr>
      </w:pPr>
    </w:p>
    <w:p>
      <w:pPr>
        <w:ind w:left="1140" w:right="2779" w:hanging="570"/>
        <w:spacing w:after="0" w:line="239" w:lineRule="auto"/>
        <w:tabs>
          <w:tab w:leader="none" w:pos="11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writing and exercise of options, whether these options are listed on an options exchange or otherwise; or</w:t>
      </w:r>
    </w:p>
    <w:p>
      <w:pPr>
        <w:spacing w:after="0" w:line="186"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any combination of the foregoing.</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Selling securityholders may enter into hedging transactions with broker-dealers or other financial institutions which may in turn engage in short sales of the notes or the underlying common stock and deliver these securities to close out short positions. In addition, the selling securityholders may sell the notes and the underlying common stock short and deliver the notes and underlying common stock to close out short positions or loan or pledge the notes or the underlying common stock to broker-dealers that in turn may sell such securities.</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Selling securityholders may sell or transfer their notes and shares of common stock issuable upon conversion of the notes other than by means of this prospectus. In particular, any securities covered by this prospectus that qualify for sale pursuant to Rule 144 or Rule 144A under the Securities Act may be sold thereunder, rather than pursuant to this prospectus.</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aggregate proceeds to the selling securityholders from the sale of the notes or underlying common stock will be the purchase price of the notes or common stock less any discounts and commissions. A selling securityholder reserves the right to accept and, together with their agents, to reject any proposed purchase of notes or common stock to be made directly or through agents. We will not receive any of the proceeds from this offering.</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 order to comply with the securities laws of some jurisdictions, if applicable, the holders of notes and common stock into which the notes are convertible may sell in some jurisdictions through registered or licensed broker dealers. In addition, under certain circumstances in some jurisdictions, the holders of notes and the common stock into which the notes are convertible may be required to register or qualify the securities for sale or comply with an available exemption from the registration and qualification requirements.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Our common stock is quoted on the Nasdaq National Market. Since their initial issuance, the notes have been eligible for The PORTALsm Market of the National Association of Securities Dealers, Inc. However, notes sold by means of this prospectus are not expected to remain eligible for The PORTALsm Market. We do not intend to list the notes for quotation on any other automated interdealer quotation system on or any securities exchange. Accordingly, we cannot guarantee that any trading market will develop for the notes.</w:t>
      </w:r>
    </w:p>
    <w:p>
      <w:pPr>
        <w:spacing w:after="0" w:line="188" w:lineRule="exact"/>
        <w:rPr>
          <w:sz w:val="20"/>
          <w:szCs w:val="20"/>
          <w:color w:val="auto"/>
        </w:rPr>
      </w:pPr>
    </w:p>
    <w:p>
      <w:pPr>
        <w:ind w:right="2599" w:firstLine="572"/>
        <w:spacing w:after="0"/>
        <w:rPr>
          <w:sz w:val="20"/>
          <w:szCs w:val="20"/>
          <w:color w:val="auto"/>
        </w:rPr>
      </w:pPr>
      <w:r>
        <w:rPr>
          <w:rFonts w:ascii="Courier New" w:cs="Courier New" w:eastAsia="Courier New" w:hAnsi="Courier New"/>
          <w:sz w:val="16"/>
          <w:szCs w:val="16"/>
          <w:color w:val="auto"/>
        </w:rPr>
        <w:t>The selling securityholders and any underwriters, broker-dealers or agents that participate in the sale of the notes and common stock into which the notes are convertible may be deemed to be</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64" w:right="1440" w:bottom="1440" w:gutter="0" w:footer="0" w:header="0"/>
        </w:sectPr>
      </w:pPr>
    </w:p>
    <w:bookmarkStart w:id="65" w:name="page66"/>
    <w:bookmarkEnd w:id="65"/>
    <w:p>
      <w:pPr>
        <w:ind w:right="2599"/>
        <w:spacing w:after="0" w:line="242" w:lineRule="auto"/>
        <w:rPr>
          <w:sz w:val="20"/>
          <w:szCs w:val="20"/>
          <w:color w:val="auto"/>
        </w:rPr>
      </w:pPr>
      <w:r>
        <w:rPr>
          <w:rFonts w:ascii="Courier New" w:cs="Courier New" w:eastAsia="Courier New" w:hAnsi="Courier New"/>
          <w:sz w:val="16"/>
          <w:szCs w:val="16"/>
          <w:color w:val="auto"/>
        </w:rPr>
        <w:t>"underwriters" within the meaning of the Securities Act. In this case, any discounts, commissions, concessions or profit they earn on any resale of the notes or the shares of the underlying common stock may be underwriting discounts and commissions under the Securities Act. In addition, selling securityholders who are deemed to be "underwriters" within the meaning of the Securities Act will be subject to the prospectus delivery requirements of the Securities Act and may be subject to statutory liabilities, including, but not limited to, liabilities under Sections 11, 12 and 17 of the Securities Act.</w:t>
      </w:r>
    </w:p>
    <w:p>
      <w:pPr>
        <w:spacing w:after="0" w:line="189" w:lineRule="exact"/>
        <w:rPr>
          <w:sz w:val="20"/>
          <w:szCs w:val="20"/>
          <w:color w:val="auto"/>
        </w:rPr>
      </w:pPr>
    </w:p>
    <w:p>
      <w:pPr>
        <w:ind w:right="2779" w:firstLine="572"/>
        <w:spacing w:after="0" w:line="242" w:lineRule="auto"/>
        <w:rPr>
          <w:sz w:val="20"/>
          <w:szCs w:val="20"/>
          <w:color w:val="auto"/>
        </w:rPr>
      </w:pPr>
      <w:r>
        <w:rPr>
          <w:rFonts w:ascii="Courier New" w:cs="Courier New" w:eastAsia="Courier New" w:hAnsi="Courier New"/>
          <w:sz w:val="16"/>
          <w:szCs w:val="16"/>
          <w:color w:val="auto"/>
        </w:rPr>
        <w:t>The selling securityholders and any other persons participating in the distribution of the notes and the underlying common stock will be subject to applicable provisions of the Exchange Act and the rules and regulations thereunder. Regulation M of the Exchange Act may limit the timing of purchases and sales of the notes and underlying common stock by the selling securityholders and any such other person. In addition, Regulation M may restrict the ability of any person participating in the distribution to engage in market-making activities with respect to the particular securities being distributed for a period of up to five business days prior to the commencement of the distribution. This may affect the marketability of the notes and the underlying common stock.</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If required, the specific notes or common stock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entered into a registration rights agreement for the benefit of the holders of the notes to register the notes and common stock into which the notes are convertible under applicable federal securities laws under specific circumstances and specific times. Under the registration rights agreement, the selling securityholders and we have agreed to indemnify each other and our respective controlling persons against, and in certain circumstances to provide contribution with respect to, specific liabilities in connection with the offer and sale of the notes and the common stock, including liabilities under the Securities Act. We will pay substantially all of the expenses incident to the registration of the notes and the common stock, except that the selling securityholders will pay all brokers' commissions and, in connection with an underwritten offering, if any, underwriting discounts and commissions. See "Description of Notes--Registration Rights" above.</w:t>
      </w:r>
    </w:p>
    <w:p>
      <w:pPr>
        <w:spacing w:after="0" w:line="18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jc w:val="both"/>
        <w:ind w:right="2779" w:firstLine="572"/>
        <w:spacing w:after="0" w:line="271" w:lineRule="auto"/>
        <w:rPr>
          <w:sz w:val="20"/>
          <w:szCs w:val="20"/>
          <w:color w:val="auto"/>
        </w:rPr>
      </w:pPr>
      <w:r>
        <w:rPr>
          <w:rFonts w:ascii="Courier New" w:cs="Courier New" w:eastAsia="Courier New" w:hAnsi="Courier New"/>
          <w:sz w:val="15"/>
          <w:szCs w:val="15"/>
          <w:color w:val="auto"/>
        </w:rPr>
        <w:t>The validity of the notes and common stock underlying the notes is being passed upon for us by Kramer Levin Naftalis &amp; Frankel LLP, New York, New York.</w:t>
      </w:r>
    </w:p>
    <w:p>
      <w:pPr>
        <w:spacing w:after="0" w:line="16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consolidated financial statements of Casual Male Retail Group, Inc. appearing in CMRG's Annual Report on Form 10-K for the year ended January 31, 2004 (Fiscal 2003), have been audited by Ernst &amp; Young LLP, independent auditors,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67" w:right="1440" w:bottom="1440" w:gutter="0" w:footer="0" w:header="0"/>
        </w:sectPr>
      </w:pPr>
    </w:p>
    <w:bookmarkStart w:id="66" w:name="page67"/>
    <w:bookmarkEnd w:id="66"/>
    <w:p>
      <w:pPr>
        <w:ind w:left="22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We file annual, quarterly and current reports, proxy statements and other information with the SEC. You may read and copy materials that we have filed with the SEC at the SEC's public reference room located at 450 Fifth Street, N.W., Room 1024, Washington, D.C. 20549. Please call the SEC at 1-800-SEC-0330 for further information on the public reference room. Our SEC filings also are available to the public on the SEC's web site at www.sec.gov, which contains reports, proxies and information statements and other information regarding issuers that file electronically. Access to this information as well as other information on the Company is also available on the Company's website at http://www.cmrginc.com and clicking on "Investor Relations."</w:t>
      </w:r>
    </w:p>
    <w:p>
      <w:pPr>
        <w:spacing w:after="0" w:line="190"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This prospectus "incorporates by reference" information that we have filed with or furnished to the SEC under the Exchange Act, which means that we are disclosing important information to you by referring you to those documents. Any statement contained in this prospectus or in any document incorporated or deemed to be incorporated by reference into this prospectus will be deemed to be modified or superseded for purposes of this prospectus to the extent that a statement contained in this prospectus or any subsequently filed document which also is, or is deemed to be, incorporated by reference into this prospectus modifies or supersedes that statement. Any statement so modified or superseded will not be deemed, except as so modified or superseded, to constitute a part of this prospectus. We incorporate by reference into this prospectus the following documents that we have previously filed with the SEC and any future filings that we make with the SEC under Sections 13(a), 13(c), 14 or 15(d) of the Exchange Act after the date of this prospectus until all of the securities covered by this prospectus are sold by the selling securityholders:</w:t>
      </w:r>
    </w:p>
    <w:p>
      <w:pPr>
        <w:spacing w:after="0" w:line="184" w:lineRule="exact"/>
        <w:rPr>
          <w:sz w:val="20"/>
          <w:szCs w:val="20"/>
          <w:color w:val="auto"/>
        </w:rPr>
      </w:pPr>
    </w:p>
    <w:p>
      <w:pPr>
        <w:ind w:left="1140" w:right="2599" w:hanging="570"/>
        <w:spacing w:after="0" w:line="239" w:lineRule="auto"/>
        <w:tabs>
          <w:tab w:leader="none" w:pos="11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January 31, 2004;</w:t>
      </w:r>
    </w:p>
    <w:p>
      <w:pPr>
        <w:spacing w:after="0" w:line="189" w:lineRule="exact"/>
        <w:rPr>
          <w:rFonts w:ascii="Courier New" w:cs="Courier New" w:eastAsia="Courier New" w:hAnsi="Courier New"/>
          <w:sz w:val="16"/>
          <w:szCs w:val="16"/>
          <w:color w:val="auto"/>
        </w:rPr>
      </w:pPr>
    </w:p>
    <w:p>
      <w:pPr>
        <w:ind w:left="1140" w:right="2599" w:hanging="570"/>
        <w:spacing w:after="0" w:line="239" w:lineRule="auto"/>
        <w:tabs>
          <w:tab w:leader="none" w:pos="11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fiscal quarters ended May 3, 2003, August 2, 2003 and November 1, 2003;</w:t>
      </w:r>
    </w:p>
    <w:p>
      <w:pPr>
        <w:spacing w:after="0" w:line="189" w:lineRule="exact"/>
        <w:rPr>
          <w:rFonts w:ascii="Courier New" w:cs="Courier New" w:eastAsia="Courier New" w:hAnsi="Courier New"/>
          <w:sz w:val="16"/>
          <w:szCs w:val="16"/>
          <w:color w:val="auto"/>
        </w:rPr>
      </w:pPr>
    </w:p>
    <w:p>
      <w:pPr>
        <w:jc w:val="both"/>
        <w:ind w:left="1140" w:right="2779" w:hanging="570"/>
        <w:spacing w:after="0"/>
        <w:tabs>
          <w:tab w:leader="none" w:pos="11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filed on August 21, 2003, November 10, 2003, November 12, 2003, November 13, 2003, November 13, 2003, November 20, 2003 and April 14, 2004; and</w:t>
      </w:r>
    </w:p>
    <w:p>
      <w:pPr>
        <w:spacing w:after="0" w:line="189" w:lineRule="exact"/>
        <w:rPr>
          <w:rFonts w:ascii="Courier New" w:cs="Courier New" w:eastAsia="Courier New" w:hAnsi="Courier New"/>
          <w:sz w:val="16"/>
          <w:szCs w:val="16"/>
          <w:color w:val="auto"/>
        </w:rPr>
      </w:pPr>
    </w:p>
    <w:p>
      <w:pPr>
        <w:ind w:left="1140" w:right="2679" w:hanging="570"/>
        <w:spacing w:after="0"/>
        <w:tabs>
          <w:tab w:leader="none" w:pos="11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us pursuant to Section 13(a) or 15(d) of the Exchange Act since the end of the fiscal year covered by the annual report referred to above.</w:t>
      </w:r>
    </w:p>
    <w:p>
      <w:pPr>
        <w:spacing w:after="0" w:line="190" w:lineRule="exact"/>
        <w:rPr>
          <w:sz w:val="20"/>
          <w:szCs w:val="20"/>
          <w:color w:val="auto"/>
        </w:rPr>
      </w:pPr>
    </w:p>
    <w:p>
      <w:pPr>
        <w:ind w:right="3459" w:firstLine="572"/>
        <w:spacing w:after="0" w:line="239"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the following address: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Casual Male Retail Group,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555 Turnpike Street</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Canton, Massachusetts 02021,</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Dennis R. Hernreich</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(781) 828-9300</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64" w:right="1440" w:bottom="1440" w:gutter="0" w:footer="0" w:header="0"/>
        </w:sectPr>
      </w:pPr>
    </w:p>
    <w:bookmarkStart w:id="67" w:name="page68"/>
    <w:bookmarkEnd w:id="67"/>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Registrant is paying all of the expenses related to this offering. The following table sets forth the approximate amount of fees and expenses payable by the Registrant in connection with this Registration Statement and the distribution of the shares of the securities being registered hereby. The selling securityholders will bear all underwriting discounts, commissions or fees attributable to the sale of the registrable securities.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SEC registration fee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$12,670.00</w:t>
            </w:r>
          </w:p>
        </w:tc>
      </w:tr>
      <w:tr>
        <w:trPr>
          <w:trHeight w:val="183"/>
        </w:trPr>
        <w:tc>
          <w:tcPr>
            <w:tcW w:w="308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$30,000.00</w:t>
            </w:r>
          </w:p>
        </w:tc>
      </w:tr>
      <w:tr>
        <w:trPr>
          <w:trHeight w:val="183"/>
        </w:trPr>
        <w:tc>
          <w:tcPr>
            <w:tcW w:w="308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$15,000.00</w:t>
            </w:r>
          </w:p>
        </w:tc>
      </w:tr>
      <w:tr>
        <w:trPr>
          <w:trHeight w:val="183"/>
        </w:trPr>
        <w:tc>
          <w:tcPr>
            <w:tcW w:w="3080" w:type="dxa"/>
            <w:vAlign w:val="bottom"/>
          </w:tcPr>
          <w:p>
            <w:pPr>
              <w:spacing w:after="0"/>
              <w:rPr>
                <w:sz w:val="20"/>
                <w:szCs w:val="20"/>
                <w:color w:val="auto"/>
              </w:rPr>
            </w:pPr>
            <w:r>
              <w:rPr>
                <w:rFonts w:ascii="Courier New" w:cs="Courier New" w:eastAsia="Courier New" w:hAnsi="Courier New"/>
                <w:sz w:val="16"/>
                <w:szCs w:val="16"/>
                <w:color w:val="auto"/>
              </w:rPr>
              <w:t>Printing and engraving expenses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$5,000.00</w:t>
            </w:r>
          </w:p>
        </w:tc>
      </w:tr>
      <w:tr>
        <w:trPr>
          <w:trHeight w:val="183"/>
        </w:trPr>
        <w:tc>
          <w:tcPr>
            <w:tcW w:w="308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w:t>
            </w:r>
          </w:p>
        </w:tc>
      </w:tr>
      <w:tr>
        <w:trPr>
          <w:trHeight w:val="183"/>
        </w:trPr>
        <w:tc>
          <w:tcPr>
            <w:tcW w:w="30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$72,670.00</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8" w:lineRule="exact"/>
        <w:rPr>
          <w:sz w:val="20"/>
          <w:szCs w:val="20"/>
          <w:color w:val="auto"/>
        </w:rPr>
      </w:pPr>
    </w:p>
    <w:p>
      <w:pPr>
        <w:ind w:right="2599" w:firstLine="572"/>
        <w:spacing w:after="0" w:line="259" w:lineRule="auto"/>
        <w:rPr>
          <w:sz w:val="20"/>
          <w:szCs w:val="20"/>
          <w:color w:val="auto"/>
        </w:rPr>
      </w:pPr>
      <w:r>
        <w:rPr>
          <w:rFonts w:ascii="Courier New" w:cs="Courier New" w:eastAsia="Courier New" w:hAnsi="Courier New"/>
          <w:sz w:val="15"/>
          <w:szCs w:val="15"/>
          <w:color w:val="auto"/>
        </w:rPr>
        <w:t>The Registrant's Restated Certificate of Incorporation, as amended (the "Certificate "),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Exhibit</w:t>
            </w:r>
          </w:p>
        </w:tc>
        <w:tc>
          <w:tcPr>
            <w:tcW w:w="1940" w:type="dxa"/>
            <w:vAlign w:val="bottom"/>
          </w:tcPr>
          <w:p>
            <w:pPr>
              <w:spacing w:after="0"/>
              <w:rPr>
                <w:sz w:val="15"/>
                <w:szCs w:val="15"/>
                <w:color w:val="auto"/>
              </w:rPr>
            </w:pPr>
          </w:p>
        </w:tc>
        <w:tc>
          <w:tcPr>
            <w:tcW w:w="26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Description</w:t>
            </w:r>
          </w:p>
        </w:tc>
        <w:tc>
          <w:tcPr>
            <w:tcW w:w="1480" w:type="dxa"/>
            <w:vAlign w:val="bottom"/>
          </w:tcPr>
          <w:p>
            <w:pPr>
              <w:spacing w:after="0"/>
              <w:rPr>
                <w:sz w:val="15"/>
                <w:szCs w:val="15"/>
                <w:color w:val="auto"/>
              </w:rPr>
            </w:pPr>
          </w:p>
        </w:tc>
      </w:tr>
      <w:tr>
        <w:trPr>
          <w:trHeight w:val="183"/>
        </w:trPr>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940" w:type="dxa"/>
            <w:vAlign w:val="bottom"/>
          </w:tcPr>
          <w:p>
            <w:pPr>
              <w:spacing w:after="0"/>
              <w:rPr>
                <w:sz w:val="15"/>
                <w:szCs w:val="15"/>
                <w:color w:val="auto"/>
              </w:rPr>
            </w:pPr>
          </w:p>
        </w:tc>
        <w:tc>
          <w:tcPr>
            <w:tcW w:w="26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r>
      <w:tr>
        <w:trPr>
          <w:trHeight w:val="367"/>
        </w:trPr>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w:t>
            </w:r>
          </w:p>
        </w:tc>
        <w:tc>
          <w:tcPr>
            <w:tcW w:w="1940" w:type="dxa"/>
            <w:vAlign w:val="bottom"/>
          </w:tcPr>
          <w:p>
            <w:pPr>
              <w:ind w:left="380"/>
              <w:spacing w:after="0"/>
              <w:rPr>
                <w:sz w:val="20"/>
                <w:szCs w:val="20"/>
                <w:color w:val="auto"/>
              </w:rPr>
            </w:pPr>
            <w:r>
              <w:rPr>
                <w:rFonts w:ascii="Courier New" w:cs="Courier New" w:eastAsia="Courier New" w:hAnsi="Courier New"/>
                <w:sz w:val="16"/>
                <w:szCs w:val="16"/>
                <w:color w:val="auto"/>
              </w:rPr>
              <w:t>Indenture, dated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November 18, 2003, by</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and between</w:t>
            </w:r>
          </w:p>
        </w:tc>
      </w:tr>
      <w:tr>
        <w:trPr>
          <w:trHeight w:val="183"/>
        </w:trPr>
        <w:tc>
          <w:tcPr>
            <w:tcW w:w="1060" w:type="dxa"/>
            <w:vAlign w:val="bottom"/>
          </w:tcPr>
          <w:p>
            <w:pPr>
              <w:spacing w:after="0"/>
              <w:rPr>
                <w:sz w:val="15"/>
                <w:szCs w:val="15"/>
                <w:color w:val="auto"/>
              </w:rPr>
            </w:pPr>
          </w:p>
        </w:tc>
        <w:tc>
          <w:tcPr>
            <w:tcW w:w="280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Casual Male Retail Group,</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Inc. and U.S. Bank</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National</w:t>
            </w:r>
          </w:p>
        </w:tc>
      </w:tr>
      <w:tr>
        <w:trPr>
          <w:trHeight w:val="183"/>
        </w:trPr>
        <w:tc>
          <w:tcPr>
            <w:tcW w:w="1060" w:type="dxa"/>
            <w:vAlign w:val="bottom"/>
          </w:tcPr>
          <w:p>
            <w:pPr>
              <w:spacing w:after="0"/>
              <w:rPr>
                <w:sz w:val="15"/>
                <w:szCs w:val="15"/>
                <w:color w:val="auto"/>
              </w:rPr>
            </w:pPr>
          </w:p>
        </w:tc>
        <w:tc>
          <w:tcPr>
            <w:tcW w:w="25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Association. (Included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Exhibit 4.1 to the</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Company's</w:t>
            </w:r>
          </w:p>
        </w:tc>
      </w:tr>
      <w:tr>
        <w:trPr>
          <w:trHeight w:val="183"/>
        </w:trPr>
        <w:tc>
          <w:tcPr>
            <w:tcW w:w="1060" w:type="dxa"/>
            <w:vAlign w:val="bottom"/>
          </w:tcPr>
          <w:p>
            <w:pPr>
              <w:spacing w:after="0"/>
              <w:rPr>
                <w:sz w:val="15"/>
                <w:szCs w:val="15"/>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6"/>
                <w:szCs w:val="16"/>
                <w:color w:val="auto"/>
              </w:rPr>
              <w:t>Quarterly Report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on</w:t>
            </w:r>
          </w:p>
        </w:tc>
        <w:tc>
          <w:tcPr>
            <w:tcW w:w="2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Form 10-Q filed with the</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w w:val="98"/>
              </w:rPr>
              <w:t>SEC on December</w:t>
            </w:r>
          </w:p>
        </w:tc>
      </w:tr>
      <w:tr>
        <w:trPr>
          <w:trHeight w:val="183"/>
        </w:trPr>
        <w:tc>
          <w:tcPr>
            <w:tcW w:w="1060" w:type="dxa"/>
            <w:vAlign w:val="bottom"/>
          </w:tcPr>
          <w:p>
            <w:pPr>
              <w:spacing w:after="0"/>
              <w:rPr>
                <w:sz w:val="15"/>
                <w:szCs w:val="15"/>
                <w:color w:val="auto"/>
              </w:rPr>
            </w:pPr>
          </w:p>
        </w:tc>
        <w:tc>
          <w:tcPr>
            <w:tcW w:w="280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9, 2003 for the quarterly</w:t>
            </w:r>
          </w:p>
        </w:tc>
        <w:tc>
          <w:tcPr>
            <w:tcW w:w="33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period ended November 1, 2003, and</w:t>
            </w:r>
          </w:p>
        </w:tc>
      </w:tr>
      <w:tr>
        <w:trPr>
          <w:trHeight w:val="183"/>
        </w:trPr>
        <w:tc>
          <w:tcPr>
            <w:tcW w:w="1060" w:type="dxa"/>
            <w:vAlign w:val="bottom"/>
          </w:tcPr>
          <w:p>
            <w:pPr>
              <w:spacing w:after="0"/>
              <w:rPr>
                <w:sz w:val="15"/>
                <w:szCs w:val="15"/>
                <w:color w:val="auto"/>
              </w:rPr>
            </w:pPr>
          </w:p>
        </w:tc>
        <w:tc>
          <w:tcPr>
            <w:tcW w:w="22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incorporated herein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reference.)</w:t>
            </w:r>
          </w:p>
        </w:tc>
        <w:tc>
          <w:tcPr>
            <w:tcW w:w="1480" w:type="dxa"/>
            <w:vAlign w:val="bottom"/>
          </w:tcPr>
          <w:p>
            <w:pPr>
              <w:spacing w:after="0"/>
              <w:rPr>
                <w:sz w:val="15"/>
                <w:szCs w:val="15"/>
                <w:color w:val="auto"/>
              </w:rPr>
            </w:pPr>
          </w:p>
        </w:tc>
      </w:tr>
    </w:tbl>
    <w:p>
      <w:pPr>
        <w:spacing w:after="0" w:line="188" w:lineRule="exact"/>
        <w:rPr>
          <w:sz w:val="20"/>
          <w:szCs w:val="20"/>
          <w:color w:val="auto"/>
        </w:rPr>
      </w:pPr>
    </w:p>
    <w:p>
      <w:pPr>
        <w:ind w:left="1720" w:right="2679" w:hanging="1144"/>
        <w:spacing w:after="0" w:line="241" w:lineRule="auto"/>
        <w:tabs>
          <w:tab w:leader="none" w:pos="170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Registration Rights Agreement, dated as of November 18, 2003 by and among Casual Male Retail Group, Inc. and Thomas Weisel Partners LLC. (Included as Exhibit 10.4 to the Company's Quarterly Report on Form 10-Q filed with the SEC</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5" w:right="1440" w:bottom="1440" w:gutter="0" w:footer="0" w:header="0"/>
        </w:sectPr>
      </w:pPr>
    </w:p>
    <w:bookmarkStart w:id="68" w:name="page69"/>
    <w:bookmarkEnd w:id="68"/>
    <w:p>
      <w:pPr>
        <w:ind w:left="1722" w:right="2599"/>
        <w:spacing w:after="0" w:line="239" w:lineRule="auto"/>
        <w:rPr>
          <w:sz w:val="20"/>
          <w:szCs w:val="20"/>
          <w:color w:val="auto"/>
        </w:rPr>
      </w:pPr>
      <w:r>
        <w:rPr>
          <w:rFonts w:ascii="Courier New" w:cs="Courier New" w:eastAsia="Courier New" w:hAnsi="Courier New"/>
          <w:sz w:val="16"/>
          <w:szCs w:val="16"/>
          <w:color w:val="auto"/>
        </w:rPr>
        <w:t>on December 9, 2003 for the quarterly period ended November 1, 2003, and incorporated herein by reference.)</w:t>
      </w:r>
    </w:p>
    <w:p>
      <w:pPr>
        <w:spacing w:after="0" w:line="186" w:lineRule="exact"/>
        <w:rPr>
          <w:sz w:val="20"/>
          <w:szCs w:val="20"/>
          <w:color w:val="auto"/>
        </w:rPr>
      </w:pPr>
    </w:p>
    <w:p>
      <w:pPr>
        <w:ind w:left="662"/>
        <w:spacing w:after="0"/>
        <w:tabs>
          <w:tab w:leader="none" w:pos="1702"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Kramer Levin Naftalis &amp; Frankel LLP</w:t>
      </w:r>
    </w:p>
    <w:p>
      <w:pPr>
        <w:spacing w:after="0" w:line="188" w:lineRule="exact"/>
        <w:rPr>
          <w:sz w:val="20"/>
          <w:szCs w:val="20"/>
          <w:color w:val="auto"/>
        </w:rPr>
      </w:pPr>
    </w:p>
    <w:p>
      <w:pPr>
        <w:ind w:left="1722" w:right="2679" w:hanging="1144"/>
        <w:spacing w:after="0" w:line="239" w:lineRule="auto"/>
        <w:tabs>
          <w:tab w:leader="none" w:pos="1702"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6"/>
          <w:szCs w:val="16"/>
          <w:color w:val="auto"/>
        </w:rPr>
        <w:t>Statement regarding Computation of Ratio of Earnings to Fixed Charges</w:t>
      </w:r>
    </w:p>
    <w:p>
      <w:pPr>
        <w:spacing w:after="0" w:line="186" w:lineRule="exact"/>
        <w:rPr>
          <w:sz w:val="20"/>
          <w:szCs w:val="20"/>
          <w:color w:val="auto"/>
        </w:rPr>
      </w:pPr>
    </w:p>
    <w:p>
      <w:pPr>
        <w:ind w:left="582"/>
        <w:spacing w:after="0"/>
        <w:tabs>
          <w:tab w:leader="none" w:pos="1702"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Ernst &amp; Young LLP</w:t>
      </w:r>
    </w:p>
    <w:p>
      <w:pPr>
        <w:spacing w:after="0" w:line="188" w:lineRule="exact"/>
        <w:rPr>
          <w:sz w:val="20"/>
          <w:szCs w:val="20"/>
          <w:color w:val="auto"/>
        </w:rPr>
      </w:pPr>
    </w:p>
    <w:p>
      <w:pPr>
        <w:ind w:left="1722" w:right="2879" w:hanging="1144"/>
        <w:spacing w:after="0" w:line="239" w:lineRule="auto"/>
        <w:tabs>
          <w:tab w:leader="none" w:pos="1702"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Kramer Levin Naftalis &amp; Frankel LLP (included in Exhibit 5.1)</w:t>
      </w:r>
    </w:p>
    <w:p>
      <w:pPr>
        <w:spacing w:after="0" w:line="189" w:lineRule="exact"/>
        <w:rPr>
          <w:sz w:val="20"/>
          <w:szCs w:val="20"/>
          <w:color w:val="auto"/>
        </w:rPr>
      </w:pPr>
    </w:p>
    <w:p>
      <w:pPr>
        <w:ind w:left="1722" w:right="3059" w:hanging="1144"/>
        <w:spacing w:after="0" w:line="239" w:lineRule="auto"/>
        <w:tabs>
          <w:tab w:leader="none" w:pos="1702"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 of Attorney (included on the signature page of this Registration Statement).</w:t>
      </w:r>
    </w:p>
    <w:p>
      <w:pPr>
        <w:spacing w:after="0" w:line="189" w:lineRule="exact"/>
        <w:rPr>
          <w:sz w:val="20"/>
          <w:szCs w:val="20"/>
          <w:color w:val="auto"/>
        </w:rPr>
      </w:pPr>
    </w:p>
    <w:p>
      <w:pPr>
        <w:ind w:left="1722" w:right="2679" w:hanging="1144"/>
        <w:spacing w:after="0"/>
        <w:tabs>
          <w:tab w:leader="none" w:pos="1702" w:val="left"/>
        </w:tabs>
        <w:rPr>
          <w:sz w:val="20"/>
          <w:szCs w:val="20"/>
          <w:color w:val="auto"/>
        </w:rPr>
      </w:pPr>
      <w:r>
        <w:rPr>
          <w:rFonts w:ascii="Courier New" w:cs="Courier New" w:eastAsia="Courier New" w:hAnsi="Courier New"/>
          <w:sz w:val="16"/>
          <w:szCs w:val="16"/>
          <w:color w:val="auto"/>
        </w:rPr>
        <w:t>25.1*</w:t>
      </w:r>
      <w:r>
        <w:rPr>
          <w:sz w:val="20"/>
          <w:szCs w:val="20"/>
          <w:color w:val="auto"/>
        </w:rPr>
        <w:tab/>
      </w:r>
      <w:r>
        <w:rPr>
          <w:rFonts w:ascii="Courier New" w:cs="Courier New" w:eastAsia="Courier New" w:hAnsi="Courier New"/>
          <w:sz w:val="16"/>
          <w:szCs w:val="16"/>
          <w:color w:val="auto"/>
        </w:rPr>
        <w:t>Statement of Eligibility of U.S. Bank National Association to act as trustee under the Indenture under the Trust Indenture Act of 1939</w:t>
      </w:r>
    </w:p>
    <w:p>
      <w:pPr>
        <w:spacing w:after="0" w:line="190" w:lineRule="exact"/>
        <w:rPr>
          <w:sz w:val="20"/>
          <w:szCs w:val="20"/>
          <w:color w:val="auto"/>
        </w:rPr>
      </w:pPr>
    </w:p>
    <w:p>
      <w:pPr>
        <w:ind w:left="1722" w:right="2879" w:hanging="1144"/>
        <w:spacing w:after="0" w:line="239" w:lineRule="auto"/>
        <w:tabs>
          <w:tab w:leader="none" w:pos="1702"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Notice of Registration Statement and Selling Securityholder Questionnaire</w:t>
      </w:r>
    </w:p>
    <w:p>
      <w:pPr>
        <w:spacing w:after="0" w:line="186" w:lineRule="exact"/>
        <w:rPr>
          <w:sz w:val="20"/>
          <w:szCs w:val="20"/>
          <w:color w:val="auto"/>
        </w:rPr>
      </w:pPr>
    </w:p>
    <w:p>
      <w:pPr>
        <w:ind w:left="182" w:hanging="182"/>
        <w:spacing w:after="0"/>
        <w:tabs>
          <w:tab w:leader="none" w:pos="1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17. Undertakings</w:t>
      </w:r>
    </w:p>
    <w:p>
      <w:pPr>
        <w:spacing w:after="0" w:line="185" w:lineRule="exact"/>
        <w:rPr>
          <w:rFonts w:ascii="Courier New" w:cs="Courier New" w:eastAsia="Courier New" w:hAnsi="Courier New"/>
          <w:sz w:val="16"/>
          <w:szCs w:val="16"/>
          <w:color w:val="auto"/>
        </w:rPr>
      </w:pPr>
    </w:p>
    <w:p>
      <w:pPr>
        <w:ind w:left="962" w:hanging="390"/>
        <w:spacing w:after="0"/>
        <w:tabs>
          <w:tab w:leader="none" w:pos="962"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582" w:right="2599" w:firstLine="276"/>
        <w:spacing w:after="0" w:line="239" w:lineRule="auto"/>
        <w:tabs>
          <w:tab w:leader="none" w:pos="1250"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582" w:right="2879" w:firstLine="562"/>
        <w:spacing w:after="0" w:line="239" w:lineRule="auto"/>
        <w:tabs>
          <w:tab w:leader="none" w:pos="1536" w:val="left"/>
        </w:tabs>
        <w:numPr>
          <w:ilvl w:val="3"/>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582" w:right="2599" w:firstLine="562"/>
        <w:spacing w:after="0" w:line="242" w:lineRule="auto"/>
        <w:tabs>
          <w:tab w:leader="none" w:pos="1631" w:val="left"/>
        </w:tabs>
        <w:numPr>
          <w:ilvl w:val="3"/>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aggregate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91" w:lineRule="exact"/>
        <w:rPr>
          <w:rFonts w:ascii="Courier New" w:cs="Courier New" w:eastAsia="Courier New" w:hAnsi="Courier New"/>
          <w:sz w:val="16"/>
          <w:szCs w:val="16"/>
          <w:color w:val="auto"/>
        </w:rPr>
      </w:pPr>
    </w:p>
    <w:p>
      <w:pPr>
        <w:ind w:left="582" w:right="2599" w:firstLine="562"/>
        <w:spacing w:after="0" w:line="265" w:lineRule="auto"/>
        <w:tabs>
          <w:tab w:leader="none" w:pos="1727" w:val="left"/>
        </w:tabs>
        <w:numPr>
          <w:ilvl w:val="3"/>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1"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188" w:lineRule="exact"/>
        <w:rPr>
          <w:sz w:val="20"/>
          <w:szCs w:val="20"/>
          <w:color w:val="auto"/>
        </w:rPr>
      </w:pPr>
    </w:p>
    <w:p>
      <w:pPr>
        <w:ind w:left="1242" w:hanging="384"/>
        <w:spacing w:after="0"/>
        <w:tabs>
          <w:tab w:leader="none" w:pos="124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w:t>
      </w:r>
    </w:p>
    <w:p>
      <w:pPr>
        <w:spacing w:after="0" w:line="5" w:lineRule="exact"/>
        <w:rPr>
          <w:rFonts w:ascii="Courier New" w:cs="Courier New" w:eastAsia="Courier New" w:hAnsi="Courier New"/>
          <w:sz w:val="16"/>
          <w:szCs w:val="16"/>
          <w:color w:val="auto"/>
        </w:rPr>
      </w:pPr>
    </w:p>
    <w:p>
      <w:pPr>
        <w:ind w:left="5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1"/>
          </w:cols>
          <w:pgMar w:left="238" w:top="667" w:right="1440" w:bottom="1440" w:gutter="0" w:footer="0" w:header="0"/>
        </w:sectPr>
      </w:pPr>
    </w:p>
    <w:bookmarkStart w:id="69" w:name="page70"/>
    <w:bookmarkEnd w:id="69"/>
    <w:p>
      <w:pPr>
        <w:ind w:left="10" w:right="2679" w:firstLine="276"/>
        <w:spacing w:after="0"/>
        <w:tabs>
          <w:tab w:leader="none" w:pos="678"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rFonts w:ascii="Courier New" w:cs="Courier New" w:eastAsia="Courier New" w:hAnsi="Courier New"/>
          <w:sz w:val="16"/>
          <w:szCs w:val="16"/>
          <w:color w:val="auto"/>
        </w:rPr>
      </w:pPr>
    </w:p>
    <w:p>
      <w:pPr>
        <w:ind w:left="-570" w:right="2599" w:firstLine="570"/>
        <w:spacing w:after="0" w:line="242" w:lineRule="auto"/>
        <w:tabs>
          <w:tab w:leader="none" w:pos="3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570" w:right="2599" w:firstLine="570"/>
        <w:spacing w:after="0" w:line="242" w:lineRule="auto"/>
        <w:tabs>
          <w:tab w:leader="none" w:pos="3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5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649"/>
          </w:cols>
          <w:pgMar w:left="810" w:top="667" w:right="1440" w:bottom="1440" w:gutter="0" w:footer="0" w:header="0"/>
        </w:sectPr>
      </w:pPr>
    </w:p>
    <w:bookmarkStart w:id="70" w:name="page71"/>
    <w:bookmarkEnd w:id="70"/>
    <w:p>
      <w:pPr>
        <w:ind w:left="334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979" w:firstLine="572"/>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Canton, Commonwealth of Massachusetts, as of April 21, 2004.</w:t>
      </w:r>
    </w:p>
    <w:p>
      <w:pPr>
        <w:spacing w:after="0" w:line="184"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CASUAL MALE RETAIL GROUP, INC.</w:t>
      </w:r>
    </w:p>
    <w:p>
      <w:pPr>
        <w:spacing w:after="0" w:line="186"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By: /s/ Dennis R. Hernreich</w:t>
      </w:r>
    </w:p>
    <w:p>
      <w:pPr>
        <w:spacing w:after="0" w:line="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2"/>
        <w:spacing w:after="0"/>
        <w:tabs>
          <w:tab w:leader="none" w:pos="4362" w:val="left"/>
        </w:tabs>
        <w:rPr>
          <w:sz w:val="20"/>
          <w:szCs w:val="20"/>
          <w:color w:val="auto"/>
        </w:rPr>
      </w:pPr>
      <w:r>
        <w:rPr>
          <w:rFonts w:ascii="Courier New" w:cs="Courier New" w:eastAsia="Courier New" w:hAnsi="Courier New"/>
          <w:sz w:val="16"/>
          <w:szCs w:val="16"/>
          <w:color w:val="auto"/>
        </w:rPr>
        <w:t>Name:</w:t>
        <w:tab/>
        <w:t>Dennis R. Hernreich</w:t>
      </w:r>
    </w:p>
    <w:p>
      <w:pPr>
        <w:spacing w:after="0" w:line="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Title: Executive Vice President, Chief</w:t>
      </w:r>
    </w:p>
    <w:p>
      <w:pPr>
        <w:spacing w:after="0" w:line="5" w:lineRule="exact"/>
        <w:rPr>
          <w:sz w:val="20"/>
          <w:szCs w:val="20"/>
          <w:color w:val="auto"/>
        </w:rPr>
      </w:pPr>
    </w:p>
    <w:p>
      <w:pPr>
        <w:ind w:left="4382"/>
        <w:spacing w:after="0"/>
        <w:rPr>
          <w:sz w:val="20"/>
          <w:szCs w:val="20"/>
          <w:color w:val="auto"/>
        </w:rPr>
      </w:pPr>
      <w:r>
        <w:rPr>
          <w:rFonts w:ascii="Courier New" w:cs="Courier New" w:eastAsia="Courier New" w:hAnsi="Courier New"/>
          <w:sz w:val="15"/>
          <w:szCs w:val="15"/>
          <w:color w:val="auto"/>
        </w:rPr>
        <w:t>Operating Officer, Chief Financial</w:t>
      </w:r>
    </w:p>
    <w:p>
      <w:pPr>
        <w:spacing w:after="0" w:line="11"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Officer and Treasurer (Principal</w:t>
      </w:r>
    </w:p>
    <w:p>
      <w:pPr>
        <w:spacing w:after="0" w:line="2"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Financial Officer)</w:t>
      </w:r>
    </w:p>
    <w:p>
      <w:pPr>
        <w:spacing w:after="0" w:line="372"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each severally constitutes and appoints Dennis R. Hernreich, as true and lawful attorney-in-fact and agent, with full powers of substitution and resubstitution, for them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they might or could do in person, hereby ratifying and confirming all which said attorney-in-fact and agent, or his substitute or substitutes, may lawfully do, or cause to be done by virtue thereof.</w:t>
      </w:r>
    </w:p>
    <w:p>
      <w:pPr>
        <w:spacing w:after="0" w:line="192" w:lineRule="exact"/>
        <w:rPr>
          <w:sz w:val="20"/>
          <w:szCs w:val="20"/>
          <w:color w:val="auto"/>
        </w:rPr>
      </w:pPr>
    </w:p>
    <w:p>
      <w:pPr>
        <w:ind w:left="2" w:right="2679" w:firstLine="572"/>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as of April 21, 2004 in the capacities indicated below.</w:t>
      </w:r>
    </w:p>
    <w:p>
      <w:pPr>
        <w:spacing w:after="0" w:line="18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128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David A. Levin</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President and Chief Executive</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ind w:left="580"/>
              <w:spacing w:after="0"/>
              <w:rPr>
                <w:sz w:val="20"/>
                <w:szCs w:val="20"/>
                <w:color w:val="auto"/>
              </w:rPr>
            </w:pPr>
            <w:r>
              <w:rPr>
                <w:rFonts w:ascii="Courier New" w:cs="Courier New" w:eastAsia="Courier New" w:hAnsi="Courier New"/>
                <w:sz w:val="16"/>
                <w:szCs w:val="16"/>
                <w:color w:val="auto"/>
              </w:rPr>
              <w:t>Officer</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(Principal Executive Officer)</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David A. Levin</w:t>
            </w:r>
          </w:p>
        </w:tc>
        <w:tc>
          <w:tcPr>
            <w:tcW w:w="128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Dennis R. Hernreich</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Executive</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w w:val="98"/>
              </w:rPr>
              <w:t>Vice President, Chief Operating</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Officer, Chief Financial Officer and</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Dennis R. Hernreich</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Treasurer</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(Principal Financial Officer)</w:t>
            </w: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Seymour Holtzman</w:t>
            </w: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Chairman of the Board of Directors</w:t>
            </w:r>
          </w:p>
        </w:tc>
      </w:tr>
    </w:tbl>
    <w:p>
      <w:pPr>
        <w:spacing w:after="0" w:line="2" w:lineRule="exact"/>
        <w:rPr>
          <w:sz w:val="20"/>
          <w:szCs w:val="20"/>
          <w:color w:val="auto"/>
        </w:rPr>
      </w:pPr>
    </w:p>
    <w:p>
      <w:pPr>
        <w:ind w:left="182" w:hanging="182"/>
        <w:spacing w:after="0"/>
        <w:tabs>
          <w:tab w:leader="none" w:pos="1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Seymour Holtzman</w:t>
      </w:r>
    </w:p>
    <w:p>
      <w:pPr>
        <w:spacing w:after="0" w:line="186" w:lineRule="exact"/>
        <w:rPr>
          <w:sz w:val="20"/>
          <w:szCs w:val="20"/>
          <w:color w:val="auto"/>
        </w:rPr>
      </w:pPr>
    </w:p>
    <w:p>
      <w:pPr>
        <w:ind w:left="2"/>
        <w:spacing w:after="0"/>
        <w:tabs>
          <w:tab w:leader="none" w:pos="3602" w:val="left"/>
        </w:tabs>
        <w:rPr>
          <w:sz w:val="20"/>
          <w:szCs w:val="20"/>
          <w:color w:val="auto"/>
        </w:rPr>
      </w:pPr>
      <w:r>
        <w:rPr>
          <w:rFonts w:ascii="Courier New" w:cs="Courier New" w:eastAsia="Courier New" w:hAnsi="Courier New"/>
          <w:sz w:val="16"/>
          <w:szCs w:val="16"/>
          <w:color w:val="auto"/>
        </w:rPr>
        <w:t>/s/ James P. Frain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P. Frain</w:t>
      </w:r>
    </w:p>
    <w:p>
      <w:pPr>
        <w:spacing w:after="0" w:line="186" w:lineRule="exact"/>
        <w:rPr>
          <w:sz w:val="20"/>
          <w:szCs w:val="20"/>
          <w:color w:val="auto"/>
        </w:rPr>
      </w:pPr>
    </w:p>
    <w:p>
      <w:pPr>
        <w:ind w:left="2"/>
        <w:spacing w:after="0"/>
        <w:tabs>
          <w:tab w:leader="none" w:pos="3602" w:val="left"/>
        </w:tabs>
        <w:rPr>
          <w:sz w:val="20"/>
          <w:szCs w:val="20"/>
          <w:color w:val="auto"/>
        </w:rPr>
      </w:pPr>
      <w:r>
        <w:rPr>
          <w:rFonts w:ascii="Courier New" w:cs="Courier New" w:eastAsia="Courier New" w:hAnsi="Courier New"/>
          <w:sz w:val="16"/>
          <w:szCs w:val="16"/>
          <w:color w:val="auto"/>
        </w:rPr>
        <w:t>/s/ George T. Porter, Jr.</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T. Porter, Jr.</w:t>
      </w:r>
    </w:p>
    <w:p>
      <w:pPr>
        <w:sectPr>
          <w:pgSz w:w="11900" w:h="16838" w:orient="portrait"/>
          <w:cols w:equalWidth="0" w:num="1">
            <w:col w:w="10221"/>
          </w:cols>
          <w:pgMar w:left="238" w:top="848" w:right="1440" w:bottom="1440" w:gutter="0" w:footer="0" w:header="0"/>
        </w:sectPr>
      </w:pPr>
    </w:p>
    <w:bookmarkStart w:id="71" w:name="page72"/>
    <w:bookmarkEnd w:id="71"/>
    <w:p>
      <w:pPr>
        <w:ind w:left="2"/>
        <w:spacing w:after="0"/>
        <w:tabs>
          <w:tab w:leader="none" w:pos="3602" w:val="left"/>
        </w:tabs>
        <w:rPr>
          <w:sz w:val="20"/>
          <w:szCs w:val="20"/>
          <w:color w:val="auto"/>
        </w:rPr>
      </w:pPr>
      <w:r>
        <w:rPr>
          <w:rFonts w:ascii="Courier New" w:cs="Courier New" w:eastAsia="Courier New" w:hAnsi="Courier New"/>
          <w:sz w:val="16"/>
          <w:szCs w:val="16"/>
          <w:color w:val="auto"/>
        </w:rPr>
        <w:t>/s/ Joseph Pennacchio</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Joseph Pennacchio</w:t>
      </w:r>
    </w:p>
    <w:p>
      <w:pPr>
        <w:spacing w:after="0" w:line="186" w:lineRule="exact"/>
        <w:rPr>
          <w:sz w:val="20"/>
          <w:szCs w:val="20"/>
          <w:color w:val="auto"/>
        </w:rPr>
      </w:pPr>
    </w:p>
    <w:p>
      <w:pPr>
        <w:ind w:left="2"/>
        <w:spacing w:after="0"/>
        <w:tabs>
          <w:tab w:leader="none" w:pos="3602" w:val="left"/>
        </w:tabs>
        <w:rPr>
          <w:sz w:val="20"/>
          <w:szCs w:val="20"/>
          <w:color w:val="auto"/>
        </w:rPr>
      </w:pPr>
      <w:r>
        <w:rPr>
          <w:rFonts w:ascii="Courier New" w:cs="Courier New" w:eastAsia="Courier New" w:hAnsi="Courier New"/>
          <w:sz w:val="16"/>
          <w:szCs w:val="16"/>
          <w:color w:val="auto"/>
        </w:rPr>
        <w:t>/s/ Alan S. Bernikow</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Alan S. Bernikow</w:t>
      </w:r>
    </w:p>
    <w:p>
      <w:pPr>
        <w:spacing w:after="0" w:line="186" w:lineRule="exact"/>
        <w:rPr>
          <w:sz w:val="20"/>
          <w:szCs w:val="20"/>
          <w:color w:val="auto"/>
        </w:rPr>
      </w:pPr>
    </w:p>
    <w:p>
      <w:pPr>
        <w:ind w:left="2"/>
        <w:spacing w:after="0"/>
        <w:tabs>
          <w:tab w:leader="none" w:pos="3602" w:val="left"/>
        </w:tabs>
        <w:rPr>
          <w:sz w:val="20"/>
          <w:szCs w:val="20"/>
          <w:color w:val="auto"/>
        </w:rPr>
      </w:pPr>
      <w:r>
        <w:rPr>
          <w:rFonts w:ascii="Courier New" w:cs="Courier New" w:eastAsia="Courier New" w:hAnsi="Courier New"/>
          <w:sz w:val="16"/>
          <w:szCs w:val="16"/>
          <w:color w:val="auto"/>
        </w:rPr>
        <w:t>/s/ Jesse H. Choper</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Jesse H. Choper</w:t>
      </w:r>
    </w:p>
    <w:p>
      <w:pPr>
        <w:spacing w:after="0" w:line="186" w:lineRule="exact"/>
        <w:rPr>
          <w:sz w:val="20"/>
          <w:szCs w:val="20"/>
          <w:color w:val="auto"/>
        </w:rPr>
      </w:pPr>
    </w:p>
    <w:p>
      <w:pPr>
        <w:ind w:left="2"/>
        <w:spacing w:after="0"/>
        <w:tabs>
          <w:tab w:leader="none" w:pos="3602" w:val="left"/>
        </w:tabs>
        <w:rPr>
          <w:sz w:val="20"/>
          <w:szCs w:val="20"/>
          <w:color w:val="auto"/>
        </w:rPr>
      </w:pPr>
      <w:r>
        <w:rPr>
          <w:rFonts w:ascii="Courier New" w:cs="Courier New" w:eastAsia="Courier New" w:hAnsi="Courier New"/>
          <w:sz w:val="16"/>
          <w:szCs w:val="16"/>
          <w:color w:val="auto"/>
        </w:rPr>
        <w:t>/s/ Frank J. Husic</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Frank J. Husic</w:t>
      </w:r>
    </w:p>
    <w:p>
      <w:pPr>
        <w:sectPr>
          <w:pgSz w:w="11900" w:h="16838" w:orient="portrait"/>
          <w:cols w:equalWidth="0" w:num="1">
            <w:col w:w="10221"/>
          </w:cols>
          <w:pgMar w:left="238" w:top="665" w:right="1440" w:bottom="1440" w:gutter="0" w:footer="0" w:header="0"/>
        </w:sectPr>
      </w:pPr>
    </w:p>
    <w:bookmarkStart w:id="72" w:name="page73"/>
    <w:bookmarkEnd w:id="72"/>
    <w:tbl>
      <w:tblPr>
        <w:tblLayout w:type="fixed"/>
        <w:tblInd w:w="280"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6160" w:type="dxa"/>
            <w:vAlign w:val="bottom"/>
          </w:tcPr>
          <w:p>
            <w:pPr>
              <w:ind w:left="1860"/>
              <w:spacing w:after="0"/>
              <w:rPr>
                <w:sz w:val="20"/>
                <w:szCs w:val="20"/>
                <w:color w:val="auto"/>
              </w:rPr>
            </w:pPr>
            <w:r>
              <w:rPr>
                <w:rFonts w:ascii="Courier New" w:cs="Courier New" w:eastAsia="Courier New" w:hAnsi="Courier New"/>
                <w:sz w:val="16"/>
                <w:szCs w:val="16"/>
                <w:color w:val="auto"/>
              </w:rPr>
              <w:t>EXHIBIT INDEX</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Exhibit</w:t>
            </w:r>
          </w:p>
        </w:tc>
        <w:tc>
          <w:tcPr>
            <w:tcW w:w="6160" w:type="dxa"/>
            <w:vAlign w:val="bottom"/>
          </w:tcPr>
          <w:p>
            <w:pPr>
              <w:ind w:left="176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6160" w:type="dxa"/>
            <w:vAlign w:val="bottom"/>
          </w:tcPr>
          <w:p>
            <w:pPr>
              <w:ind w:left="1760"/>
              <w:spacing w:after="0"/>
              <w:rPr>
                <w:sz w:val="20"/>
                <w:szCs w:val="20"/>
                <w:color w:val="auto"/>
              </w:rPr>
            </w:pPr>
            <w:r>
              <w:rPr>
                <w:rFonts w:ascii="Courier New" w:cs="Courier New" w:eastAsia="Courier New" w:hAnsi="Courier New"/>
                <w:sz w:val="16"/>
                <w:szCs w:val="16"/>
                <w:color w:val="auto"/>
              </w:rPr>
              <w:t>-----------</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Indenture, dated as of November 18, 2003, by and between</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Casual Male Retail Group, Inc. and U.S. Bank National</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Association. (Included as Exhibit 4.1 to the Company's</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Quarterly Report on Form 10-Q filed with the SEC on December</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9, 2003 for the quarterly period ended November 1, 2003, and</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4.2*</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Registration Rights Agreement, dated as of November 18, 2003</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w w:val="99"/>
              </w:rPr>
              <w:t>by and among Casual Male Retail Group, Inc. and Thomas Weisel</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Partners LLC. (Included as Exhibit 10.4 to the Company's</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Quarterly Report on Form 10-Q filed with the SEC on December</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9, 2003 for the quarterly period ended November 1, 2003, and</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Opinion of Kramer Levin Naftalis &amp; Frankel LLP</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w w:val="99"/>
              </w:rPr>
              <w:t>Statement regarding Computation of Ratio of Earnings to Fixed</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Charges</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23.2</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Consent of Kramer Levin Naftalis &amp; Frankel LLP (included in</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Exhibit 5.1)</w:t>
            </w:r>
          </w:p>
        </w:tc>
      </w:tr>
      <w:tr>
        <w:trPr>
          <w:trHeight w:val="367"/>
        </w:trPr>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Power of Attorney (included on the signature page of this</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367"/>
        </w:trPr>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w w:val="99"/>
              </w:rPr>
              <w:t>Statement of Eligibility of U.S. Bank National Association to</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act as trustee under the Indenture under the Trust Indenture</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Act of 1939</w:t>
            </w:r>
          </w:p>
        </w:tc>
      </w:tr>
      <w:tr>
        <w:trPr>
          <w:trHeight w:val="367"/>
        </w:trPr>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99.1*</w:t>
            </w: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Notice of Registration Statement and Selling Securityholder</w:t>
            </w:r>
          </w:p>
        </w:tc>
      </w:tr>
      <w:tr>
        <w:trPr>
          <w:trHeight w:val="183"/>
        </w:trPr>
        <w:tc>
          <w:tcPr>
            <w:tcW w:w="1100" w:type="dxa"/>
            <w:vAlign w:val="bottom"/>
          </w:tcPr>
          <w:p>
            <w:pPr>
              <w:spacing w:after="0"/>
              <w:rPr>
                <w:sz w:val="15"/>
                <w:szCs w:val="15"/>
                <w:color w:val="auto"/>
              </w:rPr>
            </w:pPr>
          </w:p>
        </w:tc>
        <w:tc>
          <w:tcPr>
            <w:tcW w:w="6160" w:type="dxa"/>
            <w:vAlign w:val="bottom"/>
          </w:tcPr>
          <w:p>
            <w:pPr>
              <w:ind w:left="340"/>
              <w:spacing w:after="0"/>
              <w:rPr>
                <w:sz w:val="20"/>
                <w:szCs w:val="20"/>
                <w:color w:val="auto"/>
              </w:rPr>
            </w:pPr>
            <w:r>
              <w:rPr>
                <w:rFonts w:ascii="Courier New" w:cs="Courier New" w:eastAsia="Courier New" w:hAnsi="Courier New"/>
                <w:sz w:val="16"/>
                <w:szCs w:val="16"/>
                <w:color w:val="auto"/>
              </w:rPr>
              <w:t>Questionnaire</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previously.</w:t>
      </w:r>
    </w:p>
    <w:p>
      <w:pPr>
        <w:sectPr>
          <w:pgSz w:w="11900" w:h="16838" w:orient="portrait"/>
          <w:cols w:equalWidth="0" w:num="1">
            <w:col w:w="10219"/>
          </w:cols>
          <w:pgMar w:left="240" w:top="664" w:right="1440" w:bottom="1440" w:gutter="0" w:footer="0" w:header="0"/>
        </w:sectPr>
      </w:pPr>
    </w:p>
    <w:bookmarkStart w:id="73" w:name="page74"/>
    <w:bookmarkEnd w:id="73"/>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3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March 4, 2004</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Casual Male Retail Group,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 Turnpike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Canton, Massachusetts 02021</w:t>
      </w:r>
    </w:p>
    <w:p>
      <w:pPr>
        <w:spacing w:after="0" w:line="369" w:lineRule="exact"/>
        <w:rPr>
          <w:sz w:val="20"/>
          <w:szCs w:val="20"/>
          <w:color w:val="auto"/>
        </w:rPr>
      </w:pPr>
    </w:p>
    <w:p>
      <w:pPr>
        <w:ind w:left="1140"/>
        <w:spacing w:after="0"/>
        <w:tabs>
          <w:tab w:leader="none" w:pos="170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Statement on Form S-3</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have acted as special counsel to Casual Male Retail Group, Inc., a Delaware corporation (the "Company"), in connection with a Registration Statement on Form S-3 (the "Registration Statement"), for the registration of the sale from time to time by the holders thereof of (i) $100,000,000 aggregate principal amount of the Company's 5% Convertible Subordinated Notes Due 2024 (the "Notes") issued pursuant to the terms of an Indenture, the form of which is filed as Exhibit 4.1 to the Registration Statement (the "Indenture"), and (ii) the shares (the "Shares") of common stock, par value $0.01 per share, of the Company initially issuable upon conversion of the Notes.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have made such inquiries and reviewed such documents and records as we have deemed necessary to enable us to express an opinion on the matters covered hereby, and we have also examined and relied upon representations, statements or certificates of public officials and officers and representatives of the Company. We have assumed that the Notes have been duly authenticated by the Trustee for the Notes as provided for in the Indenture.</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Based upon and subject to the foregoing, we are of the opinion that:</w:t>
      </w:r>
    </w:p>
    <w:p>
      <w:pPr>
        <w:spacing w:after="0" w:line="188" w:lineRule="exact"/>
        <w:rPr>
          <w:sz w:val="20"/>
          <w:szCs w:val="20"/>
          <w:color w:val="auto"/>
        </w:rPr>
      </w:pPr>
    </w:p>
    <w:p>
      <w:pPr>
        <w:ind w:right="2599" w:firstLine="570"/>
        <w:spacing w:after="0" w:line="241" w:lineRule="auto"/>
        <w:tabs>
          <w:tab w:leader="none" w:pos="85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have been legally issued and constitute the binding obligations of the Company, subject to applicable bankruptcy, insolvency and other similar laws relating to or affecting the rights and remedies of creditors generally and to general principles of equity; and</w:t>
      </w:r>
    </w:p>
    <w:p>
      <w:pPr>
        <w:spacing w:after="0" w:line="189" w:lineRule="exact"/>
        <w:rPr>
          <w:rFonts w:ascii="Courier New" w:cs="Courier New" w:eastAsia="Courier New" w:hAnsi="Courier New"/>
          <w:sz w:val="16"/>
          <w:szCs w:val="16"/>
          <w:color w:val="auto"/>
        </w:rPr>
      </w:pPr>
    </w:p>
    <w:p>
      <w:pPr>
        <w:ind w:right="2599" w:firstLine="570"/>
        <w:spacing w:after="0"/>
        <w:tabs>
          <w:tab w:leader="none" w:pos="85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been duly authorized and reserved and, when issued upon conversion of the Notes in accordance with the terms of the Notes and the Indenture, will be legally issued, fully paid and non-assessable.</w:t>
      </w:r>
    </w:p>
    <w:p>
      <w:pPr>
        <w:spacing w:after="0" w:line="190"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We do not express any opinion with respect to any law other than the laws of the State of New York, the Delaware General Corporation Law and the federal laws of the United States of America. This opinion is rendered only with respect to the laws and legal interpretations and the facts and circumstances in effect on the date hereof.</w:t>
      </w:r>
    </w:p>
    <w:p>
      <w:pPr>
        <w:spacing w:after="0" w:line="190" w:lineRule="exact"/>
        <w:rPr>
          <w:sz w:val="20"/>
          <w:szCs w:val="20"/>
          <w:color w:val="auto"/>
        </w:rPr>
      </w:pPr>
    </w:p>
    <w:p>
      <w:pPr>
        <w:ind w:right="3159" w:firstLine="572"/>
        <w:spacing w:after="0"/>
        <w:rPr>
          <w:sz w:val="20"/>
          <w:szCs w:val="20"/>
          <w:color w:val="auto"/>
        </w:rPr>
      </w:pPr>
      <w:r>
        <w:rPr>
          <w:rFonts w:ascii="Courier New" w:cs="Courier New" w:eastAsia="Courier New" w:hAnsi="Courier New"/>
          <w:sz w:val="16"/>
          <w:szCs w:val="16"/>
          <w:color w:val="auto"/>
        </w:rPr>
        <w:t>We hereby consent to the use of this opinion as Exhibit 5.1 to the Registration Statement and to the use of our name under the caption "Legal Matters" in the prospectus included in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Registration Statement. In giving this consent, we do not thereby admit that we are within the category of persons whose consent is required under Section 7 of the Securities Act of 1933, as amended, or the rules and regulations promulgated thereunder.</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6"/>
          <w:szCs w:val="16"/>
          <w:color w:val="auto"/>
        </w:rPr>
        <w:t>Kramer, Levin, Naftalis &amp; Frankel LLP</w:t>
      </w:r>
    </w:p>
    <w:p>
      <w:pPr>
        <w:sectPr>
          <w:pgSz w:w="11900" w:h="16838" w:orient="portrait"/>
          <w:cols w:equalWidth="0" w:num="1">
            <w:col w:w="10219"/>
          </w:cols>
          <w:pgMar w:left="240" w:top="139"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1"/>
        </w:trPr>
        <w:tc>
          <w:tcPr>
            <w:tcW w:w="3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Exhibit 12.1</w:t>
            </w:r>
          </w:p>
        </w:tc>
      </w:tr>
      <w:tr>
        <w:trPr>
          <w:trHeight w:val="550"/>
        </w:trPr>
        <w:tc>
          <w:tcPr>
            <w:tcW w:w="3760" w:type="dxa"/>
            <w:vAlign w:val="bottom"/>
          </w:tcPr>
          <w:p>
            <w:pPr>
              <w:spacing w:after="0"/>
              <w:rPr>
                <w:sz w:val="24"/>
                <w:szCs w:val="24"/>
                <w:color w:val="auto"/>
              </w:rPr>
            </w:pPr>
          </w:p>
        </w:tc>
        <w:tc>
          <w:tcPr>
            <w:tcW w:w="4540" w:type="dxa"/>
            <w:vAlign w:val="bottom"/>
            <w:gridSpan w:val="3"/>
          </w:tcPr>
          <w:p>
            <w:pPr>
              <w:jc w:val="right"/>
              <w:ind w:right="601"/>
              <w:spacing w:after="0"/>
              <w:rPr>
                <w:sz w:val="20"/>
                <w:szCs w:val="20"/>
                <w:color w:val="auto"/>
              </w:rPr>
            </w:pPr>
            <w:r>
              <w:rPr>
                <w:rFonts w:ascii="Courier New" w:cs="Courier New" w:eastAsia="Courier New" w:hAnsi="Courier New"/>
                <w:sz w:val="16"/>
                <w:szCs w:val="16"/>
                <w:color w:val="auto"/>
              </w:rPr>
              <w:t>Ratio of Earnings to Fixed Charges</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50"/>
        </w:trPr>
        <w:tc>
          <w:tcPr>
            <w:tcW w:w="376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January 29,</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February 3,</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8"/>
              </w:rPr>
              <w:t>February 2,</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February 1,</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January 31,</w:t>
            </w:r>
          </w:p>
        </w:tc>
      </w:tr>
      <w:tr>
        <w:trPr>
          <w:trHeight w:val="183"/>
        </w:trPr>
        <w:tc>
          <w:tcPr>
            <w:tcW w:w="3760" w:type="dxa"/>
            <w:vAlign w:val="bottom"/>
          </w:tcPr>
          <w:p>
            <w:pPr>
              <w:spacing w:after="0"/>
              <w:rPr>
                <w:sz w:val="15"/>
                <w:szCs w:val="15"/>
                <w:color w:val="auto"/>
              </w:rPr>
            </w:pPr>
          </w:p>
        </w:tc>
        <w:tc>
          <w:tcPr>
            <w:tcW w:w="16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2000</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2002</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2003</w:t>
            </w:r>
          </w:p>
        </w:tc>
        <w:tc>
          <w:tcPr>
            <w:tcW w:w="14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2004</w:t>
            </w:r>
          </w:p>
        </w:tc>
      </w:tr>
      <w:tr>
        <w:trPr>
          <w:trHeight w:val="183"/>
        </w:trPr>
        <w:tc>
          <w:tcPr>
            <w:tcW w:w="3760" w:type="dxa"/>
            <w:vAlign w:val="bottom"/>
          </w:tcPr>
          <w:p>
            <w:pPr>
              <w:spacing w:after="0"/>
              <w:rPr>
                <w:sz w:val="15"/>
                <w:szCs w:val="15"/>
                <w:color w:val="auto"/>
              </w:rPr>
            </w:pP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(fiscal 1999)</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9"/>
              </w:rPr>
              <w:t>(fiscal 2000)</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9"/>
              </w:rPr>
              <w:t>(fiscal 2001)</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(fiscal 2002)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(fiscal 2003)</w:t>
            </w:r>
          </w:p>
        </w:tc>
      </w:tr>
      <w:tr>
        <w:trPr>
          <w:trHeight w:val="550"/>
        </w:trPr>
        <w:tc>
          <w:tcPr>
            <w:tcW w:w="3760" w:type="dxa"/>
            <w:vAlign w:val="bottom"/>
          </w:tcPr>
          <w:p>
            <w:pPr>
              <w:spacing w:after="0"/>
              <w:rPr>
                <w:sz w:val="20"/>
                <w:szCs w:val="20"/>
                <w:color w:val="auto"/>
              </w:rPr>
            </w:pPr>
            <w:r>
              <w:rPr>
                <w:rFonts w:ascii="Courier New" w:cs="Courier New" w:eastAsia="Courier New" w:hAnsi="Courier New"/>
                <w:sz w:val="16"/>
                <w:szCs w:val="16"/>
                <w:color w:val="auto"/>
              </w:rPr>
              <w:t>Pretax income (loss) from continuing</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operations before taxes and</w:t>
            </w: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minority interest</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(15,612)</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(1,183)</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(4,376)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(13,769)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(9,380)</w:t>
            </w:r>
          </w:p>
        </w:tc>
      </w:tr>
      <w:tr>
        <w:trPr>
          <w:trHeight w:val="367"/>
        </w:trPr>
        <w:tc>
          <w:tcPr>
            <w:tcW w:w="376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37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1,298</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1,851</w:t>
            </w: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1,916</w:t>
            </w: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9,131</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11,374</w:t>
            </w:r>
          </w:p>
        </w:tc>
      </w:tr>
      <w:tr>
        <w:trPr>
          <w:trHeight w:val="183"/>
        </w:trPr>
        <w:tc>
          <w:tcPr>
            <w:tcW w:w="3760" w:type="dxa"/>
            <w:vAlign w:val="bottom"/>
          </w:tcPr>
          <w:p>
            <w:pPr>
              <w:spacing w:after="0"/>
              <w:rPr>
                <w:sz w:val="20"/>
                <w:szCs w:val="20"/>
                <w:color w:val="auto"/>
              </w:rPr>
            </w:pPr>
            <w:r>
              <w:rPr>
                <w:rFonts w:ascii="Courier New" w:cs="Courier New" w:eastAsia="Courier New" w:hAnsi="Courier New"/>
                <w:sz w:val="16"/>
                <w:szCs w:val="16"/>
                <w:color w:val="auto"/>
              </w:rPr>
              <w:t>Amortized premiums, discounts, and</w:t>
            </w: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capitalized expenses related to</w:t>
            </w: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indebtedness</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209</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196</w:t>
            </w: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95</w:t>
            </w: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1,153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1,025</w:t>
            </w:r>
          </w:p>
        </w:tc>
      </w:tr>
      <w:tr>
        <w:trPr>
          <w:trHeight w:val="183"/>
        </w:trPr>
        <w:tc>
          <w:tcPr>
            <w:tcW w:w="3760" w:type="dxa"/>
            <w:vAlign w:val="bottom"/>
          </w:tcPr>
          <w:p>
            <w:pPr>
              <w:spacing w:after="0"/>
              <w:rPr>
                <w:sz w:val="20"/>
                <w:szCs w:val="20"/>
                <w:color w:val="auto"/>
              </w:rPr>
            </w:pPr>
            <w:r>
              <w:rPr>
                <w:rFonts w:ascii="Courier New" w:cs="Courier New" w:eastAsia="Courier New" w:hAnsi="Courier New"/>
                <w:sz w:val="16"/>
                <w:szCs w:val="16"/>
                <w:color w:val="auto"/>
              </w:rPr>
              <w:t>Interest Portion--rent expense--33%</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3,682</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3,697</w:t>
            </w: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3,919</w:t>
            </w: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10,479</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13,883</w:t>
            </w:r>
          </w:p>
        </w:tc>
      </w:tr>
      <w:tr>
        <w:trPr>
          <w:trHeight w:val="367"/>
        </w:trPr>
        <w:tc>
          <w:tcPr>
            <w:tcW w:w="3760" w:type="dxa"/>
            <w:vAlign w:val="bottom"/>
          </w:tcPr>
          <w:p>
            <w:pPr>
              <w:spacing w:after="0"/>
              <w:rPr>
                <w:sz w:val="20"/>
                <w:szCs w:val="20"/>
                <w:color w:val="auto"/>
              </w:rPr>
            </w:pPr>
            <w:r>
              <w:rPr>
                <w:rFonts w:ascii="Courier New" w:cs="Courier New" w:eastAsia="Courier New" w:hAnsi="Courier New"/>
                <w:sz w:val="16"/>
                <w:szCs w:val="16"/>
                <w:color w:val="auto"/>
              </w:rPr>
              <w:t>Total Fixed Charges</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5,188</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5,744</w:t>
            </w: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5,930</w:t>
            </w: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20,763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26,282</w:t>
            </w:r>
          </w:p>
        </w:tc>
      </w:tr>
      <w:tr>
        <w:trPr>
          <w:trHeight w:val="367"/>
        </w:trPr>
        <w:tc>
          <w:tcPr>
            <w:tcW w:w="3760" w:type="dxa"/>
            <w:vAlign w:val="bottom"/>
          </w:tcPr>
          <w:p>
            <w:pPr>
              <w:spacing w:after="0"/>
              <w:rPr>
                <w:sz w:val="20"/>
                <w:szCs w:val="20"/>
                <w:color w:val="auto"/>
              </w:rPr>
            </w:pPr>
            <w:r>
              <w:rPr>
                <w:rFonts w:ascii="Courier New" w:cs="Courier New" w:eastAsia="Courier New" w:hAnsi="Courier New"/>
                <w:sz w:val="16"/>
                <w:szCs w:val="16"/>
                <w:color w:val="auto"/>
              </w:rPr>
              <w:t>Total Earnings</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(10,424)</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4,560</w:t>
            </w: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1,554</w:t>
            </w: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6,994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16,902</w:t>
            </w:r>
          </w:p>
        </w:tc>
      </w:tr>
      <w:tr>
        <w:trPr>
          <w:trHeight w:val="367"/>
        </w:trPr>
        <w:tc>
          <w:tcPr>
            <w:tcW w:w="3760" w:type="dxa"/>
            <w:vAlign w:val="bottom"/>
          </w:tcPr>
          <w:p>
            <w:pPr>
              <w:spacing w:after="0"/>
              <w:rPr>
                <w:sz w:val="20"/>
                <w:szCs w:val="20"/>
                <w:color w:val="auto"/>
              </w:rPr>
            </w:pPr>
            <w:r>
              <w:rPr>
                <w:rFonts w:ascii="Courier New" w:cs="Courier New" w:eastAsia="Courier New" w:hAnsi="Courier New"/>
                <w:sz w:val="16"/>
                <w:szCs w:val="16"/>
                <w:color w:val="auto"/>
              </w:rPr>
              <w:t>Deficiency</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(15,612)</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(1,183)</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(4,376)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(13,769)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(9,380)</w:t>
            </w:r>
          </w:p>
        </w:tc>
      </w:tr>
      <w:tr>
        <w:trPr>
          <w:trHeight w:val="367"/>
        </w:trPr>
        <w:tc>
          <w:tcPr>
            <w:tcW w:w="376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N/A</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N/A</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7"/>
              </w:rPr>
              <w:t>N/A</w:t>
            </w: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N/A</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N/A</w:t>
            </w:r>
          </w:p>
        </w:tc>
      </w:tr>
    </w:tbl>
    <w:p>
      <w:pPr>
        <w:sectPr>
          <w:pgSz w:w="11900" w:h="16838" w:orient="portrait"/>
          <w:cols w:equalWidth="0" w:num="1">
            <w:col w:w="11060"/>
          </w:cols>
          <w:pgMar w:left="240" w:top="506" w:right="599" w:bottom="1440" w:gutter="0" w:footer="0" w:header="0"/>
        </w:sectPr>
      </w:pPr>
    </w:p>
    <w:bookmarkStart w:id="75" w:name="page76"/>
    <w:bookmarkEnd w:id="75"/>
    <w:p>
      <w:pPr>
        <w:jc w:val="right"/>
        <w:ind w:right="259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5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CONSENT OF INDEPENDENT AUDITORS</w:t>
      </w:r>
    </w:p>
    <w:p>
      <w:pPr>
        <w:spacing w:after="0" w:line="200" w:lineRule="exact"/>
        <w:rPr>
          <w:sz w:val="20"/>
          <w:szCs w:val="20"/>
          <w:color w:val="auto"/>
        </w:rPr>
      </w:pPr>
    </w:p>
    <w:p>
      <w:pPr>
        <w:spacing w:after="0" w:line="35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Casual Male Retail Group, Inc. for the registration of $100,000,000 principal amount of 5% convertible senior subordinated notes due 2024 and shares of Casual Male Retail Group, Inc. common stock issuable upon conversion of the notes and to the incorporation by reference therein of our report dated March 24, 2004, with respect to the consolidated financial statements and schedule of Casual Male Retail Group, Inc. included in its Annual Report (Form 10-K) for the year ended January 31, 2004, filed with the Securities and Exchange Commission.</w:t>
      </w:r>
    </w:p>
    <w:p>
      <w:pPr>
        <w:spacing w:after="0" w:line="200" w:lineRule="exact"/>
        <w:rPr>
          <w:sz w:val="20"/>
          <w:szCs w:val="20"/>
          <w:color w:val="auto"/>
        </w:rPr>
      </w:pPr>
    </w:p>
    <w:p>
      <w:pPr>
        <w:spacing w:after="0" w:line="353"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/s/ ERNST &amp; YOUNG LLP</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20, 2004</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212"/>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31"/>
    </w:lvl>
  </w:abstractNum>
  <w:abstractNum w:abstractNumId="5">
    <w:nsid w:val="580BD78F"/>
    <w:multiLevelType w:val="hybridMultilevel"/>
    <w:lvl w:ilvl="0">
      <w:lvlJc w:val="left"/>
      <w:lvlText w:val="o"/>
      <w:numFmt w:val="bullet"/>
      <w:start w:val="1"/>
    </w:lvl>
  </w:abstractNum>
  <w:abstractNum w:abstractNumId="6">
    <w:nsid w:val="153EA438"/>
    <w:multiLevelType w:val="hybridMultilevel"/>
    <w:lvl w:ilvl="0">
      <w:lvlJc w:val="left"/>
      <w:lvlText w:val="o"/>
      <w:numFmt w:val="bullet"/>
      <w:start w:val="1"/>
    </w:lvl>
  </w:abstractNum>
  <w:abstractNum w:abstractNumId="7">
    <w:nsid w:val="3855585C"/>
    <w:multiLevelType w:val="hybridMultilevel"/>
    <w:lvl w:ilvl="0">
      <w:lvlJc w:val="left"/>
      <w:lvlText w:val="o"/>
      <w:numFmt w:val="bullet"/>
      <w:start w:val="1"/>
    </w:lvl>
  </w:abstractNum>
  <w:abstractNum w:abstractNumId="8">
    <w:nsid w:val="70A64E2A"/>
    <w:multiLevelType w:val="hybridMultilevel"/>
    <w:lvl w:ilvl="0">
      <w:lvlJc w:val="left"/>
      <w:lvlText w:val="(%1)"/>
      <w:numFmt w:val="decimal"/>
      <w:start w:val="78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o"/>
      <w:numFmt w:val="bullet"/>
      <w:start w:val="1"/>
    </w:lvl>
  </w:abstractNum>
  <w:abstractNum w:abstractNumId="11">
    <w:nsid w:val="1D4ED43B"/>
    <w:multiLevelType w:val="hybridMultilevel"/>
    <w:lvl w:ilvl="0">
      <w:lvlJc w:val="left"/>
      <w:lvlText w:val="o"/>
      <w:numFmt w:val="bullet"/>
      <w:start w:val="1"/>
    </w:lvl>
  </w:abstractNum>
  <w:abstractNum w:abstractNumId="12">
    <w:nsid w:val="725A06FB"/>
    <w:multiLevelType w:val="hybridMultilevel"/>
    <w:lvl w:ilvl="0">
      <w:lvlJc w:val="left"/>
      <w:lvlText w:val="o"/>
      <w:numFmt w:val="bullet"/>
      <w:start w:val="1"/>
    </w:lvl>
  </w:abstractNum>
  <w:abstractNum w:abstractNumId="13">
    <w:nsid w:val="2CD89A32"/>
    <w:multiLevelType w:val="hybridMultilevel"/>
    <w:lvl w:ilvl="0">
      <w:lvlJc w:val="left"/>
      <w:lvlText w:val="o"/>
      <w:numFmt w:val="bullet"/>
      <w:start w:val="1"/>
    </w:lvl>
  </w:abstractNum>
  <w:abstractNum w:abstractNumId="14">
    <w:nsid w:val="57E4CCAF"/>
    <w:multiLevelType w:val="hybridMultilevel"/>
    <w:lvl w:ilvl="0">
      <w:lvlJc w:val="left"/>
      <w:lvlText w:val="o"/>
      <w:numFmt w:val="bullet"/>
      <w:start w:val="1"/>
    </w:lvl>
  </w:abstractNum>
  <w:abstractNum w:abstractNumId="15">
    <w:nsid w:val="7A6D8D3C"/>
    <w:multiLevelType w:val="hybridMultilevel"/>
    <w:lvl w:ilvl="0">
      <w:lvlJc w:val="left"/>
      <w:lvlText w:val="(%1)"/>
      <w:numFmt w:val="lowerRoman"/>
      <w:start w:val="1"/>
    </w:lvl>
  </w:abstractNum>
  <w:abstractNum w:abstractNumId="16">
    <w:nsid w:val="4B588F54"/>
    <w:multiLevelType w:val="hybridMultilevel"/>
    <w:lvl w:ilvl="0">
      <w:lvlJc w:val="left"/>
      <w:lvlText w:val="o"/>
      <w:numFmt w:val="bullet"/>
      <w:start w:val="1"/>
    </w:lvl>
  </w:abstractNum>
  <w:abstractNum w:abstractNumId="17">
    <w:nsid w:val="542289EC"/>
    <w:multiLevelType w:val="hybridMultilevel"/>
    <w:lvl w:ilvl="0">
      <w:lvlJc w:val="left"/>
      <w:lvlText w:val="o"/>
      <w:numFmt w:val="bullet"/>
      <w:start w:val="1"/>
    </w:lvl>
    <w:lvl w:ilvl="1">
      <w:lvlJc w:val="left"/>
      <w:lvlText w:val="(%2)"/>
      <w:numFmt w:val="lowerRoman"/>
      <w:start w:val="1"/>
    </w:lvl>
  </w:abstractNum>
  <w:abstractNum w:abstractNumId="18">
    <w:nsid w:val="6DE91B18"/>
    <w:multiLevelType w:val="hybridMultilevel"/>
    <w:lvl w:ilvl="0">
      <w:lvlJc w:val="left"/>
      <w:lvlText w:val="o"/>
      <w:numFmt w:val="bullet"/>
      <w:start w:val="1"/>
    </w:lvl>
  </w:abstractNum>
  <w:abstractNum w:abstractNumId="19">
    <w:nsid w:val="38437FDB"/>
    <w:multiLevelType w:val="hybridMultilevel"/>
    <w:lvl w:ilvl="0">
      <w:lvlJc w:val="left"/>
      <w:lvlText w:val="o"/>
      <w:numFmt w:val="bullet"/>
      <w:start w:val="1"/>
    </w:lvl>
  </w:abstractNum>
  <w:abstractNum w:abstractNumId="20">
    <w:nsid w:val="7644A45C"/>
    <w:multiLevelType w:val="hybridMultilevel"/>
    <w:lvl w:ilvl="0">
      <w:lvlJc w:val="left"/>
      <w:lvlText w:val="o"/>
      <w:numFmt w:val="bullet"/>
      <w:start w:val="1"/>
    </w:lvl>
  </w:abstractNum>
  <w:abstractNum w:abstractNumId="21">
    <w:nsid w:val="32FFF902"/>
    <w:multiLevelType w:val="hybridMultilevel"/>
    <w:lvl w:ilvl="0">
      <w:lvlJc w:val="left"/>
      <w:lvlText w:val="o"/>
      <w:numFmt w:val="bullet"/>
      <w:start w:val="1"/>
    </w:lvl>
  </w:abstractNum>
  <w:abstractNum w:abstractNumId="22">
    <w:nsid w:val="684A481A"/>
    <w:multiLevelType w:val="hybridMultilevel"/>
    <w:lvl w:ilvl="0">
      <w:lvlJc w:val="left"/>
      <w:lvlText w:val="o"/>
      <w:numFmt w:val="bullet"/>
      <w:start w:val="1"/>
    </w:lvl>
  </w:abstractNum>
  <w:abstractNum w:abstractNumId="23">
    <w:nsid w:val="579478FE"/>
    <w:multiLevelType w:val="hybridMultilevel"/>
    <w:lvl w:ilvl="0">
      <w:lvlJc w:val="left"/>
      <w:lvlText w:val="o"/>
      <w:numFmt w:val="bullet"/>
      <w:start w:val="1"/>
    </w:lvl>
  </w:abstractNum>
  <w:abstractNum w:abstractNumId="24">
    <w:nsid w:val="749ABB43"/>
    <w:multiLevelType w:val="hybridMultilevel"/>
    <w:lvl w:ilvl="0">
      <w:lvlJc w:val="left"/>
      <w:lvlText w:val="o"/>
      <w:numFmt w:val="bullet"/>
      <w:start w:val="1"/>
    </w:lvl>
    <w:lvl w:ilvl="1">
      <w:lvlJc w:val="left"/>
      <w:lvlText w:val="(%2)"/>
      <w:numFmt w:val="lowerRoman"/>
      <w:start w:val="1"/>
    </w:lvl>
  </w:abstractNum>
  <w:abstractNum w:abstractNumId="25">
    <w:nsid w:val="3DC240FB"/>
    <w:multiLevelType w:val="hybridMultilevel"/>
    <w:lvl w:ilvl="0">
      <w:lvlJc w:val="left"/>
      <w:lvlText w:val="o"/>
      <w:numFmt w:val="bullet"/>
      <w:start w:val="1"/>
    </w:lvl>
  </w:abstractNum>
  <w:abstractNum w:abstractNumId="26">
    <w:nsid w:val="1BA026FA"/>
    <w:multiLevelType w:val="hybridMultilevel"/>
    <w:lvl w:ilvl="0">
      <w:lvlJc w:val="left"/>
      <w:lvlText w:val="o"/>
      <w:numFmt w:val="bullet"/>
      <w:start w:val="1"/>
    </w:lvl>
  </w:abstractNum>
  <w:abstractNum w:abstractNumId="27">
    <w:nsid w:val="79A1DEAA"/>
    <w:multiLevelType w:val="hybridMultilevel"/>
    <w:lvl w:ilvl="0">
      <w:lvlJc w:val="left"/>
      <w:lvlText w:val="o"/>
      <w:numFmt w:val="bullet"/>
      <w:start w:val="1"/>
    </w:lvl>
  </w:abstractNum>
  <w:abstractNum w:abstractNumId="28">
    <w:nsid w:val="75C6C33A"/>
    <w:multiLevelType w:val="hybridMultilevel"/>
    <w:lvl w:ilvl="0">
      <w:lvlJc w:val="left"/>
      <w:lvlText w:val="o"/>
      <w:numFmt w:val="bullet"/>
      <w:start w:val="1"/>
    </w:lvl>
  </w:abstractNum>
  <w:abstractNum w:abstractNumId="29">
    <w:nsid w:val="12E685FB"/>
    <w:multiLevelType w:val="hybridMultilevel"/>
    <w:lvl w:ilvl="0">
      <w:lvlJc w:val="left"/>
      <w:lvlText w:val="o"/>
      <w:numFmt w:val="bullet"/>
      <w:start w:val="1"/>
    </w:lvl>
  </w:abstractNum>
  <w:abstractNum w:abstractNumId="30">
    <w:nsid w:val="70C6A529"/>
    <w:multiLevelType w:val="hybridMultilevel"/>
    <w:lvl w:ilvl="0">
      <w:lvlJc w:val="left"/>
      <w:lvlText w:val="o"/>
      <w:numFmt w:val="bullet"/>
      <w:start w:val="1"/>
    </w:lvl>
  </w:abstractNum>
  <w:abstractNum w:abstractNumId="31">
    <w:nsid w:val="520EEDD1"/>
    <w:multiLevelType w:val="hybridMultilevel"/>
    <w:lvl w:ilvl="0">
      <w:lvlJc w:val="left"/>
      <w:lvlText w:val="o"/>
      <w:numFmt w:val="bullet"/>
      <w:start w:val="1"/>
    </w:lvl>
  </w:abstractNum>
  <w:abstractNum w:abstractNumId="32">
    <w:nsid w:val="374A3FE6"/>
    <w:multiLevelType w:val="hybridMultilevel"/>
    <w:lvl w:ilvl="0">
      <w:lvlJc w:val="left"/>
      <w:lvlText w:val="o"/>
      <w:numFmt w:val="bullet"/>
      <w:start w:val="1"/>
    </w:lvl>
  </w:abstractNum>
  <w:abstractNum w:abstractNumId="33">
    <w:nsid w:val="4F4EF005"/>
    <w:multiLevelType w:val="hybridMultilevel"/>
    <w:lvl w:ilvl="0">
      <w:lvlJc w:val="left"/>
      <w:lvlText w:val="o"/>
      <w:numFmt w:val="bullet"/>
      <w:start w:val="1"/>
    </w:lvl>
  </w:abstractNum>
  <w:abstractNum w:abstractNumId="34">
    <w:nsid w:val="23F9C13C"/>
    <w:multiLevelType w:val="hybridMultilevel"/>
    <w:lvl w:ilvl="0">
      <w:lvlJc w:val="left"/>
      <w:lvlText w:val="o"/>
      <w:numFmt w:val="bullet"/>
      <w:start w:val="1"/>
    </w:lvl>
  </w:abstractNum>
  <w:abstractNum w:abstractNumId="35">
    <w:nsid w:val="649BB77C"/>
    <w:multiLevelType w:val="hybridMultilevel"/>
    <w:lvl w:ilvl="0">
      <w:lvlJc w:val="left"/>
      <w:lvlText w:val="o"/>
      <w:numFmt w:val="bullet"/>
      <w:start w:val="1"/>
    </w:lvl>
  </w:abstractNum>
  <w:abstractNum w:abstractNumId="36">
    <w:nsid w:val="275AC794"/>
    <w:multiLevelType w:val="hybridMultilevel"/>
    <w:lvl w:ilvl="0">
      <w:lvlJc w:val="left"/>
      <w:lvlText w:val="o"/>
      <w:numFmt w:val="bullet"/>
      <w:start w:val="1"/>
    </w:lvl>
  </w:abstractNum>
  <w:abstractNum w:abstractNumId="37">
    <w:nsid w:val="39386575"/>
    <w:multiLevelType w:val="hybridMultilevel"/>
    <w:lvl w:ilvl="0">
      <w:lvlJc w:val="left"/>
      <w:lvlText w:val="o"/>
      <w:numFmt w:val="bullet"/>
      <w:start w:val="1"/>
    </w:lvl>
  </w:abstractNum>
  <w:abstractNum w:abstractNumId="38">
    <w:nsid w:val="1CF10FD8"/>
    <w:multiLevelType w:val="hybridMultilevel"/>
    <w:lvl w:ilvl="0">
      <w:lvlJc w:val="left"/>
      <w:lvlText w:val="o"/>
      <w:numFmt w:val="bullet"/>
      <w:start w:val="1"/>
    </w:lvl>
  </w:abstractNum>
  <w:abstractNum w:abstractNumId="39">
    <w:nsid w:val="180115BE"/>
    <w:multiLevelType w:val="hybridMultilevel"/>
    <w:lvl w:ilvl="0">
      <w:lvlJc w:val="left"/>
      <w:lvlText w:val="o"/>
      <w:numFmt w:val="bullet"/>
      <w:start w:val="1"/>
    </w:lvl>
  </w:abstractNum>
  <w:abstractNum w:abstractNumId="40">
    <w:nsid w:val="235BA861"/>
    <w:multiLevelType w:val="hybridMultilevel"/>
    <w:lvl w:ilvl="0">
      <w:lvlJc w:val="left"/>
      <w:lvlText w:val="o"/>
      <w:numFmt w:val="bullet"/>
      <w:start w:val="1"/>
    </w:lvl>
  </w:abstractNum>
  <w:abstractNum w:abstractNumId="41">
    <w:nsid w:val="47398C89"/>
    <w:multiLevelType w:val="hybridMultilevel"/>
    <w:lvl w:ilvl="0">
      <w:lvlJc w:val="left"/>
      <w:lvlText w:val="o"/>
      <w:numFmt w:val="bullet"/>
      <w:start w:val="1"/>
    </w:lvl>
  </w:abstractNum>
  <w:abstractNum w:abstractNumId="42">
    <w:nsid w:val="354FE9F9"/>
    <w:multiLevelType w:val="hybridMultilevel"/>
    <w:lvl w:ilvl="0">
      <w:lvlJc w:val="left"/>
      <w:lvlText w:val="o"/>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6"/>
    </w:lvl>
  </w:abstractNum>
  <w:abstractNum w:abstractNumId="45">
    <w:nsid w:val="D34B6A8"/>
    <w:multiLevelType w:val="hybridMultilevel"/>
    <w:lvl w:ilvl="0">
      <w:lvlJc w:val="left"/>
      <w:lvlText w:val="(%1)"/>
      <w:numFmt w:val="decimal"/>
      <w:start w:val="13"/>
    </w:lvl>
  </w:abstractNum>
  <w:abstractNum w:abstractNumId="46">
    <w:nsid w:val="10233C99"/>
    <w:multiLevelType w:val="hybridMultilevel"/>
    <w:lvl w:ilvl="0">
      <w:lvlJc w:val="left"/>
      <w:lvlText w:val="(%1)"/>
      <w:numFmt w:val="decimal"/>
      <w:start w:val="20"/>
    </w:lvl>
  </w:abstractNum>
  <w:abstractNum w:abstractNumId="47">
    <w:nsid w:val="3F6AB60F"/>
    <w:multiLevelType w:val="hybridMultilevel"/>
    <w:lvl w:ilvl="0">
      <w:lvlJc w:val="left"/>
      <w:lvlText w:val="(%1)"/>
      <w:numFmt w:val="decimal"/>
      <w:start w:val="25"/>
    </w:lvl>
  </w:abstractNum>
  <w:abstractNum w:abstractNumId="48">
    <w:nsid w:val="61574095"/>
    <w:multiLevelType w:val="hybridMultilevel"/>
    <w:lvl w:ilvl="0">
      <w:lvlJc w:val="left"/>
      <w:lvlText w:val="(%1)"/>
      <w:numFmt w:val="decimal"/>
      <w:start w:val="31"/>
    </w:lvl>
  </w:abstractNum>
  <w:abstractNum w:abstractNumId="49">
    <w:nsid w:val="7E0C57B1"/>
    <w:multiLevelType w:val="hybridMultilevel"/>
    <w:lvl w:ilvl="0">
      <w:lvlJc w:val="left"/>
      <w:lvlText w:val="(%1)"/>
      <w:numFmt w:val="decimal"/>
      <w:start w:val="38"/>
    </w:lvl>
  </w:abstractNum>
  <w:abstractNum w:abstractNumId="50">
    <w:nsid w:val="77AE35EB"/>
    <w:multiLevelType w:val="hybridMultilevel"/>
    <w:lvl w:ilvl="0">
      <w:lvlJc w:val="left"/>
      <w:lvlText w:val="(%1)"/>
      <w:numFmt w:val="decimal"/>
      <w:start w:val="46"/>
    </w:lvl>
  </w:abstractNum>
  <w:abstractNum w:abstractNumId="51">
    <w:nsid w:val="579BE4F1"/>
    <w:multiLevelType w:val="hybridMultilevel"/>
    <w:lvl w:ilvl="0">
      <w:lvlJc w:val="left"/>
      <w:lvlText w:val="(%1)"/>
      <w:numFmt w:val="decimal"/>
      <w:start w:val="53"/>
    </w:lvl>
  </w:abstractNum>
  <w:abstractNum w:abstractNumId="52">
    <w:nsid w:val="310C50B3"/>
    <w:multiLevelType w:val="hybridMultilevel"/>
    <w:lvl w:ilvl="0">
      <w:lvlJc w:val="left"/>
      <w:lvlText w:val="(%1)"/>
      <w:numFmt w:val="decimal"/>
      <w:start w:val="60"/>
    </w:lvl>
  </w:abstractNum>
  <w:abstractNum w:abstractNumId="53">
    <w:nsid w:val="5FF87E05"/>
    <w:multiLevelType w:val="hybridMultilevel"/>
    <w:lvl w:ilvl="0">
      <w:lvlJc w:val="left"/>
      <w:lvlText w:val="(%1)"/>
      <w:numFmt w:val="decimal"/>
      <w:start w:val="67"/>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o"/>
      <w:numFmt w:val="bullet"/>
      <w:start w:val="1"/>
    </w:lvl>
  </w:abstractNum>
  <w:abstractNum w:abstractNumId="60">
    <w:nsid w:val="5DB70AE5"/>
    <w:multiLevelType w:val="hybridMultilevel"/>
    <w:lvl w:ilvl="0">
      <w:lvlJc w:val="left"/>
      <w:lvlText w:val="o"/>
      <w:numFmt w:val="bullet"/>
      <w:start w:val="1"/>
    </w:lvl>
  </w:abstractNum>
  <w:abstractNum w:abstractNumId="61">
    <w:nsid w:val="100F8FCA"/>
    <w:multiLevelType w:val="hybridMultilevel"/>
    <w:lvl w:ilvl="0">
      <w:lvlJc w:val="left"/>
      <w:lvlText w:val="o"/>
      <w:numFmt w:val="bullet"/>
      <w:start w:val="1"/>
    </w:lvl>
  </w:abstractNum>
  <w:abstractNum w:abstractNumId="62">
    <w:nsid w:val="6590700B"/>
    <w:multiLevelType w:val="hybridMultilevel"/>
    <w:lvl w:ilvl="0">
      <w:lvlJc w:val="left"/>
      <w:lvlText w:val="o"/>
      <w:numFmt w:val="bullet"/>
      <w:start w:val="1"/>
    </w:lvl>
  </w:abstractNum>
  <w:abstractNum w:abstractNumId="63">
    <w:nsid w:val="15014AC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lowerLetter"/>
      <w:start w:val="1"/>
    </w:lvl>
    <w:lvl w:ilvl="1">
      <w:lvlJc w:val="left"/>
      <w:lvlText w:val="(%2)"/>
      <w:numFmt w:val="decimal"/>
      <w:start w:val="3"/>
    </w:lvl>
  </w:abstractNum>
  <w:abstractNum w:abstractNumId="66">
    <w:nsid w:val="799D0247"/>
    <w:multiLevelType w:val="hybridMultilevel"/>
    <w:lvl w:ilvl="0">
      <w:lvlJc w:val="left"/>
      <w:lvlText w:val="(%1)"/>
      <w:numFmt w:val="lowerLetter"/>
      <w:start w:val="2"/>
    </w:lvl>
    <w:lvl w:ilvl="1">
      <w:lvlJc w:val="left"/>
      <w:lvlText w:val="%2"/>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2019-12-12T11:05:43Z</dcterms:created>
  <dcterms:modified xsi:type="dcterms:W3CDTF">2019-12-12T11:05:43Z</dcterms:modified>
</cp:coreProperties>
</file>