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KANTER HARVEY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4"/>
          </w:tcPr>
          <w:p>
            <w:pPr>
              <w:ind w:left="60"/>
              <w:spacing w:after="0" w:line="20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88"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line="141"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04/01/2021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52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04/01/2021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Arial" w:cs="Arial" w:eastAsia="Arial" w:hAnsi="Arial"/>
                <w:sz w:val="17"/>
                <w:szCs w:val="17"/>
                <w:color w:val="0000FF"/>
                <w:w w:val="87"/>
              </w:rPr>
              <w:t>105,669</w:t>
            </w:r>
          </w:p>
        </w:tc>
        <w:tc>
          <w:tcPr>
            <w:tcW w:w="54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ind w:left="32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ind w:left="460"/>
              <w:spacing w:after="0"/>
              <w:rPr>
                <w:sz w:val="20"/>
                <w:szCs w:val="20"/>
                <w:color w:val="auto"/>
              </w:rPr>
            </w:pPr>
            <w:r>
              <w:rPr>
                <w:rFonts w:ascii="Arial" w:cs="Arial" w:eastAsia="Arial" w:hAnsi="Arial"/>
                <w:sz w:val="17"/>
                <w:szCs w:val="17"/>
                <w:color w:val="0000FF"/>
              </w:rPr>
              <w:t>289,338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45,669</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04/01/2021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45,669</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6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25" w:lineRule="exact"/>
              <w:rPr>
                <w:sz w:val="20"/>
                <w:szCs w:val="20"/>
                <w:color w:val="auto"/>
              </w:rPr>
            </w:pPr>
            <w:r>
              <w:rPr>
                <w:rFonts w:ascii="Arial" w:cs="Arial" w:eastAsia="Arial" w:hAnsi="Arial"/>
                <w:sz w:val="13"/>
                <w:szCs w:val="13"/>
                <w:color w:val="0000FF"/>
              </w:rPr>
              <w:t>91,337</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60,000</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04/01/2021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60,000</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60" w:type="dxa"/>
            <w:vAlign w:val="bottom"/>
            <w:gridSpan w:val="2"/>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02"/>
              <w:spacing w:after="0" w:line="125" w:lineRule="exact"/>
              <w:rPr>
                <w:sz w:val="20"/>
                <w:szCs w:val="20"/>
                <w:color w:val="auto"/>
              </w:rPr>
            </w:pPr>
            <w:r>
              <w:rPr>
                <w:rFonts w:ascii="Arial" w:cs="Arial" w:eastAsia="Arial" w:hAnsi="Arial"/>
                <w:sz w:val="13"/>
                <w:szCs w:val="13"/>
                <w:color w:val="0000FF"/>
              </w:rPr>
              <w:t>120,000</w:t>
            </w: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("RSU") convert into common stock on a one-for-one basis.</w:t>
      </w:r>
    </w:p>
    <w:p>
      <w:pPr>
        <w:spacing w:after="0" w:line="44"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RSUs for time-based compensation granted to the Reporting Person on August 7, 2019 under the 2019-2021 Long-Term Incentive Plan. The remaining RSUs vest in two equal installments on April 1, 2022 and April 1, 2023.</w:t>
      </w:r>
    </w:p>
    <w:p>
      <w:pPr>
        <w:spacing w:after="0" w:line="25" w:lineRule="exact"/>
        <w:rPr>
          <w:rFonts w:ascii="Arial" w:cs="Arial" w:eastAsia="Arial" w:hAnsi="Arial"/>
          <w:sz w:val="13"/>
          <w:szCs w:val="13"/>
          <w:color w:val="008000"/>
        </w:rPr>
      </w:pPr>
    </w:p>
    <w:p>
      <w:pPr>
        <w:ind w:left="40" w:right="2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RSUs for time-based compensation granted to the Reporting Person on February 19, 2019 under the terms of the Employment Agreement dated February 19, 2019. The remaining 120,000 RSUs vest in two equal installments on April 1, 2022 and April 1, 2023.</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Harvey S. Kanter</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04/01/2021</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2021-04-01T15:50:52Z</dcterms:created>
  <dcterms:modified xsi:type="dcterms:W3CDTF">2021-04-01T15:50:52Z</dcterms:modified>
</cp:coreProperties>
</file>