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Chane Francis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4"/>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42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40" w:type="dxa"/>
            <w:vAlign w:val="bottom"/>
          </w:tcPr>
          <w:p>
            <w:pPr>
              <w:spacing w:after="0"/>
              <w:rPr>
                <w:sz w:val="16"/>
                <w:szCs w:val="16"/>
                <w:color w:val="auto"/>
              </w:rPr>
            </w:pPr>
          </w:p>
        </w:tc>
        <w:tc>
          <w:tcPr>
            <w:tcW w:w="2860" w:type="dxa"/>
            <w:vAlign w:val="bottom"/>
            <w:gridSpan w:val="2"/>
          </w:tcPr>
          <w:p>
            <w:pPr>
              <w:ind w:left="40"/>
              <w:spacing w:after="0" w:line="192" w:lineRule="exact"/>
              <w:rPr>
                <w:sz w:val="20"/>
                <w:szCs w:val="20"/>
                <w:color w:val="auto"/>
              </w:rPr>
            </w:pPr>
            <w:r>
              <w:rPr>
                <w:rFonts w:ascii="Arial" w:cs="Arial" w:eastAsia="Arial" w:hAnsi="Arial"/>
                <w:sz w:val="17"/>
                <w:szCs w:val="17"/>
                <w:color w:val="0000FF"/>
              </w:rPr>
              <w:t>SVPSupply Chain,CustomerFulfil</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11/01/2021</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$0.01 par value</w:t>
            </w:r>
          </w:p>
        </w:tc>
        <w:tc>
          <w:tcPr>
            <w:tcW w:w="14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11/01/2021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149"/>
              <w:spacing w:after="0"/>
              <w:rPr>
                <w:sz w:val="20"/>
                <w:szCs w:val="20"/>
                <w:color w:val="auto"/>
              </w:rPr>
            </w:pPr>
            <w:r>
              <w:rPr>
                <w:rFonts w:ascii="Arial" w:cs="Arial" w:eastAsia="Arial" w:hAnsi="Arial"/>
                <w:sz w:val="17"/>
                <w:szCs w:val="17"/>
                <w:color w:val="0000FF"/>
              </w:rPr>
              <w:t>610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7.5082</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191,163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$0.01 par value</w:t>
            </w:r>
          </w:p>
        </w:tc>
        <w:tc>
          <w:tcPr>
            <w:tcW w:w="14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11/02/2021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12,168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7.7777</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178,995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$7.50 to $7.52, inclusive. The Reporting Person undertakes to provide to the Issuer, any security holder of the Issuer, of the staff of the Securities and Exchange Commission, upon request, full information regarding the number of shares sold at each separate price within the range set forth in Footnote (2) to this Form 4.</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$7.60 to $7.95, inclusive. The Reporting Person undertakes to provide to the Issuer, any security holder of the Issuer, of the staff of the Securities and Exchange Commission, upon request, full information regarding the number of shares sold at each separate price within the range set forth in Footnote (3)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Francis C. Chane</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11/03/2021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2021-11-03T16:29:26Z</dcterms:created>
  <dcterms:modified xsi:type="dcterms:W3CDTF">2021-11-03T16:29:26Z</dcterms:modified>
</cp:coreProperties>
</file>