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1202690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August 13, 2015, Destination XL Group, Inc. (the “Company”) held its Annual Meeting of Stockholders (the “Annual Meeting”). The Company had 50,747,684 shares of common stock outstanding on June 25, 2015, the record date for the Annual Meeting. At the Annual Meeting, holders of 48,711,085 shares of the Company’s common stock were present in person or represented by proxy. Set forth below are the matters submitted at the Annual Meeting by the Board of Directors to a vote of stockholders and the final results of the voting for each proposal.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1: Election of Directors.</w:t>
      </w:r>
    </w:p>
    <w:p>
      <w:pPr>
        <w:spacing w:after="0" w:line="8" w:lineRule="exact"/>
        <w:rPr>
          <w:sz w:val="20"/>
          <w:szCs w:val="20"/>
          <w:color w:val="auto"/>
        </w:rPr>
      </w:pPr>
    </w:p>
    <w:p>
      <w:pPr>
        <w:ind w:right="480"/>
        <w:spacing w:after="0" w:line="237" w:lineRule="auto"/>
        <w:rPr>
          <w:sz w:val="20"/>
          <w:szCs w:val="20"/>
          <w:color w:val="auto"/>
        </w:rPr>
      </w:pPr>
      <w:r>
        <w:rPr>
          <w:rFonts w:ascii="Arial" w:cs="Arial" w:eastAsia="Arial" w:hAnsi="Arial"/>
          <w:sz w:val="22"/>
          <w:szCs w:val="22"/>
          <w:color w:val="auto"/>
        </w:rPr>
        <w:t>The Company’s stockholders elected ten directors to hold office until the 2016 Annual Meeting of Stockholders and until their respective successors are duly elected and qualified. The results of the voting were as follows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Votes FOR</w:t>
            </w:r>
          </w:p>
        </w:tc>
        <w:tc>
          <w:tcPr>
            <w:tcW w:w="1700" w:type="dxa"/>
            <w:vAlign w:val="bottom"/>
          </w:tcPr>
          <w:p>
            <w:pPr>
              <w:ind w:left="340"/>
              <w:spacing w:after="0"/>
              <w:rPr>
                <w:sz w:val="20"/>
                <w:szCs w:val="20"/>
                <w:color w:val="auto"/>
              </w:rPr>
            </w:pPr>
            <w:r>
              <w:rPr>
                <w:rFonts w:ascii="Arial" w:cs="Arial" w:eastAsia="Arial" w:hAnsi="Arial"/>
                <w:sz w:val="18"/>
                <w:szCs w:val="18"/>
                <w:color w:val="auto"/>
              </w:rPr>
              <w:t>Votes AGAINST</w:t>
            </w:r>
          </w:p>
        </w:tc>
        <w:tc>
          <w:tcPr>
            <w:tcW w:w="1460" w:type="dxa"/>
            <w:vAlign w:val="bottom"/>
          </w:tcPr>
          <w:p>
            <w:pPr>
              <w:ind w:left="120"/>
              <w:spacing w:after="0"/>
              <w:rPr>
                <w:sz w:val="20"/>
                <w:szCs w:val="20"/>
                <w:color w:val="auto"/>
              </w:rPr>
            </w:pPr>
            <w:r>
              <w:rPr>
                <w:rFonts w:ascii="Arial" w:cs="Arial" w:eastAsia="Arial" w:hAnsi="Arial"/>
                <w:sz w:val="18"/>
                <w:szCs w:val="18"/>
                <w:color w:val="auto"/>
              </w:rPr>
              <w:t>Votes ABSTAIN</w:t>
            </w:r>
          </w:p>
        </w:tc>
        <w:tc>
          <w:tcPr>
            <w:tcW w:w="1460" w:type="dxa"/>
            <w:vAlign w:val="bottom"/>
          </w:tcPr>
          <w:p>
            <w:pPr>
              <w:ind w:left="140"/>
              <w:spacing w:after="0"/>
              <w:rPr>
                <w:sz w:val="20"/>
                <w:szCs w:val="20"/>
                <w:color w:val="auto"/>
              </w:rPr>
            </w:pPr>
            <w:r>
              <w:rPr>
                <w:rFonts w:ascii="Arial" w:cs="Arial" w:eastAsia="Arial" w:hAnsi="Arial"/>
                <w:sz w:val="18"/>
                <w:szCs w:val="18"/>
                <w:color w:val="auto"/>
                <w:w w:val="90"/>
              </w:rPr>
              <w:t>Broker Non-Votes</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4"/>
              </w:rPr>
              <w:t>Seymour Holtzman</w:t>
            </w:r>
          </w:p>
        </w:tc>
        <w:tc>
          <w:tcPr>
            <w:tcW w:w="1200" w:type="dxa"/>
            <w:vAlign w:val="bottom"/>
          </w:tcPr>
          <w:p>
            <w:pPr>
              <w:ind w:left="40"/>
              <w:spacing w:after="0"/>
              <w:rPr>
                <w:sz w:val="20"/>
                <w:szCs w:val="20"/>
                <w:color w:val="auto"/>
              </w:rPr>
            </w:pPr>
            <w:r>
              <w:rPr>
                <w:rFonts w:ascii="Arial" w:cs="Arial" w:eastAsia="Arial" w:hAnsi="Arial"/>
                <w:sz w:val="18"/>
                <w:szCs w:val="18"/>
                <w:color w:val="auto"/>
              </w:rPr>
              <w:t>35,910,420</w:t>
            </w:r>
          </w:p>
        </w:tc>
        <w:tc>
          <w:tcPr>
            <w:tcW w:w="1700" w:type="dxa"/>
            <w:vAlign w:val="bottom"/>
          </w:tcPr>
          <w:p>
            <w:pPr>
              <w:ind w:left="340"/>
              <w:spacing w:after="0"/>
              <w:rPr>
                <w:sz w:val="20"/>
                <w:szCs w:val="20"/>
                <w:color w:val="auto"/>
              </w:rPr>
            </w:pPr>
            <w:r>
              <w:rPr>
                <w:rFonts w:ascii="Arial" w:cs="Arial" w:eastAsia="Arial" w:hAnsi="Arial"/>
                <w:sz w:val="18"/>
                <w:szCs w:val="18"/>
                <w:color w:val="auto"/>
              </w:rPr>
              <w:t>5,996,177</w:t>
            </w:r>
          </w:p>
        </w:tc>
        <w:tc>
          <w:tcPr>
            <w:tcW w:w="1460" w:type="dxa"/>
            <w:vAlign w:val="bottom"/>
          </w:tcPr>
          <w:p>
            <w:pPr>
              <w:ind w:left="120"/>
              <w:spacing w:after="0"/>
              <w:rPr>
                <w:sz w:val="20"/>
                <w:szCs w:val="20"/>
                <w:color w:val="auto"/>
              </w:rPr>
            </w:pPr>
            <w:r>
              <w:rPr>
                <w:rFonts w:ascii="Arial" w:cs="Arial" w:eastAsia="Arial" w:hAnsi="Arial"/>
                <w:sz w:val="18"/>
                <w:szCs w:val="18"/>
                <w:color w:val="auto"/>
              </w:rPr>
              <w:t>2,480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David A. Levin</w:t>
            </w:r>
          </w:p>
        </w:tc>
        <w:tc>
          <w:tcPr>
            <w:tcW w:w="1200" w:type="dxa"/>
            <w:vAlign w:val="bottom"/>
          </w:tcPr>
          <w:p>
            <w:pPr>
              <w:ind w:left="40"/>
              <w:spacing w:after="0"/>
              <w:rPr>
                <w:sz w:val="20"/>
                <w:szCs w:val="20"/>
                <w:color w:val="auto"/>
              </w:rPr>
            </w:pPr>
            <w:r>
              <w:rPr>
                <w:rFonts w:ascii="Arial" w:cs="Arial" w:eastAsia="Arial" w:hAnsi="Arial"/>
                <w:sz w:val="18"/>
                <w:szCs w:val="18"/>
                <w:color w:val="auto"/>
              </w:rPr>
              <w:t>41,292,888</w:t>
            </w:r>
          </w:p>
        </w:tc>
        <w:tc>
          <w:tcPr>
            <w:tcW w:w="1700" w:type="dxa"/>
            <w:vAlign w:val="bottom"/>
          </w:tcPr>
          <w:p>
            <w:pPr>
              <w:ind w:left="340"/>
              <w:spacing w:after="0"/>
              <w:rPr>
                <w:sz w:val="20"/>
                <w:szCs w:val="20"/>
                <w:color w:val="auto"/>
              </w:rPr>
            </w:pPr>
            <w:r>
              <w:rPr>
                <w:rFonts w:ascii="Arial" w:cs="Arial" w:eastAsia="Arial" w:hAnsi="Arial"/>
                <w:sz w:val="18"/>
                <w:szCs w:val="18"/>
                <w:color w:val="auto"/>
              </w:rPr>
              <w:t>614,709</w:t>
            </w:r>
          </w:p>
        </w:tc>
        <w:tc>
          <w:tcPr>
            <w:tcW w:w="1460" w:type="dxa"/>
            <w:vAlign w:val="bottom"/>
          </w:tcPr>
          <w:p>
            <w:pPr>
              <w:ind w:left="120"/>
              <w:spacing w:after="0"/>
              <w:rPr>
                <w:sz w:val="20"/>
                <w:szCs w:val="20"/>
                <w:color w:val="auto"/>
              </w:rPr>
            </w:pPr>
            <w:r>
              <w:rPr>
                <w:rFonts w:ascii="Arial" w:cs="Arial" w:eastAsia="Arial" w:hAnsi="Arial"/>
                <w:sz w:val="18"/>
                <w:szCs w:val="18"/>
                <w:color w:val="auto"/>
              </w:rPr>
              <w:t>1,480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Alan S. Bernikow</w:t>
            </w:r>
          </w:p>
        </w:tc>
        <w:tc>
          <w:tcPr>
            <w:tcW w:w="1200" w:type="dxa"/>
            <w:vAlign w:val="bottom"/>
          </w:tcPr>
          <w:p>
            <w:pPr>
              <w:ind w:left="40"/>
              <w:spacing w:after="0"/>
              <w:rPr>
                <w:sz w:val="20"/>
                <w:szCs w:val="20"/>
                <w:color w:val="auto"/>
              </w:rPr>
            </w:pPr>
            <w:r>
              <w:rPr>
                <w:rFonts w:ascii="Arial" w:cs="Arial" w:eastAsia="Arial" w:hAnsi="Arial"/>
                <w:sz w:val="18"/>
                <w:szCs w:val="18"/>
                <w:color w:val="auto"/>
              </w:rPr>
              <w:t>41,090,517</w:t>
            </w:r>
          </w:p>
        </w:tc>
        <w:tc>
          <w:tcPr>
            <w:tcW w:w="1700" w:type="dxa"/>
            <w:vAlign w:val="bottom"/>
          </w:tcPr>
          <w:p>
            <w:pPr>
              <w:ind w:left="340"/>
              <w:spacing w:after="0"/>
              <w:rPr>
                <w:sz w:val="20"/>
                <w:szCs w:val="20"/>
                <w:color w:val="auto"/>
              </w:rPr>
            </w:pPr>
            <w:r>
              <w:rPr>
                <w:rFonts w:ascii="Arial" w:cs="Arial" w:eastAsia="Arial" w:hAnsi="Arial"/>
                <w:sz w:val="18"/>
                <w:szCs w:val="18"/>
                <w:color w:val="auto"/>
              </w:rPr>
              <w:t>748,690</w:t>
            </w:r>
          </w:p>
        </w:tc>
        <w:tc>
          <w:tcPr>
            <w:tcW w:w="1460" w:type="dxa"/>
            <w:vAlign w:val="bottom"/>
          </w:tcPr>
          <w:p>
            <w:pPr>
              <w:ind w:left="120"/>
              <w:spacing w:after="0"/>
              <w:rPr>
                <w:sz w:val="20"/>
                <w:szCs w:val="20"/>
                <w:color w:val="auto"/>
              </w:rPr>
            </w:pPr>
            <w:r>
              <w:rPr>
                <w:rFonts w:ascii="Arial" w:cs="Arial" w:eastAsia="Arial" w:hAnsi="Arial"/>
                <w:sz w:val="18"/>
                <w:szCs w:val="18"/>
                <w:color w:val="auto"/>
              </w:rPr>
              <w:t>69,870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Jesse Choper</w:t>
            </w:r>
          </w:p>
        </w:tc>
        <w:tc>
          <w:tcPr>
            <w:tcW w:w="1200" w:type="dxa"/>
            <w:vAlign w:val="bottom"/>
          </w:tcPr>
          <w:p>
            <w:pPr>
              <w:ind w:left="40"/>
              <w:spacing w:after="0"/>
              <w:rPr>
                <w:sz w:val="20"/>
                <w:szCs w:val="20"/>
                <w:color w:val="auto"/>
              </w:rPr>
            </w:pPr>
            <w:r>
              <w:rPr>
                <w:rFonts w:ascii="Arial" w:cs="Arial" w:eastAsia="Arial" w:hAnsi="Arial"/>
                <w:sz w:val="18"/>
                <w:szCs w:val="18"/>
                <w:color w:val="auto"/>
              </w:rPr>
              <w:t>39,347,521</w:t>
            </w:r>
          </w:p>
        </w:tc>
        <w:tc>
          <w:tcPr>
            <w:tcW w:w="1700" w:type="dxa"/>
            <w:vAlign w:val="bottom"/>
          </w:tcPr>
          <w:p>
            <w:pPr>
              <w:ind w:left="340"/>
              <w:spacing w:after="0"/>
              <w:rPr>
                <w:sz w:val="20"/>
                <w:szCs w:val="20"/>
                <w:color w:val="auto"/>
              </w:rPr>
            </w:pPr>
            <w:r>
              <w:rPr>
                <w:rFonts w:ascii="Arial" w:cs="Arial" w:eastAsia="Arial" w:hAnsi="Arial"/>
                <w:sz w:val="18"/>
                <w:szCs w:val="18"/>
                <w:color w:val="auto"/>
              </w:rPr>
              <w:t>2,494,036</w:t>
            </w:r>
          </w:p>
        </w:tc>
        <w:tc>
          <w:tcPr>
            <w:tcW w:w="1460" w:type="dxa"/>
            <w:vAlign w:val="bottom"/>
          </w:tcPr>
          <w:p>
            <w:pPr>
              <w:ind w:left="120"/>
              <w:spacing w:after="0"/>
              <w:rPr>
                <w:sz w:val="20"/>
                <w:szCs w:val="20"/>
                <w:color w:val="auto"/>
              </w:rPr>
            </w:pPr>
            <w:r>
              <w:rPr>
                <w:rFonts w:ascii="Arial" w:cs="Arial" w:eastAsia="Arial" w:hAnsi="Arial"/>
                <w:sz w:val="18"/>
                <w:szCs w:val="18"/>
                <w:color w:val="auto"/>
              </w:rPr>
              <w:t>67,520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John E. Kyees</w:t>
            </w:r>
          </w:p>
        </w:tc>
        <w:tc>
          <w:tcPr>
            <w:tcW w:w="1200" w:type="dxa"/>
            <w:vAlign w:val="bottom"/>
          </w:tcPr>
          <w:p>
            <w:pPr>
              <w:ind w:left="40"/>
              <w:spacing w:after="0"/>
              <w:rPr>
                <w:sz w:val="20"/>
                <w:szCs w:val="20"/>
                <w:color w:val="auto"/>
              </w:rPr>
            </w:pPr>
            <w:r>
              <w:rPr>
                <w:rFonts w:ascii="Arial" w:cs="Arial" w:eastAsia="Arial" w:hAnsi="Arial"/>
                <w:sz w:val="18"/>
                <w:szCs w:val="18"/>
                <w:color w:val="auto"/>
              </w:rPr>
              <w:t>41,391,334</w:t>
            </w:r>
          </w:p>
        </w:tc>
        <w:tc>
          <w:tcPr>
            <w:tcW w:w="1700" w:type="dxa"/>
            <w:vAlign w:val="bottom"/>
          </w:tcPr>
          <w:p>
            <w:pPr>
              <w:ind w:left="340"/>
              <w:spacing w:after="0"/>
              <w:rPr>
                <w:sz w:val="20"/>
                <w:szCs w:val="20"/>
                <w:color w:val="auto"/>
              </w:rPr>
            </w:pPr>
            <w:r>
              <w:rPr>
                <w:rFonts w:ascii="Arial" w:cs="Arial" w:eastAsia="Arial" w:hAnsi="Arial"/>
                <w:sz w:val="18"/>
                <w:szCs w:val="18"/>
                <w:color w:val="auto"/>
              </w:rPr>
              <w:t>450,173</w:t>
            </w:r>
          </w:p>
        </w:tc>
        <w:tc>
          <w:tcPr>
            <w:tcW w:w="1460" w:type="dxa"/>
            <w:vAlign w:val="bottom"/>
          </w:tcPr>
          <w:p>
            <w:pPr>
              <w:ind w:left="120"/>
              <w:spacing w:after="0"/>
              <w:rPr>
                <w:sz w:val="20"/>
                <w:szCs w:val="20"/>
                <w:color w:val="auto"/>
              </w:rPr>
            </w:pPr>
            <w:r>
              <w:rPr>
                <w:rFonts w:ascii="Arial" w:cs="Arial" w:eastAsia="Arial" w:hAnsi="Arial"/>
                <w:sz w:val="18"/>
                <w:szCs w:val="18"/>
                <w:color w:val="auto"/>
              </w:rPr>
              <w:t>67,570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Willem Mesdag</w:t>
            </w:r>
          </w:p>
        </w:tc>
        <w:tc>
          <w:tcPr>
            <w:tcW w:w="1200" w:type="dxa"/>
            <w:vAlign w:val="bottom"/>
          </w:tcPr>
          <w:p>
            <w:pPr>
              <w:ind w:left="40"/>
              <w:spacing w:after="0"/>
              <w:rPr>
                <w:sz w:val="20"/>
                <w:szCs w:val="20"/>
                <w:color w:val="auto"/>
              </w:rPr>
            </w:pPr>
            <w:r>
              <w:rPr>
                <w:rFonts w:ascii="Arial" w:cs="Arial" w:eastAsia="Arial" w:hAnsi="Arial"/>
                <w:sz w:val="18"/>
                <w:szCs w:val="18"/>
                <w:color w:val="auto"/>
              </w:rPr>
              <w:t>41,412,218</w:t>
            </w:r>
          </w:p>
        </w:tc>
        <w:tc>
          <w:tcPr>
            <w:tcW w:w="1700" w:type="dxa"/>
            <w:vAlign w:val="bottom"/>
          </w:tcPr>
          <w:p>
            <w:pPr>
              <w:ind w:left="340"/>
              <w:spacing w:after="0"/>
              <w:rPr>
                <w:sz w:val="20"/>
                <w:szCs w:val="20"/>
                <w:color w:val="auto"/>
              </w:rPr>
            </w:pPr>
            <w:r>
              <w:rPr>
                <w:rFonts w:ascii="Arial" w:cs="Arial" w:eastAsia="Arial" w:hAnsi="Arial"/>
                <w:sz w:val="18"/>
                <w:szCs w:val="18"/>
                <w:color w:val="auto"/>
              </w:rPr>
              <w:t>429,289</w:t>
            </w:r>
          </w:p>
        </w:tc>
        <w:tc>
          <w:tcPr>
            <w:tcW w:w="1460" w:type="dxa"/>
            <w:vAlign w:val="bottom"/>
          </w:tcPr>
          <w:p>
            <w:pPr>
              <w:ind w:left="120"/>
              <w:spacing w:after="0"/>
              <w:rPr>
                <w:sz w:val="20"/>
                <w:szCs w:val="20"/>
                <w:color w:val="auto"/>
              </w:rPr>
            </w:pPr>
            <w:r>
              <w:rPr>
                <w:rFonts w:ascii="Arial" w:cs="Arial" w:eastAsia="Arial" w:hAnsi="Arial"/>
                <w:sz w:val="18"/>
                <w:szCs w:val="18"/>
                <w:color w:val="auto"/>
              </w:rPr>
              <w:t>67,570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Ward K. Mooney</w:t>
            </w:r>
          </w:p>
        </w:tc>
        <w:tc>
          <w:tcPr>
            <w:tcW w:w="1200" w:type="dxa"/>
            <w:vAlign w:val="bottom"/>
          </w:tcPr>
          <w:p>
            <w:pPr>
              <w:ind w:left="40"/>
              <w:spacing w:after="0"/>
              <w:rPr>
                <w:sz w:val="20"/>
                <w:szCs w:val="20"/>
                <w:color w:val="auto"/>
              </w:rPr>
            </w:pPr>
            <w:r>
              <w:rPr>
                <w:rFonts w:ascii="Arial" w:cs="Arial" w:eastAsia="Arial" w:hAnsi="Arial"/>
                <w:sz w:val="18"/>
                <w:szCs w:val="18"/>
                <w:color w:val="auto"/>
              </w:rPr>
              <w:t>41,348,468</w:t>
            </w:r>
          </w:p>
        </w:tc>
        <w:tc>
          <w:tcPr>
            <w:tcW w:w="1700" w:type="dxa"/>
            <w:vAlign w:val="bottom"/>
          </w:tcPr>
          <w:p>
            <w:pPr>
              <w:ind w:left="340"/>
              <w:spacing w:after="0"/>
              <w:rPr>
                <w:sz w:val="20"/>
                <w:szCs w:val="20"/>
                <w:color w:val="auto"/>
              </w:rPr>
            </w:pPr>
            <w:r>
              <w:rPr>
                <w:rFonts w:ascii="Arial" w:cs="Arial" w:eastAsia="Arial" w:hAnsi="Arial"/>
                <w:sz w:val="18"/>
                <w:szCs w:val="18"/>
                <w:color w:val="auto"/>
              </w:rPr>
              <w:t>492,989</w:t>
            </w:r>
          </w:p>
        </w:tc>
        <w:tc>
          <w:tcPr>
            <w:tcW w:w="1460" w:type="dxa"/>
            <w:vAlign w:val="bottom"/>
          </w:tcPr>
          <w:p>
            <w:pPr>
              <w:ind w:left="120"/>
              <w:spacing w:after="0"/>
              <w:rPr>
                <w:sz w:val="20"/>
                <w:szCs w:val="20"/>
                <w:color w:val="auto"/>
              </w:rPr>
            </w:pPr>
            <w:r>
              <w:rPr>
                <w:rFonts w:ascii="Arial" w:cs="Arial" w:eastAsia="Arial" w:hAnsi="Arial"/>
                <w:sz w:val="18"/>
                <w:szCs w:val="18"/>
                <w:color w:val="auto"/>
              </w:rPr>
              <w:t>67,620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George T. Porter, Jr. 41,214,017</w:t>
            </w:r>
          </w:p>
        </w:tc>
        <w:tc>
          <w:tcPr>
            <w:tcW w:w="1700" w:type="dxa"/>
            <w:vAlign w:val="bottom"/>
          </w:tcPr>
          <w:p>
            <w:pPr>
              <w:ind w:left="340"/>
              <w:spacing w:after="0"/>
              <w:rPr>
                <w:sz w:val="20"/>
                <w:szCs w:val="20"/>
                <w:color w:val="auto"/>
              </w:rPr>
            </w:pPr>
            <w:r>
              <w:rPr>
                <w:rFonts w:ascii="Arial" w:cs="Arial" w:eastAsia="Arial" w:hAnsi="Arial"/>
                <w:sz w:val="18"/>
                <w:szCs w:val="18"/>
                <w:color w:val="auto"/>
              </w:rPr>
              <w:t>582,563</w:t>
            </w:r>
          </w:p>
        </w:tc>
        <w:tc>
          <w:tcPr>
            <w:tcW w:w="1460" w:type="dxa"/>
            <w:vAlign w:val="bottom"/>
          </w:tcPr>
          <w:p>
            <w:pPr>
              <w:ind w:left="120"/>
              <w:spacing w:after="0"/>
              <w:rPr>
                <w:sz w:val="20"/>
                <w:szCs w:val="20"/>
                <w:color w:val="auto"/>
              </w:rPr>
            </w:pPr>
            <w:r>
              <w:rPr>
                <w:rFonts w:ascii="Arial" w:cs="Arial" w:eastAsia="Arial" w:hAnsi="Arial"/>
                <w:sz w:val="18"/>
                <w:szCs w:val="18"/>
                <w:color w:val="auto"/>
              </w:rPr>
              <w:t>112,497</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5"/>
              </w:rPr>
              <w:t>Mitchell S. Presser</w:t>
            </w:r>
          </w:p>
        </w:tc>
        <w:tc>
          <w:tcPr>
            <w:tcW w:w="1200" w:type="dxa"/>
            <w:vAlign w:val="bottom"/>
          </w:tcPr>
          <w:p>
            <w:pPr>
              <w:ind w:left="40"/>
              <w:spacing w:after="0"/>
              <w:rPr>
                <w:sz w:val="20"/>
                <w:szCs w:val="20"/>
                <w:color w:val="auto"/>
              </w:rPr>
            </w:pPr>
            <w:r>
              <w:rPr>
                <w:rFonts w:ascii="Arial" w:cs="Arial" w:eastAsia="Arial" w:hAnsi="Arial"/>
                <w:sz w:val="18"/>
                <w:szCs w:val="18"/>
                <w:color w:val="auto"/>
              </w:rPr>
              <w:t>41,209,716</w:t>
            </w:r>
          </w:p>
        </w:tc>
        <w:tc>
          <w:tcPr>
            <w:tcW w:w="1700" w:type="dxa"/>
            <w:vAlign w:val="bottom"/>
          </w:tcPr>
          <w:p>
            <w:pPr>
              <w:ind w:left="340"/>
              <w:spacing w:after="0"/>
              <w:rPr>
                <w:sz w:val="20"/>
                <w:szCs w:val="20"/>
                <w:color w:val="auto"/>
              </w:rPr>
            </w:pPr>
            <w:r>
              <w:rPr>
                <w:rFonts w:ascii="Arial" w:cs="Arial" w:eastAsia="Arial" w:hAnsi="Arial"/>
                <w:sz w:val="18"/>
                <w:szCs w:val="18"/>
                <w:color w:val="auto"/>
              </w:rPr>
              <w:t>623,489</w:t>
            </w:r>
          </w:p>
        </w:tc>
        <w:tc>
          <w:tcPr>
            <w:tcW w:w="1460" w:type="dxa"/>
            <w:vAlign w:val="bottom"/>
          </w:tcPr>
          <w:p>
            <w:pPr>
              <w:ind w:left="120"/>
              <w:spacing w:after="0"/>
              <w:rPr>
                <w:sz w:val="20"/>
                <w:szCs w:val="20"/>
                <w:color w:val="auto"/>
              </w:rPr>
            </w:pPr>
            <w:r>
              <w:rPr>
                <w:rFonts w:ascii="Arial" w:cs="Arial" w:eastAsia="Arial" w:hAnsi="Arial"/>
                <w:sz w:val="18"/>
                <w:szCs w:val="18"/>
                <w:color w:val="auto"/>
              </w:rPr>
              <w:t>75,872</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Ivy Ross</w:t>
            </w:r>
          </w:p>
        </w:tc>
        <w:tc>
          <w:tcPr>
            <w:tcW w:w="1200" w:type="dxa"/>
            <w:vAlign w:val="bottom"/>
          </w:tcPr>
          <w:p>
            <w:pPr>
              <w:ind w:left="40"/>
              <w:spacing w:after="0"/>
              <w:rPr>
                <w:sz w:val="20"/>
                <w:szCs w:val="20"/>
                <w:color w:val="auto"/>
              </w:rPr>
            </w:pPr>
            <w:r>
              <w:rPr>
                <w:rFonts w:ascii="Arial" w:cs="Arial" w:eastAsia="Arial" w:hAnsi="Arial"/>
                <w:sz w:val="18"/>
                <w:szCs w:val="18"/>
                <w:color w:val="auto"/>
              </w:rPr>
              <w:t>41,410,681</w:t>
            </w:r>
          </w:p>
        </w:tc>
        <w:tc>
          <w:tcPr>
            <w:tcW w:w="1700" w:type="dxa"/>
            <w:vAlign w:val="bottom"/>
          </w:tcPr>
          <w:p>
            <w:pPr>
              <w:ind w:left="340"/>
              <w:spacing w:after="0"/>
              <w:rPr>
                <w:sz w:val="20"/>
                <w:szCs w:val="20"/>
                <w:color w:val="auto"/>
              </w:rPr>
            </w:pPr>
            <w:r>
              <w:rPr>
                <w:rFonts w:ascii="Arial" w:cs="Arial" w:eastAsia="Arial" w:hAnsi="Arial"/>
                <w:sz w:val="18"/>
                <w:szCs w:val="18"/>
                <w:color w:val="auto"/>
              </w:rPr>
              <w:t>429,576</w:t>
            </w:r>
          </w:p>
        </w:tc>
        <w:tc>
          <w:tcPr>
            <w:tcW w:w="1460" w:type="dxa"/>
            <w:vAlign w:val="bottom"/>
          </w:tcPr>
          <w:p>
            <w:pPr>
              <w:ind w:left="120"/>
              <w:spacing w:after="0"/>
              <w:rPr>
                <w:sz w:val="20"/>
                <w:szCs w:val="20"/>
                <w:color w:val="auto"/>
              </w:rPr>
            </w:pPr>
            <w:r>
              <w:rPr>
                <w:rFonts w:ascii="Arial" w:cs="Arial" w:eastAsia="Arial" w:hAnsi="Arial"/>
                <w:sz w:val="18"/>
                <w:szCs w:val="18"/>
                <w:color w:val="auto"/>
              </w:rPr>
              <w:t>68,820</w:t>
            </w:r>
          </w:p>
        </w:tc>
        <w:tc>
          <w:tcPr>
            <w:tcW w:w="1460" w:type="dxa"/>
            <w:vAlign w:val="bottom"/>
          </w:tcPr>
          <w:p>
            <w:pPr>
              <w:ind w:left="140"/>
              <w:spacing w:after="0"/>
              <w:rPr>
                <w:sz w:val="20"/>
                <w:szCs w:val="20"/>
                <w:color w:val="auto"/>
              </w:rPr>
            </w:pPr>
            <w:r>
              <w:rPr>
                <w:rFonts w:ascii="Arial" w:cs="Arial" w:eastAsia="Arial" w:hAnsi="Arial"/>
                <w:sz w:val="18"/>
                <w:szCs w:val="18"/>
                <w:color w:val="auto"/>
              </w:rPr>
              <w:t>6,802,008</w:t>
            </w:r>
          </w:p>
        </w:tc>
      </w:tr>
    </w:tbl>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u w:val="single" w:color="auto"/>
          <w:color w:val="auto"/>
        </w:rPr>
        <w:t>Proposal 2: Reapproval of the Performance Measures Under the 2006 Incentive Compensation Plan for purposes of Section 162(m) of the Internal Revenue Code.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reapproval of the performance measures under the 2006 Incentive Compensation Plan for purposes of Section 162(m)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Internal Revenue Code was approved based upon the following votes:</w:t>
      </w:r>
    </w:p>
    <w:p>
      <w:pPr>
        <w:sectPr>
          <w:pgSz w:w="11900" w:h="16838" w:orient="portrait"/>
          <w:cols w:equalWidth="0" w:num="1">
            <w:col w:w="11420"/>
          </w:cols>
          <w:pgMar w:left="240" w:top="328" w:right="239" w:bottom="1440" w:gutter="0" w:footer="0" w:header="0"/>
        </w:sectPr>
      </w:pPr>
    </w:p>
    <w:p>
      <w:pPr>
        <w:spacing w:after="0" w:line="19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Votes FOR</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34,127,729</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1460" w:val="left"/>
          <w:tab w:leader="none" w:pos="2940" w:val="left"/>
        </w:tabs>
        <w:rPr>
          <w:sz w:val="20"/>
          <w:szCs w:val="20"/>
          <w:color w:val="auto"/>
        </w:rPr>
      </w:pPr>
      <w:r>
        <w:rPr>
          <w:rFonts w:ascii="Arial" w:cs="Arial" w:eastAsia="Arial" w:hAnsi="Arial"/>
          <w:sz w:val="18"/>
          <w:szCs w:val="18"/>
          <w:color w:val="auto"/>
        </w:rPr>
        <w:t>Votes AGAINST</w:t>
        <w:tab/>
        <w:t>Votes ABSTAIN</w:t>
      </w:r>
      <w:r>
        <w:rPr>
          <w:sz w:val="20"/>
          <w:szCs w:val="20"/>
          <w:color w:val="auto"/>
        </w:rPr>
        <w:tab/>
      </w:r>
      <w:r>
        <w:rPr>
          <w:rFonts w:ascii="Arial" w:cs="Arial" w:eastAsia="Arial" w:hAnsi="Arial"/>
          <w:sz w:val="16"/>
          <w:szCs w:val="16"/>
          <w:color w:val="auto"/>
        </w:rPr>
        <w:t>Broker Non-Votes</w:t>
      </w:r>
    </w:p>
    <w:p>
      <w:pPr>
        <w:spacing w:after="0" w:line="23" w:lineRule="exact"/>
        <w:rPr>
          <w:sz w:val="20"/>
          <w:szCs w:val="20"/>
          <w:color w:val="auto"/>
        </w:rPr>
      </w:pPr>
    </w:p>
    <w:p>
      <w:pPr>
        <w:spacing w:after="0"/>
        <w:tabs>
          <w:tab w:leader="none" w:pos="1460" w:val="left"/>
          <w:tab w:leader="none" w:pos="2940" w:val="left"/>
        </w:tabs>
        <w:rPr>
          <w:sz w:val="20"/>
          <w:szCs w:val="20"/>
          <w:color w:val="auto"/>
        </w:rPr>
      </w:pPr>
      <w:r>
        <w:rPr>
          <w:rFonts w:ascii="Arial" w:cs="Arial" w:eastAsia="Arial" w:hAnsi="Arial"/>
          <w:sz w:val="18"/>
          <w:szCs w:val="18"/>
          <w:color w:val="auto"/>
        </w:rPr>
        <w:t>7,659,443</w:t>
      </w:r>
      <w:r>
        <w:rPr>
          <w:sz w:val="20"/>
          <w:szCs w:val="20"/>
          <w:color w:val="auto"/>
        </w:rPr>
        <w:tab/>
      </w:r>
      <w:r>
        <w:rPr>
          <w:rFonts w:ascii="Arial" w:cs="Arial" w:eastAsia="Arial" w:hAnsi="Arial"/>
          <w:sz w:val="18"/>
          <w:szCs w:val="18"/>
          <w:color w:val="auto"/>
        </w:rPr>
        <w:t>121,905</w:t>
      </w:r>
      <w:r>
        <w:rPr>
          <w:sz w:val="20"/>
          <w:szCs w:val="20"/>
          <w:color w:val="auto"/>
        </w:rPr>
        <w:tab/>
      </w:r>
      <w:r>
        <w:rPr>
          <w:rFonts w:ascii="Arial" w:cs="Arial" w:eastAsia="Arial" w:hAnsi="Arial"/>
          <w:sz w:val="16"/>
          <w:szCs w:val="16"/>
          <w:color w:val="auto"/>
        </w:rPr>
        <w:t>6,802,008</w:t>
      </w:r>
    </w:p>
    <w:p>
      <w:pPr>
        <w:spacing w:after="0" w:line="200" w:lineRule="exact"/>
        <w:rPr>
          <w:sz w:val="20"/>
          <w:szCs w:val="20"/>
          <w:color w:val="auto"/>
        </w:rPr>
      </w:pPr>
    </w:p>
    <w:p>
      <w:pPr>
        <w:sectPr>
          <w:pgSz w:w="11900" w:h="16838" w:orient="portrait"/>
          <w:cols w:equalWidth="0" w:num="2">
            <w:col w:w="2320" w:space="680"/>
            <w:col w:w="8420"/>
          </w:cols>
          <w:pgMar w:left="240" w:top="328"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3: Advisory Vote on Compensation of Named Executive Officers.</w:t>
      </w:r>
    </w:p>
    <w:p>
      <w:pPr>
        <w:spacing w:after="0" w:line="206"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The compensation of the Company's named executive officers was approved by a non-binding advisory vote based upon the following votes:</w:t>
      </w:r>
    </w:p>
    <w:p>
      <w:pPr>
        <w:sectPr>
          <w:pgSz w:w="11900" w:h="16838" w:orient="portrait"/>
          <w:cols w:equalWidth="0" w:num="1">
            <w:col w:w="11420"/>
          </w:cols>
          <w:pgMar w:left="240" w:top="328" w:right="239" w:bottom="1440" w:gutter="0" w:footer="0" w:header="0"/>
          <w:type w:val="continuous"/>
        </w:sectPr>
      </w:pP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Votes FOR</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39,340,691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1460" w:val="left"/>
          <w:tab w:leader="none" w:pos="2940" w:val="left"/>
        </w:tabs>
        <w:rPr>
          <w:sz w:val="20"/>
          <w:szCs w:val="20"/>
          <w:color w:val="auto"/>
        </w:rPr>
      </w:pPr>
      <w:r>
        <w:rPr>
          <w:rFonts w:ascii="Arial" w:cs="Arial" w:eastAsia="Arial" w:hAnsi="Arial"/>
          <w:sz w:val="18"/>
          <w:szCs w:val="18"/>
          <w:color w:val="auto"/>
        </w:rPr>
        <w:t>Votes AGAINST</w:t>
        <w:tab/>
        <w:t>Votes ABSTAIN</w:t>
      </w:r>
      <w:r>
        <w:rPr>
          <w:sz w:val="20"/>
          <w:szCs w:val="20"/>
          <w:color w:val="auto"/>
        </w:rPr>
        <w:tab/>
      </w:r>
      <w:r>
        <w:rPr>
          <w:rFonts w:ascii="Arial" w:cs="Arial" w:eastAsia="Arial" w:hAnsi="Arial"/>
          <w:sz w:val="16"/>
          <w:szCs w:val="16"/>
          <w:color w:val="auto"/>
        </w:rPr>
        <w:t>Broker Non-Votes</w:t>
      </w:r>
    </w:p>
    <w:p>
      <w:pPr>
        <w:spacing w:after="0" w:line="23" w:lineRule="exact"/>
        <w:rPr>
          <w:sz w:val="20"/>
          <w:szCs w:val="20"/>
          <w:color w:val="auto"/>
        </w:rPr>
      </w:pPr>
    </w:p>
    <w:p>
      <w:pPr>
        <w:spacing w:after="0"/>
        <w:tabs>
          <w:tab w:leader="none" w:pos="1460" w:val="left"/>
          <w:tab w:leader="none" w:pos="2940" w:val="left"/>
        </w:tabs>
        <w:rPr>
          <w:sz w:val="20"/>
          <w:szCs w:val="20"/>
          <w:color w:val="auto"/>
        </w:rPr>
      </w:pPr>
      <w:r>
        <w:rPr>
          <w:rFonts w:ascii="Arial" w:cs="Arial" w:eastAsia="Arial" w:hAnsi="Arial"/>
          <w:sz w:val="18"/>
          <w:szCs w:val="18"/>
          <w:color w:val="auto"/>
        </w:rPr>
        <w:t>2,414,653</w:t>
      </w:r>
      <w:r>
        <w:rPr>
          <w:sz w:val="20"/>
          <w:szCs w:val="20"/>
          <w:color w:val="auto"/>
        </w:rPr>
        <w:tab/>
      </w:r>
      <w:r>
        <w:rPr>
          <w:rFonts w:ascii="Arial" w:cs="Arial" w:eastAsia="Arial" w:hAnsi="Arial"/>
          <w:sz w:val="18"/>
          <w:szCs w:val="18"/>
          <w:color w:val="auto"/>
        </w:rPr>
        <w:t>153,733</w:t>
      </w:r>
      <w:r>
        <w:rPr>
          <w:sz w:val="20"/>
          <w:szCs w:val="20"/>
          <w:color w:val="auto"/>
        </w:rPr>
        <w:tab/>
      </w:r>
      <w:r>
        <w:rPr>
          <w:rFonts w:ascii="Arial" w:cs="Arial" w:eastAsia="Arial" w:hAnsi="Arial"/>
          <w:sz w:val="16"/>
          <w:szCs w:val="16"/>
          <w:color w:val="auto"/>
        </w:rPr>
        <w:t>6,802,008</w:t>
      </w:r>
    </w:p>
    <w:p>
      <w:pPr>
        <w:spacing w:after="0" w:line="200" w:lineRule="exact"/>
        <w:rPr>
          <w:sz w:val="20"/>
          <w:szCs w:val="20"/>
          <w:color w:val="auto"/>
        </w:rPr>
      </w:pPr>
    </w:p>
    <w:p>
      <w:pPr>
        <w:sectPr>
          <w:pgSz w:w="11900" w:h="16838" w:orient="portrait"/>
          <w:cols w:equalWidth="0" w:num="2">
            <w:col w:w="2320" w:space="680"/>
            <w:col w:w="8420"/>
          </w:cols>
          <w:pgMar w:left="240" w:top="328"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4: Ratification of Appointment of Independent Registered Public Accountants.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appointment of KPMG LLP as the Company’s independent registered public accounting firm for fiscal year ending January 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2016 was ratified based on the following votes:</w:t>
      </w:r>
    </w:p>
    <w:p>
      <w:pPr>
        <w:sectPr>
          <w:pgSz w:w="11900" w:h="16838" w:orient="portrait"/>
          <w:cols w:equalWidth="0" w:num="1">
            <w:col w:w="11420"/>
          </w:cols>
          <w:pgMar w:left="240" w:top="328" w:right="239" w:bottom="1440" w:gutter="0" w:footer="0" w:header="0"/>
          <w:type w:val="continuous"/>
        </w:sectPr>
      </w:pPr>
    </w:p>
    <w:p>
      <w:pPr>
        <w:spacing w:after="0" w:line="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Votes FOR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48,512,756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Votes AGAINSTVotes ABSTAIN</w:t>
      </w:r>
    </w:p>
    <w:p>
      <w:pPr>
        <w:spacing w:after="0" w:line="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95,593</w:t>
      </w:r>
      <w:r>
        <w:rPr>
          <w:sz w:val="20"/>
          <w:szCs w:val="20"/>
          <w:color w:val="auto"/>
        </w:rPr>
        <w:tab/>
      </w:r>
      <w:r>
        <w:rPr>
          <w:rFonts w:ascii="Arial" w:cs="Arial" w:eastAsia="Arial" w:hAnsi="Arial"/>
          <w:sz w:val="18"/>
          <w:szCs w:val="18"/>
          <w:color w:val="auto"/>
        </w:rPr>
        <w:t>102,736</w:t>
      </w:r>
    </w:p>
    <w:p>
      <w:pPr>
        <w:spacing w:after="0" w:line="200" w:lineRule="exact"/>
        <w:rPr>
          <w:sz w:val="20"/>
          <w:szCs w:val="20"/>
          <w:color w:val="auto"/>
        </w:rPr>
      </w:pPr>
    </w:p>
    <w:p>
      <w:pPr>
        <w:sectPr>
          <w:pgSz w:w="11900" w:h="16838" w:orient="portrait"/>
          <w:cols w:equalWidth="0" w:num="2">
            <w:col w:w="2060" w:space="440"/>
            <w:col w:w="8920"/>
          </w:cols>
          <w:pgMar w:left="240" w:top="328" w:right="239" w:bottom="1440" w:gutter="0" w:footer="0" w:header="0"/>
          <w:type w:val="continuous"/>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14, 2015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240" w:top="32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2019-12-06T01:53:38Z</dcterms:created>
  <dcterms:modified xsi:type="dcterms:W3CDTF">2019-12-06T01:53:38Z</dcterms:modified>
</cp:coreProperties>
</file>