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6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94615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75"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109855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11" w:lineRule="exact"/>
        <w:rPr>
          <w:sz w:val="24"/>
          <w:szCs w:val="24"/>
          <w:color w:val="auto"/>
        </w:rPr>
      </w:pPr>
    </w:p>
    <w:p>
      <w:pPr>
        <w:jc w:val="center"/>
        <w:ind w:right="-365"/>
        <w:spacing w:after="0"/>
        <w:rPr>
          <w:sz w:val="20"/>
          <w:szCs w:val="20"/>
          <w:color w:val="auto"/>
        </w:rPr>
      </w:pPr>
      <w:r>
        <w:rPr>
          <w:rFonts w:ascii="Arial" w:cs="Arial" w:eastAsia="Arial" w:hAnsi="Arial"/>
          <w:sz w:val="21"/>
          <w:szCs w:val="21"/>
          <w:b w:val="1"/>
          <w:bCs w:val="1"/>
          <w:color w:val="auto"/>
        </w:rPr>
        <w:t>CURRENT REPORT</w:t>
      </w:r>
    </w:p>
    <w:p>
      <w:pPr>
        <w:spacing w:after="0" w:line="146"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5"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SECURITIES EXCHANGE ACT OF 1934</w:t>
      </w:r>
    </w:p>
    <w:p>
      <w:pPr>
        <w:spacing w:after="0" w:line="112"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Date of Report (Date of earliest event reported): December 18, 2012</w:t>
      </w:r>
    </w:p>
    <w:p>
      <w:pPr>
        <w:spacing w:after="0" w:line="148"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01-34219</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84455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57" w:lineRule="exact"/>
        <w:rPr>
          <w:sz w:val="24"/>
          <w:szCs w:val="24"/>
          <w:color w:val="auto"/>
        </w:rPr>
      </w:pPr>
    </w:p>
    <w:p>
      <w:pPr>
        <w:ind w:left="2386"/>
        <w:spacing w:after="0"/>
        <w:rPr>
          <w:sz w:val="20"/>
          <w:szCs w:val="20"/>
          <w:color w:val="auto"/>
        </w:rPr>
      </w:pPr>
      <w:r>
        <w:rPr>
          <w:rFonts w:ascii="Arial" w:cs="Arial" w:eastAsia="Arial" w:hAnsi="Arial"/>
          <w:sz w:val="38"/>
          <w:szCs w:val="38"/>
          <w:b w:val="1"/>
          <w:bCs w:val="1"/>
          <w:color w:val="auto"/>
        </w:rPr>
        <w:t>CASUAL MALE RETAIL GROUP, INC.</w:t>
      </w:r>
    </w:p>
    <w:p>
      <w:pPr>
        <w:spacing w:after="0" w:line="41" w:lineRule="exact"/>
        <w:rPr>
          <w:sz w:val="24"/>
          <w:szCs w:val="24"/>
          <w:color w:val="auto"/>
        </w:rPr>
      </w:pPr>
    </w:p>
    <w:tbl>
      <w:tblPr>
        <w:tblLayout w:type="fixed"/>
        <w:tblInd w:w="2286" w:type="dxa"/>
        <w:tblCellMar>
          <w:top w:w="0" w:type="dxa"/>
          <w:left w:w="0" w:type="dxa"/>
          <w:bottom w:w="0" w:type="dxa"/>
          <w:right w:w="0" w:type="dxa"/>
        </w:tblCellMar>
      </w:tblPr>
      <w:tr>
        <w:trPr>
          <w:trHeight w:val="198"/>
        </w:trPr>
        <w:tc>
          <w:tcPr>
            <w:tcW w:w="1480" w:type="dxa"/>
            <w:vAlign w:val="bottom"/>
          </w:tcPr>
          <w:p>
            <w:pPr>
              <w:spacing w:after="0"/>
              <w:rPr>
                <w:sz w:val="17"/>
                <w:szCs w:val="17"/>
                <w:color w:val="auto"/>
              </w:rPr>
            </w:pPr>
          </w:p>
        </w:tc>
        <w:tc>
          <w:tcPr>
            <w:tcW w:w="5480" w:type="dxa"/>
            <w:vAlign w:val="bottom"/>
            <w:gridSpan w:val="3"/>
          </w:tcPr>
          <w:p>
            <w:pPr>
              <w:jc w:val="center"/>
              <w:ind w:right="1521"/>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r>
      <w:tr>
        <w:trPr>
          <w:trHeight w:val="138"/>
        </w:trPr>
        <w:tc>
          <w:tcPr>
            <w:tcW w:w="1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r>
      <w:tr>
        <w:trPr>
          <w:trHeight w:val="263"/>
        </w:trPr>
        <w:tc>
          <w:tcPr>
            <w:tcW w:w="1480" w:type="dxa"/>
            <w:vAlign w:val="bottom"/>
          </w:tcPr>
          <w:p>
            <w:pPr>
              <w:jc w:val="center"/>
              <w:ind w:right="212"/>
              <w:spacing w:after="0"/>
              <w:rPr>
                <w:sz w:val="20"/>
                <w:szCs w:val="20"/>
                <w:color w:val="auto"/>
              </w:rPr>
            </w:pPr>
            <w:r>
              <w:rPr>
                <w:rFonts w:ascii="Arial" w:cs="Arial" w:eastAsia="Arial" w:hAnsi="Arial"/>
                <w:sz w:val="15"/>
                <w:szCs w:val="15"/>
                <w:b w:val="1"/>
                <w:bCs w:val="1"/>
                <w:color w:val="auto"/>
                <w:w w:val="91"/>
              </w:rPr>
              <w:t>Delaware</w:t>
            </w:r>
          </w:p>
        </w:tc>
        <w:tc>
          <w:tcPr>
            <w:tcW w:w="5480" w:type="dxa"/>
            <w:vAlign w:val="bottom"/>
            <w:gridSpan w:val="3"/>
          </w:tcPr>
          <w:p>
            <w:pPr>
              <w:jc w:val="center"/>
              <w:ind w:left="4227"/>
              <w:spacing w:after="0"/>
              <w:rPr>
                <w:sz w:val="20"/>
                <w:szCs w:val="20"/>
                <w:color w:val="auto"/>
              </w:rPr>
            </w:pPr>
            <w:r>
              <w:rPr>
                <w:rFonts w:ascii="Arial" w:cs="Arial" w:eastAsia="Arial" w:hAnsi="Arial"/>
                <w:sz w:val="15"/>
                <w:szCs w:val="15"/>
                <w:b w:val="1"/>
                <w:bCs w:val="1"/>
                <w:color w:val="auto"/>
                <w:w w:val="92"/>
              </w:rPr>
              <w:t>04-2623104</w:t>
            </w:r>
          </w:p>
        </w:tc>
      </w:tr>
      <w:tr>
        <w:trPr>
          <w:trHeight w:val="129"/>
        </w:trPr>
        <w:tc>
          <w:tcPr>
            <w:tcW w:w="1480" w:type="dxa"/>
            <w:vAlign w:val="bottom"/>
          </w:tcPr>
          <w:p>
            <w:pPr>
              <w:jc w:val="center"/>
              <w:ind w:right="212"/>
              <w:spacing w:after="0" w:line="129" w:lineRule="exact"/>
              <w:rPr>
                <w:sz w:val="20"/>
                <w:szCs w:val="20"/>
                <w:color w:val="auto"/>
              </w:rPr>
            </w:pPr>
            <w:r>
              <w:rPr>
                <w:rFonts w:ascii="Arial" w:cs="Arial" w:eastAsia="Arial" w:hAnsi="Arial"/>
                <w:sz w:val="12"/>
                <w:szCs w:val="12"/>
                <w:b w:val="1"/>
                <w:bCs w:val="1"/>
                <w:color w:val="auto"/>
                <w:w w:val="90"/>
              </w:rPr>
              <w:t>(State of Incorporation)</w:t>
            </w:r>
          </w:p>
        </w:tc>
        <w:tc>
          <w:tcPr>
            <w:tcW w:w="7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320" w:type="dxa"/>
            <w:vAlign w:val="bottom"/>
          </w:tcPr>
          <w:p>
            <w:pPr>
              <w:jc w:val="center"/>
              <w:ind w:left="1101"/>
              <w:spacing w:after="0" w:line="129"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320" w:type="dxa"/>
            <w:vAlign w:val="bottom"/>
          </w:tcPr>
          <w:p>
            <w:pPr>
              <w:jc w:val="center"/>
              <w:ind w:left="1101"/>
              <w:spacing w:after="0"/>
              <w:rPr>
                <w:sz w:val="20"/>
                <w:szCs w:val="20"/>
                <w:color w:val="auto"/>
              </w:rPr>
            </w:pPr>
            <w:r>
              <w:rPr>
                <w:rFonts w:ascii="Arial" w:cs="Arial" w:eastAsia="Arial" w:hAnsi="Arial"/>
                <w:sz w:val="12"/>
                <w:szCs w:val="12"/>
                <w:b w:val="1"/>
                <w:bCs w:val="1"/>
                <w:color w:val="auto"/>
                <w:w w:val="91"/>
              </w:rPr>
              <w:t>Identification Number)</w:t>
            </w:r>
          </w:p>
        </w:tc>
      </w:tr>
      <w:tr>
        <w:trPr>
          <w:trHeight w:val="308"/>
        </w:trPr>
        <w:tc>
          <w:tcPr>
            <w:tcW w:w="1480" w:type="dxa"/>
            <w:vAlign w:val="bottom"/>
          </w:tcPr>
          <w:p>
            <w:pPr>
              <w:spacing w:after="0"/>
              <w:rPr>
                <w:sz w:val="24"/>
                <w:szCs w:val="24"/>
                <w:color w:val="auto"/>
              </w:rPr>
            </w:pPr>
          </w:p>
        </w:tc>
        <w:tc>
          <w:tcPr>
            <w:tcW w:w="5480" w:type="dxa"/>
            <w:vAlign w:val="bottom"/>
            <w:gridSpan w:val="3"/>
          </w:tcPr>
          <w:p>
            <w:pPr>
              <w:jc w:val="center"/>
              <w:ind w:right="1521"/>
              <w:spacing w:after="0"/>
              <w:rPr>
                <w:sz w:val="20"/>
                <w:szCs w:val="20"/>
                <w:color w:val="auto"/>
              </w:rPr>
            </w:pPr>
            <w:r>
              <w:rPr>
                <w:rFonts w:ascii="Arial" w:cs="Arial" w:eastAsia="Arial" w:hAnsi="Arial"/>
                <w:sz w:val="15"/>
                <w:szCs w:val="15"/>
                <w:b w:val="1"/>
                <w:bCs w:val="1"/>
                <w:color w:val="auto"/>
                <w:w w:val="91"/>
              </w:rPr>
              <w:t>555 Turnpike Street, Canton, Massachusetts 02021</w:t>
            </w:r>
          </w:p>
        </w:tc>
      </w:tr>
      <w:tr>
        <w:trPr>
          <w:trHeight w:val="151"/>
        </w:trPr>
        <w:tc>
          <w:tcPr>
            <w:tcW w:w="1480" w:type="dxa"/>
            <w:vAlign w:val="bottom"/>
          </w:tcPr>
          <w:p>
            <w:pPr>
              <w:spacing w:after="0"/>
              <w:rPr>
                <w:sz w:val="13"/>
                <w:szCs w:val="13"/>
                <w:color w:val="auto"/>
              </w:rPr>
            </w:pPr>
          </w:p>
        </w:tc>
        <w:tc>
          <w:tcPr>
            <w:tcW w:w="5480" w:type="dxa"/>
            <w:vAlign w:val="bottom"/>
            <w:gridSpan w:val="3"/>
          </w:tcPr>
          <w:p>
            <w:pPr>
              <w:jc w:val="center"/>
              <w:ind w:right="1521"/>
              <w:spacing w:after="0"/>
              <w:rPr>
                <w:sz w:val="20"/>
                <w:szCs w:val="20"/>
                <w:color w:val="auto"/>
              </w:rPr>
            </w:pPr>
            <w:r>
              <w:rPr>
                <w:rFonts w:ascii="Arial" w:cs="Arial" w:eastAsia="Arial" w:hAnsi="Arial"/>
                <w:sz w:val="12"/>
                <w:szCs w:val="12"/>
                <w:b w:val="1"/>
                <w:bCs w:val="1"/>
                <w:color w:val="auto"/>
                <w:w w:val="87"/>
              </w:rPr>
              <w:t>(Address of registrant’s principal executive office)</w:t>
            </w:r>
          </w:p>
        </w:tc>
      </w:tr>
      <w:tr>
        <w:trPr>
          <w:trHeight w:val="308"/>
        </w:trPr>
        <w:tc>
          <w:tcPr>
            <w:tcW w:w="1480" w:type="dxa"/>
            <w:vAlign w:val="bottom"/>
          </w:tcPr>
          <w:p>
            <w:pPr>
              <w:spacing w:after="0"/>
              <w:rPr>
                <w:sz w:val="24"/>
                <w:szCs w:val="24"/>
                <w:color w:val="auto"/>
              </w:rPr>
            </w:pPr>
          </w:p>
        </w:tc>
        <w:tc>
          <w:tcPr>
            <w:tcW w:w="3160" w:type="dxa"/>
            <w:vAlign w:val="bottom"/>
            <w:gridSpan w:val="2"/>
          </w:tcPr>
          <w:p>
            <w:pPr>
              <w:jc w:val="center"/>
              <w:ind w:left="687"/>
              <w:spacing w:after="0"/>
              <w:rPr>
                <w:sz w:val="20"/>
                <w:szCs w:val="20"/>
                <w:color w:val="auto"/>
              </w:rPr>
            </w:pPr>
            <w:r>
              <w:rPr>
                <w:rFonts w:ascii="Arial" w:cs="Arial" w:eastAsia="Arial" w:hAnsi="Arial"/>
                <w:sz w:val="15"/>
                <w:szCs w:val="15"/>
                <w:b w:val="1"/>
                <w:bCs w:val="1"/>
                <w:color w:val="auto"/>
                <w:w w:val="93"/>
              </w:rPr>
              <w:t>(781) 828-9300</w:t>
            </w:r>
          </w:p>
        </w:tc>
        <w:tc>
          <w:tcPr>
            <w:tcW w:w="2320" w:type="dxa"/>
            <w:vAlign w:val="bottom"/>
          </w:tcPr>
          <w:p>
            <w:pPr>
              <w:spacing w:after="0"/>
              <w:rPr>
                <w:sz w:val="24"/>
                <w:szCs w:val="24"/>
                <w:color w:val="auto"/>
              </w:rPr>
            </w:pPr>
          </w:p>
        </w:tc>
      </w:tr>
      <w:tr>
        <w:trPr>
          <w:trHeight w:val="151"/>
        </w:trPr>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740" w:type="dxa"/>
            <w:vAlign w:val="bottom"/>
            <w:gridSpan w:val="2"/>
          </w:tcPr>
          <w:p>
            <w:pPr>
              <w:jc w:val="center"/>
              <w:ind w:right="2261"/>
              <w:spacing w:after="0"/>
              <w:rPr>
                <w:sz w:val="20"/>
                <w:szCs w:val="20"/>
                <w:color w:val="auto"/>
              </w:rPr>
            </w:pPr>
            <w:r>
              <w:rPr>
                <w:rFonts w:ascii="Arial" w:cs="Arial" w:eastAsia="Arial" w:hAnsi="Arial"/>
                <w:sz w:val="12"/>
                <w:szCs w:val="12"/>
                <w:b w:val="1"/>
                <w:bCs w:val="1"/>
                <w:color w:val="auto"/>
                <w:w w:val="8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83185</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86" w:lineRule="exact"/>
        <w:rPr>
          <w:sz w:val="24"/>
          <w:szCs w:val="24"/>
          <w:color w:val="auto"/>
        </w:rPr>
      </w:pPr>
    </w:p>
    <w:p>
      <w:pPr>
        <w:ind w:left="6"/>
        <w:spacing w:after="0" w:line="290"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6"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91" w:right="59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7.01 - Regulation FD Disclosure</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The Company will be presenting an investor slide presentation at upcoming meetings with various investment groups. A copy of the slide presentation is attached to this report as Exhibit 99.1, and is incorporated by reference herein.</w:t>
      </w:r>
    </w:p>
    <w:p>
      <w:pPr>
        <w:spacing w:after="0" w:line="99" w:lineRule="exact"/>
        <w:rPr>
          <w:sz w:val="20"/>
          <w:szCs w:val="20"/>
          <w:color w:val="auto"/>
        </w:rPr>
      </w:pPr>
    </w:p>
    <w:p>
      <w:pPr>
        <w:ind w:right="60"/>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Presentation of Non-GAAP Measures</w:t>
      </w:r>
    </w:p>
    <w:p>
      <w:pPr>
        <w:spacing w:after="0" w:line="90" w:lineRule="exact"/>
        <w:rPr>
          <w:sz w:val="20"/>
          <w:szCs w:val="20"/>
          <w:color w:val="auto"/>
        </w:rPr>
      </w:pPr>
    </w:p>
    <w:p>
      <w:pPr>
        <w:ind w:right="560"/>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 36.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In addition, all companies do not calculate non-GAAP financial measures in the same manner and, accordingly, “free cash flows” as presented in this slide presentation may not be comparable to similar measures used by other companies. The Company calculates free cash flows as cash flow from operating activities less capital expenditures and discretionary store asset acquisitions, if any. We believe that inclusion of this non-GAAP measure helps investors gain a better understanding of our performance, especially when comparing such results to previous periods.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Free cash flow is calculated as follows for each of the respective fiscal years, as disclosed on slide 36 of the slide presentation: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2"/>
                <w:szCs w:val="12"/>
                <w:color w:val="auto"/>
                <w:w w:val="89"/>
              </w:rPr>
              <w:t>Fiscal</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w w:val="95"/>
              </w:rPr>
              <w:t>Fiscal</w:t>
            </w:r>
          </w:p>
        </w:tc>
        <w:tc>
          <w:tcPr>
            <w:tcW w:w="300" w:type="dxa"/>
            <w:vAlign w:val="bottom"/>
          </w:tcPr>
          <w:p>
            <w:pPr>
              <w:spacing w:after="0"/>
              <w:rPr>
                <w:sz w:val="12"/>
                <w:szCs w:val="12"/>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w w:val="89"/>
              </w:rPr>
              <w:t>Fiscal</w:t>
            </w:r>
          </w:p>
        </w:tc>
        <w:tc>
          <w:tcPr>
            <w:tcW w:w="16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w w:val="95"/>
              </w:rPr>
              <w:t>Fiscal</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w w:val="95"/>
              </w:rPr>
              <w:t>Fiscal</w:t>
            </w:r>
          </w:p>
        </w:tc>
        <w:tc>
          <w:tcPr>
            <w:tcW w:w="28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color w:val="auto"/>
                <w:w w:val="95"/>
              </w:rPr>
              <w:t>Fiscal</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Fiscal</w:t>
            </w:r>
          </w:p>
        </w:tc>
      </w:tr>
      <w:tr>
        <w:trPr>
          <w:trHeight w:val="138"/>
        </w:trPr>
        <w:tc>
          <w:tcPr>
            <w:tcW w:w="6880" w:type="dxa"/>
            <w:vAlign w:val="bottom"/>
          </w:tcPr>
          <w:p>
            <w:pPr>
              <w:spacing w:after="0"/>
              <w:rPr>
                <w:sz w:val="20"/>
                <w:szCs w:val="20"/>
                <w:color w:val="auto"/>
              </w:rPr>
            </w:pPr>
            <w:r>
              <w:rPr>
                <w:rFonts w:ascii="Arial" w:cs="Arial" w:eastAsia="Arial" w:hAnsi="Arial"/>
                <w:sz w:val="12"/>
                <w:szCs w:val="12"/>
                <w:i w:val="1"/>
                <w:iCs w:val="1"/>
                <w:color w:val="auto"/>
              </w:rPr>
              <w:t>(in millions)</w:t>
            </w:r>
          </w:p>
        </w:tc>
        <w:tc>
          <w:tcPr>
            <w:tcW w:w="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color w:val="auto"/>
              </w:rPr>
              <w:t>2012 YTD</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2011</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2010</w:t>
            </w:r>
          </w:p>
        </w:tc>
        <w:tc>
          <w:tcPr>
            <w:tcW w:w="140" w:type="dxa"/>
            <w:vAlign w:val="bottom"/>
          </w:tcPr>
          <w:p>
            <w:pPr>
              <w:spacing w:after="0"/>
              <w:rPr>
                <w:sz w:val="12"/>
                <w:szCs w:val="12"/>
                <w:color w:val="auto"/>
              </w:rPr>
            </w:pPr>
          </w:p>
        </w:tc>
        <w:tc>
          <w:tcPr>
            <w:tcW w:w="500" w:type="dxa"/>
            <w:vAlign w:val="bottom"/>
            <w:gridSpan w:val="2"/>
          </w:tcPr>
          <w:p>
            <w:pPr>
              <w:jc w:val="center"/>
              <w:ind w:left="109"/>
              <w:spacing w:after="0"/>
              <w:rPr>
                <w:sz w:val="20"/>
                <w:szCs w:val="20"/>
                <w:color w:val="auto"/>
              </w:rPr>
            </w:pPr>
            <w:r>
              <w:rPr>
                <w:rFonts w:ascii="Arial" w:cs="Arial" w:eastAsia="Arial" w:hAnsi="Arial"/>
                <w:sz w:val="12"/>
                <w:szCs w:val="12"/>
                <w:color w:val="auto"/>
                <w:w w:val="89"/>
              </w:rPr>
              <w:t>2009</w:t>
            </w:r>
          </w:p>
        </w:tc>
        <w:tc>
          <w:tcPr>
            <w:tcW w:w="30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2008</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2007</w:t>
            </w:r>
          </w:p>
        </w:tc>
        <w:tc>
          <w:tcPr>
            <w:tcW w:w="300" w:type="dxa"/>
            <w:vAlign w:val="bottom"/>
          </w:tcPr>
          <w:p>
            <w:pPr>
              <w:spacing w:after="0"/>
              <w:rPr>
                <w:sz w:val="12"/>
                <w:szCs w:val="12"/>
                <w:color w:val="auto"/>
              </w:rPr>
            </w:pPr>
          </w:p>
        </w:tc>
        <w:tc>
          <w:tcPr>
            <w:tcW w:w="420" w:type="dxa"/>
            <w:vAlign w:val="bottom"/>
          </w:tcPr>
          <w:p>
            <w:pPr>
              <w:jc w:val="right"/>
              <w:ind w:right="9"/>
              <w:spacing w:after="0"/>
              <w:rPr>
                <w:sz w:val="20"/>
                <w:szCs w:val="20"/>
                <w:color w:val="auto"/>
              </w:rPr>
            </w:pPr>
            <w:r>
              <w:rPr>
                <w:rFonts w:ascii="Arial" w:cs="Arial" w:eastAsia="Arial" w:hAnsi="Arial"/>
                <w:sz w:val="12"/>
                <w:szCs w:val="12"/>
                <w:color w:val="auto"/>
              </w:rPr>
              <w:t>2006</w:t>
            </w:r>
          </w:p>
        </w:tc>
        <w:tc>
          <w:tcPr>
            <w:tcW w:w="100" w:type="dxa"/>
            <w:vAlign w:val="bottom"/>
          </w:tcPr>
          <w:p>
            <w:pPr>
              <w:spacing w:after="0"/>
              <w:rPr>
                <w:sz w:val="12"/>
                <w:szCs w:val="12"/>
                <w:color w:val="auto"/>
              </w:rPr>
            </w:pPr>
          </w:p>
        </w:tc>
      </w:tr>
      <w:tr>
        <w:trPr>
          <w:trHeight w:val="18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flow provided by operations</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23.4</w:t>
            </w: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$19.0</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0"/>
              </w:rPr>
              <w:t>$30.8</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23.2</w:t>
            </w:r>
          </w:p>
        </w:tc>
        <w:tc>
          <w:tcPr>
            <w:tcW w:w="2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$11.7</w:t>
            </w:r>
          </w:p>
        </w:tc>
        <w:tc>
          <w:tcPr>
            <w:tcW w:w="3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$ 12.1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8"/>
        </w:trPr>
        <w:tc>
          <w:tcPr>
            <w:tcW w:w="6880" w:type="dxa"/>
            <w:vAlign w:val="bottom"/>
          </w:tcPr>
          <w:p>
            <w:pPr>
              <w:spacing w:after="0"/>
              <w:rPr>
                <w:sz w:val="20"/>
                <w:szCs w:val="20"/>
                <w:color w:val="auto"/>
              </w:rPr>
            </w:pPr>
            <w:r>
              <w:rPr>
                <w:rFonts w:ascii="Arial" w:cs="Arial" w:eastAsia="Arial" w:hAnsi="Arial"/>
                <w:sz w:val="15"/>
                <w:szCs w:val="15"/>
                <w:color w:val="auto"/>
              </w:rPr>
              <w:t>Less: capital expenditures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21.3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88"/>
              </w:rPr>
              <w:t>18.0</w:t>
            </w: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9.0</w:t>
            </w:r>
          </w:p>
        </w:tc>
        <w:tc>
          <w:tcPr>
            <w:tcW w:w="800" w:type="dxa"/>
            <w:vAlign w:val="bottom"/>
            <w:gridSpan w:val="3"/>
          </w:tcPr>
          <w:p>
            <w:pPr>
              <w:jc w:val="right"/>
              <w:ind w:right="300"/>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w w:val="88"/>
              </w:rPr>
              <w:t>12.6</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21.4</w:t>
            </w:r>
          </w:p>
        </w:tc>
        <w:tc>
          <w:tcPr>
            <w:tcW w:w="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6"/>
                <w:szCs w:val="16"/>
                <w:color w:val="auto"/>
              </w:rPr>
            </w:pP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Less acquisitions</w:t>
            </w: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6"/>
                <w:szCs w:val="16"/>
                <w:color w:val="auto"/>
              </w:rPr>
            </w:pPr>
          </w:p>
        </w:tc>
      </w:tr>
      <w:tr>
        <w:trPr>
          <w:trHeight w:val="191"/>
        </w:trPr>
        <w:tc>
          <w:tcPr>
            <w:tcW w:w="6880" w:type="dxa"/>
            <w:vAlign w:val="bottom"/>
          </w:tcPr>
          <w:p>
            <w:pPr>
              <w:spacing w:after="0"/>
              <w:rPr>
                <w:sz w:val="20"/>
                <w:szCs w:val="20"/>
                <w:color w:val="auto"/>
              </w:rPr>
            </w:pPr>
            <w:r>
              <w:rPr>
                <w:rFonts w:ascii="Arial" w:cs="Arial" w:eastAsia="Arial" w:hAnsi="Arial"/>
                <w:sz w:val="15"/>
                <w:szCs w:val="15"/>
                <w:color w:val="auto"/>
              </w:rPr>
              <w:t>Free cash flow</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5"/>
                <w:szCs w:val="15"/>
                <w:color w:val="auto"/>
              </w:rPr>
              <w:t>(12.9)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5.4</w:t>
            </w:r>
          </w:p>
        </w:tc>
        <w:tc>
          <w:tcPr>
            <w:tcW w:w="780" w:type="dxa"/>
            <w:vAlign w:val="bottom"/>
            <w:gridSpan w:val="3"/>
          </w:tcPr>
          <w:p>
            <w:pPr>
              <w:jc w:val="right"/>
              <w:ind w:right="1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10.0</w:t>
            </w:r>
          </w:p>
        </w:tc>
        <w:tc>
          <w:tcPr>
            <w:tcW w:w="800" w:type="dxa"/>
            <w:vAlign w:val="bottom"/>
            <w:gridSpan w:val="3"/>
          </w:tcPr>
          <w:p>
            <w:pPr>
              <w:jc w:val="center"/>
              <w:ind w:right="140"/>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26.2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7.6</w:t>
            </w:r>
          </w:p>
        </w:tc>
        <w:tc>
          <w:tcPr>
            <w:tcW w:w="940" w:type="dxa"/>
            <w:vAlign w:val="bottom"/>
            <w:gridSpan w:val="3"/>
          </w:tcPr>
          <w:p>
            <w:pPr>
              <w:jc w:val="right"/>
              <w:ind w:right="240"/>
              <w:spacing w:after="0"/>
              <w:rPr>
                <w:sz w:val="20"/>
                <w:szCs w:val="20"/>
                <w:color w:val="auto"/>
              </w:rPr>
            </w:pPr>
            <w:r>
              <w:rPr>
                <w:rFonts w:ascii="Arial" w:cs="Arial" w:eastAsia="Arial" w:hAnsi="Arial"/>
                <w:sz w:val="15"/>
                <w:szCs w:val="15"/>
                <w:color w:val="auto"/>
              </w:rPr>
              <w:t>$ (9.7)</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 xml:space="preserve"> (13.6)</w:t>
            </w: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880" w:hanging="439"/>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Free cash flow for fiscal 2008 and fiscal 2006 include the cash used for the Dahle acquisition of $3.0 million and the Jared M. acquisition of $3.0 million, respectively.</w:t>
      </w:r>
    </w:p>
    <w:p>
      <w:pPr>
        <w:spacing w:after="0" w:line="270"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90" w:lineRule="exact"/>
        <w:rPr>
          <w:sz w:val="20"/>
          <w:szCs w:val="20"/>
          <w:color w:val="auto"/>
        </w:rPr>
      </w:pPr>
    </w:p>
    <w:p>
      <w:pPr>
        <w:ind w:left="1120" w:hanging="444"/>
        <w:spacing w:after="0"/>
        <w:tabs>
          <w:tab w:leader="none" w:pos="1120" w:val="left"/>
        </w:tabs>
        <w:numPr>
          <w:ilvl w:val="0"/>
          <w:numId w:val="3"/>
        </w:numPr>
        <w:rPr>
          <w:rFonts w:ascii="Arial" w:cs="Arial" w:eastAsia="Arial" w:hAnsi="Arial"/>
          <w:sz w:val="15"/>
          <w:szCs w:val="15"/>
          <w:color w:val="auto"/>
        </w:rPr>
      </w:pPr>
      <w:r>
        <w:rPr>
          <w:rFonts w:ascii="Arial" w:cs="Arial" w:eastAsia="Arial" w:hAnsi="Arial"/>
          <w:sz w:val="15"/>
          <w:szCs w:val="15"/>
          <w:color w:val="auto"/>
        </w:rPr>
        <w:t>Exhibits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Exhibit</w:t>
      </w:r>
    </w:p>
    <w:p>
      <w:pPr>
        <w:spacing w:after="0" w:line="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2"/>
          <w:szCs w:val="12"/>
          <w:color w:val="auto"/>
        </w:rPr>
        <w:t>No.</w:t>
      </w:r>
      <w:r>
        <w:rPr>
          <w:sz w:val="20"/>
          <w:szCs w:val="20"/>
          <w:color w:val="auto"/>
        </w:rPr>
        <w:tab/>
      </w:r>
      <w:r>
        <w:rPr>
          <w:rFonts w:ascii="Arial" w:cs="Arial" w:eastAsia="Arial" w:hAnsi="Arial"/>
          <w:sz w:val="12"/>
          <w:szCs w:val="12"/>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311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140" cy="7620"/>
                    </a:xfrm>
                    <a:prstGeom prst="rect">
                      <a:avLst/>
                    </a:prstGeom>
                    <a:noFill/>
                  </pic:spPr>
                </pic:pic>
              </a:graphicData>
            </a:graphic>
          </wp:anchor>
        </w:drawing>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Investor Slide Presentation</w:t>
      </w:r>
    </w:p>
    <w:p>
      <w:pPr>
        <w:sectPr>
          <w:pgSz w:w="11900" w:h="16838" w:orient="portrait"/>
          <w:cols w:equalWidth="0" w:num="1">
            <w:col w:w="11440"/>
          </w:cols>
          <w:pgMar w:left="240" w:top="25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SIGNATURES</w:t>
      </w:r>
    </w:p>
    <w:p>
      <w:pPr>
        <w:spacing w:after="0" w:line="157"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tbl>
      <w:tblPr>
        <w:tblLayout w:type="fixed"/>
        <w:tblInd w:w="6860" w:type="dxa"/>
        <w:tblCellMar>
          <w:top w:w="0" w:type="dxa"/>
          <w:left w:w="0" w:type="dxa"/>
          <w:bottom w:w="0" w:type="dxa"/>
          <w:right w:w="0" w:type="dxa"/>
        </w:tblCellMar>
      </w:tblPr>
      <w:tr>
        <w:trPr>
          <w:trHeight w:val="194"/>
        </w:trPr>
        <w:tc>
          <w:tcPr>
            <w:tcW w:w="600" w:type="dxa"/>
            <w:vAlign w:val="bottom"/>
          </w:tcPr>
          <w:p>
            <w:pPr>
              <w:spacing w:after="0"/>
              <w:rPr>
                <w:sz w:val="20"/>
                <w:szCs w:val="20"/>
                <w:color w:val="auto"/>
              </w:rPr>
            </w:pPr>
            <w:r>
              <w:rPr>
                <w:rFonts w:ascii="Arial" w:cs="Arial" w:eastAsia="Arial" w:hAnsi="Arial"/>
                <w:sz w:val="15"/>
                <w:szCs w:val="15"/>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DENNIS R. HERNREICH</w:t>
            </w:r>
          </w:p>
        </w:tc>
      </w:tr>
      <w:tr>
        <w:trPr>
          <w:trHeight w:val="186"/>
        </w:trPr>
        <w:tc>
          <w:tcPr>
            <w:tcW w:w="600" w:type="dxa"/>
            <w:vAlign w:val="bottom"/>
          </w:tcPr>
          <w:p>
            <w:pPr>
              <w:spacing w:after="0"/>
              <w:rPr>
                <w:sz w:val="20"/>
                <w:szCs w:val="20"/>
                <w:color w:val="auto"/>
              </w:rPr>
            </w:pPr>
            <w:r>
              <w:rPr>
                <w:rFonts w:ascii="Arial" w:cs="Arial" w:eastAsia="Arial" w:hAnsi="Arial"/>
                <w:sz w:val="15"/>
                <w:szCs w:val="15"/>
                <w:color w:val="auto"/>
              </w:rPr>
              <w:t>Name:</w:t>
            </w:r>
          </w:p>
        </w:tc>
        <w:tc>
          <w:tcPr>
            <w:tcW w:w="3980" w:type="dxa"/>
            <w:vAlign w:val="bottom"/>
          </w:tcPr>
          <w:p>
            <w:pPr>
              <w:spacing w:after="0"/>
              <w:rPr>
                <w:sz w:val="20"/>
                <w:szCs w:val="20"/>
                <w:color w:val="auto"/>
              </w:rPr>
            </w:pPr>
            <w:r>
              <w:rPr>
                <w:rFonts w:ascii="Arial" w:cs="Arial" w:eastAsia="Arial" w:hAnsi="Arial"/>
                <w:sz w:val="15"/>
                <w:szCs w:val="15"/>
                <w:color w:val="auto"/>
              </w:rPr>
              <w:t>Dennis R. Hernreich</w:t>
            </w:r>
          </w:p>
        </w:tc>
      </w:tr>
      <w:tr>
        <w:trPr>
          <w:trHeight w:val="194"/>
        </w:trPr>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3980" w:type="dxa"/>
            <w:vAlign w:val="bottom"/>
          </w:tcPr>
          <w:p>
            <w:pPr>
              <w:spacing w:after="0"/>
              <w:rPr>
                <w:sz w:val="20"/>
                <w:szCs w:val="20"/>
                <w:color w:val="auto"/>
              </w:rPr>
            </w:pPr>
            <w:r>
              <w:rPr>
                <w:rFonts w:ascii="Arial" w:cs="Arial" w:eastAsia="Arial" w:hAnsi="Arial"/>
                <w:sz w:val="15"/>
                <w:szCs w:val="15"/>
                <w:color w:val="auto"/>
              </w:rPr>
              <w:t>Executive Vice President and Chief Financial Officer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Date: December 18, 2012</w:t>
      </w:r>
    </w:p>
    <w:p>
      <w:pPr>
        <w:sectPr>
          <w:pgSz w:w="11900" w:h="16838" w:orient="portrait"/>
          <w:cols w:equalWidth="0" w:num="1">
            <w:col w:w="11440"/>
          </w:cols>
          <w:pgMar w:left="240" w:top="262" w:right="219" w:bottom="1440" w:gutter="0" w:footer="0" w:header="0"/>
        </w:sectPr>
      </w:pPr>
    </w:p>
    <w:bookmarkStart w:id="3" w:name="page4"/>
    <w:bookmarkEnd w:id="3"/>
    <w:p>
      <w:pPr>
        <w:ind w:left="82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tabs>
          <w:tab w:leader="none" w:pos="2200" w:val="left"/>
          <w:tab w:leader="none" w:pos="7760" w:val="left"/>
        </w:tabs>
        <w:rPr>
          <w:sz w:val="20"/>
          <w:szCs w:val="20"/>
          <w:color w:val="auto"/>
        </w:rPr>
      </w:pPr>
      <w:r>
        <w:rPr>
          <w:rFonts w:ascii="Arial" w:cs="Arial" w:eastAsia="Arial" w:hAnsi="Arial"/>
          <w:sz w:val="34"/>
          <w:szCs w:val="34"/>
          <w:b w:val="1"/>
          <w:bCs w:val="1"/>
          <w:i w:val="1"/>
          <w:iCs w:val="1"/>
          <w:color w:val="1F497D"/>
        </w:rPr>
        <w:t>Generating</w:t>
        <w:tab/>
        <w:t>Value  on the Road  to Destination</w:t>
        <w:tab/>
        <w:t>XL</w:t>
      </w:r>
      <w:r>
        <w:rPr>
          <w:rFonts w:ascii="Arial" w:cs="Arial" w:eastAsia="Arial" w:hAnsi="Arial"/>
          <w:sz w:val="19"/>
          <w:szCs w:val="19"/>
          <w:b w:val="1"/>
          <w:bCs w:val="1"/>
          <w:i w:val="1"/>
          <w:iCs w:val="1"/>
          <w:color w:val="1F497D"/>
        </w:rPr>
        <w:t>®</w:t>
      </w:r>
    </w:p>
    <w:p>
      <w:pPr>
        <w:spacing w:after="0" w:line="200" w:lineRule="exact"/>
        <w:rPr>
          <w:sz w:val="20"/>
          <w:szCs w:val="20"/>
          <w:color w:val="auto"/>
        </w:rPr>
      </w:pPr>
    </w:p>
    <w:p>
      <w:pPr>
        <w:spacing w:after="0" w:line="212" w:lineRule="exact"/>
        <w:rPr>
          <w:sz w:val="20"/>
          <w:szCs w:val="20"/>
          <w:color w:val="auto"/>
        </w:rPr>
      </w:pPr>
    </w:p>
    <w:p>
      <w:pPr>
        <w:jc w:val="right"/>
        <w:ind w:right="1700"/>
        <w:spacing w:after="0"/>
        <w:rPr>
          <w:sz w:val="20"/>
          <w:szCs w:val="20"/>
          <w:color w:val="auto"/>
        </w:rPr>
      </w:pPr>
      <w:r>
        <w:rPr>
          <w:rFonts w:ascii="Arial" w:cs="Arial" w:eastAsia="Arial" w:hAnsi="Arial"/>
          <w:sz w:val="34"/>
          <w:szCs w:val="34"/>
          <w:b w:val="1"/>
          <w:bCs w:val="1"/>
          <w:color w:val="898989"/>
        </w:rPr>
        <w:t>Investor Presentation</w:t>
      </w:r>
    </w:p>
    <w:p>
      <w:pPr>
        <w:jc w:val="right"/>
        <w:ind w:right="1700"/>
        <w:spacing w:after="0"/>
        <w:rPr>
          <w:sz w:val="20"/>
          <w:szCs w:val="20"/>
          <w:color w:val="auto"/>
        </w:rPr>
      </w:pPr>
      <w:r>
        <w:rPr>
          <w:rFonts w:ascii="Arial" w:cs="Arial" w:eastAsia="Arial" w:hAnsi="Arial"/>
          <w:sz w:val="34"/>
          <w:szCs w:val="34"/>
          <w:b w:val="1"/>
          <w:bCs w:val="1"/>
          <w:color w:val="898989"/>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w:t>
      </w:r>
    </w:p>
    <w:p>
      <w:pPr>
        <w:sectPr>
          <w:pgSz w:w="11900" w:h="16838" w:orient="portrait"/>
          <w:cols w:equalWidth="0" w:num="1">
            <w:col w:w="9560"/>
          </w:cols>
          <w:pgMar w:left="1440" w:top="585" w:right="899" w:bottom="1440" w:gutter="0" w:footer="0" w:header="0"/>
        </w:sectPr>
      </w:pPr>
    </w:p>
    <w:bookmarkStart w:id="4" w:name="page5"/>
    <w:bookmarkEnd w:id="4"/>
    <w:p>
      <w:pPr>
        <w:ind w:left="44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Safe Harbor</w:t>
      </w:r>
    </w:p>
    <w:p>
      <w:pPr>
        <w:spacing w:after="0" w:line="63" w:lineRule="exact"/>
        <w:rPr>
          <w:sz w:val="20"/>
          <w:szCs w:val="20"/>
          <w:color w:val="auto"/>
        </w:rPr>
      </w:pPr>
    </w:p>
    <w:p>
      <w:pPr>
        <w:ind w:right="1280"/>
        <w:spacing w:after="0" w:line="288" w:lineRule="auto"/>
        <w:rPr>
          <w:sz w:val="20"/>
          <w:szCs w:val="20"/>
          <w:color w:val="auto"/>
        </w:rPr>
      </w:pPr>
      <w:r>
        <w:rPr>
          <w:rFonts w:ascii="Arial" w:cs="Arial" w:eastAsia="Arial" w:hAnsi="Arial"/>
          <w:sz w:val="20"/>
          <w:szCs w:val="20"/>
          <w:color w:val="5F5F5F"/>
        </w:rPr>
        <w:t>Certain information contained in this presentation, including, but not limited to, cash flows, operating margins, store counts, earnings expectations for fiscal 2012 and estimates through fiscal 2016,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Such forward-looking statements are subject to various risks and uncertainties that could cause actual results to differ materially from those indicated. Such risks and uncertainties may include, but are not limited to: the failure to implement the Company's business plan for increased profitability and growth in the Company's retail stores sales and direct-to-consumer business, the failure to achieve improvement in the Company's competitive position, changes in or miscalculation of fashion trends, extreme or unseasonable weather conditions, economic downturns, a weakness in overall consumer demand, trade and security restrictions and political or financial instability in countries where goods are manufactured, increases in raw material costs from inflation and other factors, the interruption of merchandise flow from the Company's distribution facility, competitive pressures, and the adverse effects of natural disasters, war, acts of terrorism or threats of either, or other armed conflict, on the United States and international economies. These, and other risks and uncertainties, are detailed in the Company's Annual Report on Form 10-K filed with the Securities and Exchange Commission for the fiscal year ended January 28, 2012 filed on March 16, 2012 and other Company filings with the Securities and Exchange Commission. Casual Male assumes no duty to update or revise 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w:t>
      </w:r>
    </w:p>
    <w:p>
      <w:pPr>
        <w:sectPr>
          <w:pgSz w:w="11900" w:h="16838" w:orient="portrait"/>
          <w:cols w:equalWidth="0" w:num="1">
            <w:col w:w="10400"/>
          </w:cols>
          <w:pgMar w:left="600" w:top="1052" w:right="899" w:bottom="1440" w:gutter="0" w:footer="0" w:header="0"/>
        </w:sectPr>
      </w:pPr>
    </w:p>
    <w:bookmarkStart w:id="5" w:name="page6"/>
    <w:bookmarkEnd w:id="5"/>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Casual Male Retail Group?</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38"/>
          <w:szCs w:val="38"/>
          <w:color w:val="auto"/>
        </w:rPr>
        <w:t>Largest multi-channel specialty</w:t>
      </w:r>
    </w:p>
    <w:p>
      <w:pPr>
        <w:spacing w:after="0" w:line="42" w:lineRule="exact"/>
        <w:rPr>
          <w:sz w:val="20"/>
          <w:szCs w:val="20"/>
          <w:color w:val="auto"/>
        </w:rPr>
      </w:pPr>
    </w:p>
    <w:p>
      <w:pPr>
        <w:ind w:left="4520"/>
        <w:spacing w:after="0"/>
        <w:rPr>
          <w:sz w:val="20"/>
          <w:szCs w:val="20"/>
          <w:color w:val="auto"/>
        </w:rPr>
      </w:pPr>
      <w:r>
        <w:rPr>
          <w:rFonts w:ascii="Arial" w:cs="Arial" w:eastAsia="Arial" w:hAnsi="Arial"/>
          <w:sz w:val="38"/>
          <w:szCs w:val="38"/>
          <w:color w:val="auto"/>
        </w:rPr>
        <w:t>retailer in niche men’s big and</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38"/>
          <w:szCs w:val="38"/>
          <w:color w:val="auto"/>
        </w:rPr>
        <w:t>tall (B&amp;T)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Arial" w:cs="Arial" w:eastAsia="Arial" w:hAnsi="Arial"/>
          <w:sz w:val="38"/>
          <w:szCs w:val="38"/>
          <w:color w:val="auto"/>
        </w:rPr>
        <w:t>Offering unique blend</w:t>
      </w:r>
    </w:p>
    <w:p>
      <w:pPr>
        <w:spacing w:after="0" w:line="42" w:lineRule="exact"/>
        <w:rPr>
          <w:sz w:val="20"/>
          <w:szCs w:val="20"/>
          <w:color w:val="auto"/>
        </w:rPr>
      </w:pPr>
    </w:p>
    <w:p>
      <w:pPr>
        <w:ind w:left="4520"/>
        <w:spacing w:after="0"/>
        <w:rPr>
          <w:sz w:val="20"/>
          <w:szCs w:val="20"/>
          <w:color w:val="auto"/>
        </w:rPr>
      </w:pPr>
      <w:r>
        <w:rPr>
          <w:rFonts w:ascii="Arial" w:cs="Arial" w:eastAsia="Arial" w:hAnsi="Arial"/>
          <w:sz w:val="38"/>
          <w:szCs w:val="38"/>
          <w:color w:val="auto"/>
        </w:rPr>
        <w:t>of wardrobe solutions</w:t>
      </w:r>
    </w:p>
    <w:p>
      <w:pPr>
        <w:spacing w:after="0" w:line="163" w:lineRule="exact"/>
        <w:rPr>
          <w:sz w:val="20"/>
          <w:szCs w:val="20"/>
          <w:color w:val="auto"/>
        </w:rPr>
      </w:pPr>
    </w:p>
    <w:p>
      <w:pPr>
        <w:ind w:left="4520"/>
        <w:spacing w:after="0"/>
        <w:rPr>
          <w:sz w:val="20"/>
          <w:szCs w:val="20"/>
          <w:color w:val="auto"/>
        </w:rPr>
      </w:pPr>
      <w:r>
        <w:rPr>
          <w:rFonts w:ascii="Arial" w:cs="Arial" w:eastAsia="Arial" w:hAnsi="Arial"/>
          <w:sz w:val="28"/>
          <w:szCs w:val="28"/>
          <w:color w:val="auto"/>
        </w:rPr>
        <w:t>Private label &amp; leading</w:t>
      </w:r>
    </w:p>
    <w:p>
      <w:pPr>
        <w:spacing w:after="0" w:line="37" w:lineRule="exact"/>
        <w:rPr>
          <w:sz w:val="20"/>
          <w:szCs w:val="20"/>
          <w:color w:val="auto"/>
        </w:rPr>
      </w:pPr>
    </w:p>
    <w:p>
      <w:pPr>
        <w:ind w:left="4520"/>
        <w:spacing w:after="0"/>
        <w:rPr>
          <w:sz w:val="20"/>
          <w:szCs w:val="20"/>
          <w:color w:val="auto"/>
        </w:rPr>
      </w:pPr>
      <w:r>
        <w:rPr>
          <w:rFonts w:ascii="Arial" w:cs="Arial" w:eastAsia="Arial" w:hAnsi="Arial"/>
          <w:sz w:val="28"/>
          <w:szCs w:val="28"/>
          <w:color w:val="auto"/>
        </w:rPr>
        <w:t>apparel name brands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w:t>
      </w:r>
    </w:p>
    <w:p>
      <w:pPr>
        <w:sectPr>
          <w:pgSz w:w="11900" w:h="16838" w:orient="portrait"/>
          <w:cols w:equalWidth="0" w:num="1">
            <w:col w:w="9960"/>
          </w:cols>
          <w:pgMar w:left="1040" w:top="1052" w:right="899" w:bottom="1440" w:gutter="0" w:footer="0" w:header="0"/>
        </w:sectPr>
      </w:pPr>
    </w:p>
    <w:bookmarkStart w:id="6" w:name="page7"/>
    <w:bookmarkEnd w:id="6"/>
    <w:p>
      <w:pPr>
        <w:ind w:left="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CMRG by the Numbers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Active customers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Retail</w:t>
      </w:r>
    </w:p>
    <w:p>
      <w:pPr>
        <w:spacing w:after="0" w:line="252"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Retail Stores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w:t>
      </w:r>
    </w:p>
    <w:p>
      <w:pPr>
        <w:spacing w:after="0" w:line="252" w:lineRule="exact"/>
        <w:rPr>
          <w:sz w:val="20"/>
          <w:szCs w:val="20"/>
          <w:color w:val="auto"/>
        </w:rPr>
      </w:pPr>
    </w:p>
    <w:p>
      <w:pPr>
        <w:ind w:left="4780"/>
        <w:spacing w:after="0"/>
        <w:rPr>
          <w:sz w:val="20"/>
          <w:szCs w:val="20"/>
          <w:color w:val="auto"/>
        </w:rPr>
      </w:pPr>
      <w:r>
        <w:rPr>
          <w:rFonts w:ascii="Arial" w:cs="Arial" w:eastAsia="Arial" w:hAnsi="Arial"/>
          <w:sz w:val="19"/>
          <w:szCs w:val="19"/>
          <w:b w:val="1"/>
          <w:bCs w:val="1"/>
          <w:color w:val="auto"/>
        </w:rPr>
        <w:t>Enrolled in loyalty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40"/>
        <w:spacing w:after="0"/>
        <w:rPr>
          <w:sz w:val="20"/>
          <w:szCs w:val="20"/>
          <w:color w:val="auto"/>
        </w:rPr>
      </w:pPr>
      <w:r>
        <w:rPr>
          <w:rFonts w:ascii="Arial" w:cs="Arial" w:eastAsia="Arial" w:hAnsi="Arial"/>
          <w:sz w:val="19"/>
          <w:szCs w:val="19"/>
          <w:b w:val="1"/>
          <w:bCs w:val="1"/>
          <w:color w:val="auto"/>
        </w:rPr>
        <w:t>Highest rated retailer</w:t>
      </w:r>
    </w:p>
    <w:p>
      <w:pPr>
        <w:ind w:left="1660"/>
        <w:spacing w:after="0" w:line="215" w:lineRule="auto"/>
        <w:tabs>
          <w:tab w:leader="none" w:pos="4580" w:val="left"/>
        </w:tabs>
        <w:rPr>
          <w:sz w:val="20"/>
          <w:szCs w:val="20"/>
          <w:color w:val="auto"/>
        </w:rPr>
      </w:pPr>
      <w:r>
        <w:rPr>
          <w:rFonts w:ascii="Arial" w:cs="Arial" w:eastAsia="Arial" w:hAnsi="Arial"/>
          <w:sz w:val="19"/>
          <w:szCs w:val="19"/>
          <w:b w:val="1"/>
          <w:bCs w:val="1"/>
          <w:color w:val="auto"/>
        </w:rPr>
        <w:t>in 2011 CSI</w:t>
      </w:r>
      <w:r>
        <w:rPr>
          <w:sz w:val="20"/>
          <w:szCs w:val="20"/>
          <w:color w:val="auto"/>
        </w:rPr>
        <w:tab/>
      </w:r>
      <w:r>
        <w:rPr>
          <w:rFonts w:ascii="Arial" w:cs="Arial" w:eastAsia="Arial" w:hAnsi="Arial"/>
          <w:sz w:val="25"/>
          <w:szCs w:val="25"/>
          <w:b w:val="1"/>
          <w:bCs w:val="1"/>
          <w:color w:val="auto"/>
          <w:vertAlign w:val="superscript"/>
        </w:rPr>
        <w:t>Brands</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9"/>
          <w:szCs w:val="19"/>
          <w:b w:val="1"/>
          <w:bCs w:val="1"/>
          <w:color w:val="auto"/>
        </w:rPr>
        <w:t>Customer Survey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Customer</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auto"/>
        </w:rPr>
        <w:t>Satisfaction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4</w:t>
      </w:r>
    </w:p>
    <w:p>
      <w:pPr>
        <w:sectPr>
          <w:pgSz w:w="11900" w:h="16838" w:orient="portrait"/>
          <w:cols w:equalWidth="0" w:num="1">
            <w:col w:w="10020"/>
          </w:cols>
          <w:pgMar w:left="960" w:top="1052" w:right="919" w:bottom="1440" w:gutter="0" w:footer="0" w:header="0"/>
        </w:sectPr>
      </w:pPr>
    </w:p>
    <w:bookmarkStart w:id="7" w:name="page8"/>
    <w:bookmarkEnd w:id="7"/>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Who is Our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0"/>
        <w:spacing w:after="0"/>
        <w:rPr>
          <w:sz w:val="20"/>
          <w:szCs w:val="20"/>
          <w:color w:val="auto"/>
        </w:rPr>
      </w:pPr>
      <w:r>
        <w:rPr>
          <w:rFonts w:ascii="Arial" w:cs="Arial" w:eastAsia="Arial" w:hAnsi="Arial"/>
          <w:sz w:val="28"/>
          <w:szCs w:val="28"/>
          <w:color w:val="auto"/>
        </w:rPr>
        <w:t>Males with a waist size 42”and</w:t>
      </w:r>
    </w:p>
    <w:p>
      <w:pPr>
        <w:spacing w:after="0" w:line="37" w:lineRule="exact"/>
        <w:rPr>
          <w:sz w:val="20"/>
          <w:szCs w:val="20"/>
          <w:color w:val="auto"/>
        </w:rPr>
      </w:pPr>
    </w:p>
    <w:p>
      <w:pPr>
        <w:ind w:left="3100"/>
        <w:spacing w:after="0"/>
        <w:rPr>
          <w:sz w:val="20"/>
          <w:szCs w:val="20"/>
          <w:color w:val="auto"/>
        </w:rPr>
      </w:pPr>
      <w:r>
        <w:rPr>
          <w:rFonts w:ascii="Arial" w:cs="Arial" w:eastAsia="Arial" w:hAnsi="Arial"/>
          <w:sz w:val="28"/>
          <w:szCs w:val="28"/>
          <w:color w:val="auto"/>
        </w:rPr>
        <w:t>greater (35M men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60"/>
        <w:spacing w:after="0"/>
        <w:rPr>
          <w:sz w:val="20"/>
          <w:szCs w:val="20"/>
          <w:color w:val="auto"/>
        </w:rPr>
      </w:pPr>
      <w:r>
        <w:rPr>
          <w:rFonts w:ascii="Arial" w:cs="Arial" w:eastAsia="Arial" w:hAnsi="Arial"/>
          <w:sz w:val="28"/>
          <w:szCs w:val="28"/>
          <w:color w:val="auto"/>
        </w:rPr>
        <w:t>Determined by physical</w:t>
      </w:r>
    </w:p>
    <w:p>
      <w:pPr>
        <w:spacing w:after="0" w:line="37" w:lineRule="exact"/>
        <w:rPr>
          <w:sz w:val="20"/>
          <w:szCs w:val="20"/>
          <w:color w:val="auto"/>
        </w:rPr>
      </w:pPr>
    </w:p>
    <w:p>
      <w:pPr>
        <w:jc w:val="center"/>
        <w:ind w:right="840"/>
        <w:spacing w:after="0"/>
        <w:rPr>
          <w:sz w:val="20"/>
          <w:szCs w:val="20"/>
          <w:color w:val="auto"/>
        </w:rPr>
      </w:pPr>
      <w:r>
        <w:rPr>
          <w:rFonts w:ascii="Arial" w:cs="Arial" w:eastAsia="Arial" w:hAnsi="Arial"/>
          <w:sz w:val="28"/>
          <w:szCs w:val="28"/>
          <w:color w:val="auto"/>
        </w:rPr>
        <w:t>characteristic, not demographic.</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Not dependent on age, income,</w:t>
      </w:r>
    </w:p>
    <w:p>
      <w:pPr>
        <w:spacing w:after="0" w:line="19"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race or nationality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60"/>
        <w:spacing w:after="0"/>
        <w:rPr>
          <w:sz w:val="20"/>
          <w:szCs w:val="20"/>
          <w:color w:val="auto"/>
        </w:rPr>
      </w:pPr>
      <w:r>
        <w:rPr>
          <w:rFonts w:ascii="Arial" w:cs="Arial" w:eastAsia="Arial" w:hAnsi="Arial"/>
          <w:sz w:val="28"/>
          <w:szCs w:val="28"/>
          <w:color w:val="auto"/>
        </w:rPr>
        <w:t>Seeking greater selection in size.</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28"/>
          <w:szCs w:val="28"/>
          <w:color w:val="auto"/>
        </w:rPr>
        <w:t>Values convenience, selection</w:t>
      </w:r>
    </w:p>
    <w:p>
      <w:pPr>
        <w:spacing w:after="0" w:line="13" w:lineRule="exact"/>
        <w:rPr>
          <w:sz w:val="20"/>
          <w:szCs w:val="20"/>
          <w:color w:val="auto"/>
        </w:rPr>
      </w:pPr>
    </w:p>
    <w:p>
      <w:pPr>
        <w:jc w:val="center"/>
        <w:ind w:right="900"/>
        <w:spacing w:after="0"/>
        <w:rPr>
          <w:sz w:val="20"/>
          <w:szCs w:val="20"/>
          <w:color w:val="auto"/>
        </w:rPr>
      </w:pPr>
      <w:r>
        <w:rPr>
          <w:rFonts w:ascii="Arial" w:cs="Arial" w:eastAsia="Arial" w:hAnsi="Arial"/>
          <w:sz w:val="28"/>
          <w:szCs w:val="28"/>
          <w:color w:val="auto"/>
        </w:rPr>
        <w:t>and fit over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5</w:t>
      </w:r>
    </w:p>
    <w:p>
      <w:pPr>
        <w:sectPr>
          <w:pgSz w:w="11900" w:h="16838" w:orient="portrait"/>
          <w:cols w:equalWidth="0" w:num="1">
            <w:col w:w="9960"/>
          </w:cols>
          <w:pgMar w:left="1040" w:top="1052" w:right="899" w:bottom="1440" w:gutter="0" w:footer="0" w:header="0"/>
        </w:sectPr>
      </w:pPr>
    </w:p>
    <w:bookmarkStart w:id="8" w:name="page9"/>
    <w:bookmarkEnd w:id="8"/>
    <w:p>
      <w:pPr>
        <w:ind w:left="180"/>
        <w:spacing w:after="0"/>
        <w:rPr>
          <w:sz w:val="20"/>
          <w:szCs w:val="20"/>
          <w:color w:val="auto"/>
        </w:rPr>
      </w:pPr>
      <w:r>
        <w:rPr>
          <w:rFonts w:ascii="Arial" w:cs="Arial" w:eastAsia="Arial" w:hAnsi="Arial"/>
          <w:sz w:val="55"/>
          <w:szCs w:val="55"/>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Attractive Big &amp; Tall Segment</w:t>
      </w:r>
    </w:p>
    <w:p>
      <w:pPr>
        <w:sectPr>
          <w:pgSz w:w="11900" w:h="16838" w:orient="portrait"/>
          <w:cols w:equalWidth="0" w:num="1">
            <w:col w:w="10140"/>
          </w:cols>
          <w:pgMar w:left="860" w:top="105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338" w:lineRule="auto"/>
        <w:rPr>
          <w:sz w:val="20"/>
          <w:szCs w:val="20"/>
          <w:color w:val="auto"/>
        </w:rPr>
      </w:pPr>
      <w:r>
        <w:rPr>
          <w:rFonts w:ascii="Arial" w:cs="Arial" w:eastAsia="Arial" w:hAnsi="Arial"/>
          <w:sz w:val="26"/>
          <w:szCs w:val="26"/>
          <w:b w:val="1"/>
          <w:bCs w:val="1"/>
          <w:color w:val="558ED5"/>
        </w:rPr>
        <w:t>Men’s B&amp;T market annual sales approximately $3.5 - $4B</w:t>
      </w:r>
    </w:p>
    <w:p>
      <w:pPr>
        <w:spacing w:after="0" w:line="200" w:lineRule="exact"/>
        <w:rPr>
          <w:sz w:val="20"/>
          <w:szCs w:val="20"/>
          <w:color w:val="auto"/>
        </w:rPr>
      </w:pPr>
    </w:p>
    <w:p>
      <w:pPr>
        <w:spacing w:after="0" w:line="204" w:lineRule="exact"/>
        <w:rPr>
          <w:sz w:val="20"/>
          <w:szCs w:val="20"/>
          <w:color w:val="auto"/>
        </w:rPr>
      </w:pPr>
    </w:p>
    <w:p>
      <w:pPr>
        <w:ind w:right="680"/>
        <w:spacing w:after="0" w:line="328" w:lineRule="auto"/>
        <w:rPr>
          <w:sz w:val="20"/>
          <w:szCs w:val="20"/>
          <w:color w:val="auto"/>
        </w:rPr>
      </w:pPr>
      <w:r>
        <w:rPr>
          <w:rFonts w:ascii="Arial" w:cs="Arial" w:eastAsia="Arial" w:hAnsi="Arial"/>
          <w:sz w:val="26"/>
          <w:szCs w:val="26"/>
          <w:b w:val="1"/>
          <w:bCs w:val="1"/>
          <w:color w:val="558ED5"/>
        </w:rPr>
        <w:t>B&amp;T men account for approximately 11% in U.S.</w:t>
      </w:r>
    </w:p>
    <w:p>
      <w:pPr>
        <w:spacing w:after="0" w:line="200" w:lineRule="exact"/>
        <w:rPr>
          <w:sz w:val="20"/>
          <w:szCs w:val="20"/>
          <w:color w:val="auto"/>
        </w:rPr>
      </w:pPr>
    </w:p>
    <w:p>
      <w:pPr>
        <w:spacing w:after="0" w:line="229" w:lineRule="exact"/>
        <w:rPr>
          <w:sz w:val="20"/>
          <w:szCs w:val="20"/>
          <w:color w:val="auto"/>
        </w:rPr>
      </w:pPr>
    </w:p>
    <w:p>
      <w:pPr>
        <w:jc w:val="both"/>
        <w:spacing w:after="0" w:line="318" w:lineRule="auto"/>
        <w:rPr>
          <w:sz w:val="20"/>
          <w:szCs w:val="20"/>
          <w:color w:val="auto"/>
        </w:rPr>
      </w:pPr>
      <w:r>
        <w:rPr>
          <w:rFonts w:ascii="Arial" w:cs="Arial" w:eastAsia="Arial" w:hAnsi="Arial"/>
          <w:sz w:val="25"/>
          <w:szCs w:val="25"/>
          <w:b w:val="1"/>
          <w:bCs w:val="1"/>
          <w:color w:val="558ED5"/>
        </w:rPr>
        <w:t>B&amp;T consumers shop 50% more for apparel on the Internet than regular size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8"/>
          <w:szCs w:val="28"/>
          <w:b w:val="1"/>
          <w:bCs w:val="1"/>
          <w:color w:val="558ED5"/>
        </w:rPr>
        <w:t>Highly fragmented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color w:val="auto"/>
        </w:rPr>
        <w:t>Current CMRG market share of ~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20"/>
        <w:spacing w:after="0" w:line="349" w:lineRule="auto"/>
        <w:rPr>
          <w:sz w:val="20"/>
          <w:szCs w:val="20"/>
          <w:color w:val="auto"/>
        </w:rPr>
      </w:pPr>
      <w:r>
        <w:rPr>
          <w:rFonts w:ascii="Arial" w:cs="Arial" w:eastAsia="Arial" w:hAnsi="Arial"/>
          <w:sz w:val="22"/>
          <w:szCs w:val="22"/>
          <w:color w:val="auto"/>
        </w:rPr>
        <w:t>Growing at nearly twice the rate of the regular size men’s apparel market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580"/>
        <w:spacing w:after="0" w:line="349" w:lineRule="auto"/>
        <w:rPr>
          <w:sz w:val="20"/>
          <w:szCs w:val="20"/>
          <w:color w:val="auto"/>
        </w:rPr>
      </w:pPr>
      <w:r>
        <w:rPr>
          <w:rFonts w:ascii="Arial" w:cs="Arial" w:eastAsia="Arial" w:hAnsi="Arial"/>
          <w:sz w:val="22"/>
          <w:szCs w:val="22"/>
          <w:color w:val="auto"/>
        </w:rPr>
        <w:t>New CMRG marketing strategy focuses on direct sales through digital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60"/>
        <w:spacing w:after="0" w:line="279" w:lineRule="auto"/>
        <w:rPr>
          <w:sz w:val="20"/>
          <w:szCs w:val="20"/>
          <w:color w:val="auto"/>
        </w:rPr>
      </w:pPr>
      <w:r>
        <w:rPr>
          <w:rFonts w:ascii="Arial" w:cs="Arial" w:eastAsia="Arial" w:hAnsi="Arial"/>
          <w:sz w:val="25"/>
          <w:szCs w:val="25"/>
          <w:color w:val="auto"/>
        </w:rPr>
        <w:t>Opportunity to take share by offering one-stop shop solution</w:t>
      </w:r>
    </w:p>
    <w:p>
      <w:pPr>
        <w:spacing w:after="0" w:line="200" w:lineRule="exact"/>
        <w:rPr>
          <w:sz w:val="20"/>
          <w:szCs w:val="20"/>
          <w:color w:val="auto"/>
        </w:rPr>
      </w:pPr>
    </w:p>
    <w:p>
      <w:pPr>
        <w:sectPr>
          <w:pgSz w:w="11900" w:h="16838" w:orient="portrait"/>
          <w:cols w:equalWidth="0" w:num="2">
            <w:col w:w="3920" w:space="680"/>
            <w:col w:w="5540"/>
          </w:cols>
          <w:pgMar w:left="860" w:top="1052"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20"/>
        <w:spacing w:after="0"/>
        <w:rPr>
          <w:sz w:val="20"/>
          <w:szCs w:val="20"/>
          <w:color w:val="auto"/>
        </w:rPr>
      </w:pPr>
      <w:r>
        <w:rPr>
          <w:rFonts w:ascii="Arial" w:cs="Arial" w:eastAsia="Arial" w:hAnsi="Arial"/>
          <w:sz w:val="19"/>
          <w:szCs w:val="19"/>
          <w:color w:val="898989"/>
        </w:rPr>
        <w:t>6</w:t>
      </w:r>
    </w:p>
    <w:p>
      <w:pPr>
        <w:sectPr>
          <w:pgSz w:w="11900" w:h="16838" w:orient="portrait"/>
          <w:cols w:equalWidth="0" w:num="1">
            <w:col w:w="10140"/>
          </w:cols>
          <w:pgMar w:left="860" w:top="1052" w:right="899" w:bottom="1440" w:gutter="0" w:footer="0" w:header="0"/>
          <w:type w:val="continuous"/>
        </w:sectPr>
      </w:pPr>
    </w:p>
    <w:bookmarkStart w:id="9" w:name="page10"/>
    <w:bookmarkEnd w:id="9"/>
    <w:p>
      <w:pPr>
        <w:ind w:left="240"/>
        <w:spacing w:after="0"/>
        <w:rPr>
          <w:sz w:val="20"/>
          <w:szCs w:val="20"/>
          <w:color w:val="auto"/>
        </w:rPr>
      </w:pPr>
      <w:r>
        <w:rPr>
          <w:rFonts w:ascii="Arial" w:cs="Arial" w:eastAsia="Arial" w:hAnsi="Arial"/>
          <w:sz w:val="57"/>
          <w:szCs w:val="57"/>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Why Invest in CMRG?</w:t>
      </w:r>
    </w:p>
    <w:p>
      <w:pPr>
        <w:sectPr>
          <w:pgSz w:w="11900" w:h="16838" w:orient="portrait"/>
          <w:cols w:equalWidth="0" w:num="1">
            <w:col w:w="10200"/>
          </w:cols>
          <w:pgMar w:left="800" w:top="105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0" w:right="300"/>
        <w:spacing w:after="0" w:line="281" w:lineRule="auto"/>
        <w:rPr>
          <w:sz w:val="20"/>
          <w:szCs w:val="20"/>
          <w:color w:val="auto"/>
        </w:rPr>
      </w:pPr>
      <w:r>
        <w:rPr>
          <w:rFonts w:ascii="Arial" w:cs="Arial" w:eastAsia="Arial" w:hAnsi="Arial"/>
          <w:sz w:val="28"/>
          <w:szCs w:val="28"/>
          <w:b w:val="1"/>
          <w:bCs w:val="1"/>
          <w:color w:val="auto"/>
        </w:rPr>
        <w:t>Accelerated conversion to DXL concept creates compelling investment opportunity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80"/>
        <w:spacing w:after="0" w:line="276" w:lineRule="auto"/>
        <w:rPr>
          <w:sz w:val="20"/>
          <w:szCs w:val="20"/>
          <w:color w:val="auto"/>
        </w:rPr>
      </w:pPr>
      <w:r>
        <w:rPr>
          <w:rFonts w:ascii="Arial" w:cs="Arial" w:eastAsia="Arial" w:hAnsi="Arial"/>
          <w:sz w:val="29"/>
          <w:szCs w:val="29"/>
          <w:b w:val="1"/>
          <w:bCs w:val="1"/>
          <w:color w:val="auto"/>
        </w:rPr>
        <w:t>Strong gross margins; Ability to greatly improve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80" w:right="560"/>
        <w:spacing w:after="0" w:line="321" w:lineRule="auto"/>
        <w:rPr>
          <w:sz w:val="20"/>
          <w:szCs w:val="20"/>
          <w:color w:val="auto"/>
        </w:rPr>
      </w:pPr>
      <w:r>
        <w:rPr>
          <w:rFonts w:ascii="Arial" w:cs="Arial" w:eastAsia="Arial" w:hAnsi="Arial"/>
          <w:sz w:val="26"/>
          <w:szCs w:val="26"/>
          <w:b w:val="1"/>
          <w:bCs w:val="1"/>
          <w:color w:val="auto"/>
        </w:rPr>
        <w:t>Significant market share/sales growth opportunity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80"/>
        <w:spacing w:after="0"/>
        <w:rPr>
          <w:sz w:val="20"/>
          <w:szCs w:val="20"/>
          <w:color w:val="auto"/>
        </w:rPr>
      </w:pPr>
      <w:r>
        <w:rPr>
          <w:rFonts w:ascii="Arial" w:cs="Arial" w:eastAsia="Arial" w:hAnsi="Arial"/>
          <w:sz w:val="27"/>
          <w:szCs w:val="27"/>
          <w:b w:val="1"/>
          <w:bCs w:val="1"/>
          <w:color w:val="auto"/>
        </w:rPr>
        <w:t>Leader in large and growing</w:t>
      </w:r>
    </w:p>
    <w:p>
      <w:pPr>
        <w:spacing w:after="0" w:line="73" w:lineRule="exact"/>
        <w:rPr>
          <w:sz w:val="20"/>
          <w:szCs w:val="20"/>
          <w:color w:val="auto"/>
        </w:rPr>
      </w:pPr>
    </w:p>
    <w:p>
      <w:pPr>
        <w:jc w:val="center"/>
        <w:ind w:right="1860"/>
        <w:spacing w:after="0"/>
        <w:rPr>
          <w:sz w:val="20"/>
          <w:szCs w:val="20"/>
          <w:color w:val="auto"/>
        </w:rPr>
      </w:pPr>
      <w:r>
        <w:rPr>
          <w:rFonts w:ascii="Arial" w:cs="Arial" w:eastAsia="Arial" w:hAnsi="Arial"/>
          <w:sz w:val="29"/>
          <w:szCs w:val="29"/>
          <w:b w:val="1"/>
          <w:bCs w:val="1"/>
          <w:color w:val="auto"/>
        </w:rPr>
        <w:t>B&amp;T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0" w:right="1780" w:hanging="528"/>
        <w:spacing w:after="0" w:line="295" w:lineRule="auto"/>
        <w:rPr>
          <w:sz w:val="20"/>
          <w:szCs w:val="20"/>
          <w:color w:val="auto"/>
        </w:rPr>
      </w:pPr>
      <w:r>
        <w:rPr>
          <w:rFonts w:ascii="Arial" w:cs="Arial" w:eastAsia="Arial" w:hAnsi="Arial"/>
          <w:sz w:val="26"/>
          <w:szCs w:val="26"/>
          <w:b w:val="1"/>
          <w:bCs w:val="1"/>
          <w:color w:val="auto"/>
        </w:rPr>
        <w:t>Three-year $150M investment in DXL rollout to be</w:t>
      </w:r>
    </w:p>
    <w:p>
      <w:pPr>
        <w:spacing w:after="0" w:line="2" w:lineRule="exact"/>
        <w:rPr>
          <w:sz w:val="20"/>
          <w:szCs w:val="20"/>
          <w:color w:val="auto"/>
        </w:rPr>
      </w:pPr>
    </w:p>
    <w:p>
      <w:pPr>
        <w:jc w:val="center"/>
        <w:ind w:left="80" w:right="1980"/>
        <w:spacing w:after="0" w:line="283" w:lineRule="auto"/>
        <w:rPr>
          <w:sz w:val="20"/>
          <w:szCs w:val="20"/>
          <w:color w:val="auto"/>
        </w:rPr>
      </w:pPr>
      <w:r>
        <w:rPr>
          <w:rFonts w:ascii="Arial" w:cs="Arial" w:eastAsia="Arial" w:hAnsi="Arial"/>
          <w:sz w:val="28"/>
          <w:szCs w:val="28"/>
          <w:b w:val="1"/>
          <w:bCs w:val="1"/>
          <w:color w:val="auto"/>
        </w:rPr>
        <w:t>funded by free cash flow, including use of $47 million in tax benefits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Strong, debt-free balance</w:t>
      </w:r>
    </w:p>
    <w:p>
      <w:pPr>
        <w:spacing w:after="0" w:line="50" w:lineRule="exact"/>
        <w:rPr>
          <w:sz w:val="20"/>
          <w:szCs w:val="20"/>
          <w:color w:val="auto"/>
        </w:rPr>
      </w:pPr>
    </w:p>
    <w:p>
      <w:pPr>
        <w:ind w:left="1400"/>
        <w:spacing w:after="0"/>
        <w:rPr>
          <w:sz w:val="20"/>
          <w:szCs w:val="20"/>
          <w:color w:val="auto"/>
        </w:rPr>
      </w:pPr>
      <w:r>
        <w:rPr>
          <w:rFonts w:ascii="Arial" w:cs="Arial" w:eastAsia="Arial" w:hAnsi="Arial"/>
          <w:sz w:val="29"/>
          <w:szCs w:val="29"/>
          <w:b w:val="1"/>
          <w:bCs w:val="1"/>
          <w:color w:val="auto"/>
        </w:rPr>
        <w:t>sheet</w:t>
      </w:r>
    </w:p>
    <w:p>
      <w:pPr>
        <w:spacing w:after="0" w:line="329" w:lineRule="exact"/>
        <w:rPr>
          <w:sz w:val="20"/>
          <w:szCs w:val="20"/>
          <w:color w:val="auto"/>
        </w:rPr>
      </w:pPr>
    </w:p>
    <w:p>
      <w:pPr>
        <w:sectPr>
          <w:pgSz w:w="11900" w:h="16838" w:orient="portrait"/>
          <w:cols w:equalWidth="0" w:num="2">
            <w:col w:w="3880" w:space="720"/>
            <w:col w:w="5600"/>
          </w:cols>
          <w:pgMar w:left="800" w:top="1052" w:right="899" w:bottom="1440" w:gutter="0" w:footer="0" w:header="0"/>
          <w:type w:val="continuous"/>
        </w:sectPr>
      </w:pPr>
    </w:p>
    <w:p>
      <w:pPr>
        <w:spacing w:after="0" w:line="360" w:lineRule="exact"/>
        <w:rPr>
          <w:sz w:val="20"/>
          <w:szCs w:val="20"/>
          <w:color w:val="auto"/>
        </w:rPr>
      </w:pPr>
    </w:p>
    <w:p>
      <w:pPr>
        <w:ind w:left="10080"/>
        <w:spacing w:after="0"/>
        <w:rPr>
          <w:sz w:val="20"/>
          <w:szCs w:val="20"/>
          <w:color w:val="auto"/>
        </w:rPr>
      </w:pPr>
      <w:r>
        <w:rPr>
          <w:rFonts w:ascii="Arial" w:cs="Arial" w:eastAsia="Arial" w:hAnsi="Arial"/>
          <w:sz w:val="19"/>
          <w:szCs w:val="19"/>
          <w:color w:val="898989"/>
        </w:rPr>
        <w:t>7</w:t>
      </w:r>
    </w:p>
    <w:p>
      <w:pPr>
        <w:sectPr>
          <w:pgSz w:w="11900" w:h="16838" w:orient="portrait"/>
          <w:cols w:equalWidth="0" w:num="1">
            <w:col w:w="10200"/>
          </w:cols>
          <w:pgMar w:left="800" w:top="1052" w:right="8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59"/>
          <w:szCs w:val="59"/>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Our Current Casual Male XL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-158750</wp:posOffset>
            </wp:positionV>
            <wp:extent cx="6614795" cy="4845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4795" cy="484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8</w:t>
      </w:r>
    </w:p>
    <w:p>
      <w:pPr>
        <w:sectPr>
          <w:pgSz w:w="11900" w:h="16838" w:orient="portrait"/>
          <w:cols w:equalWidth="0" w:num="1">
            <w:col w:w="9860"/>
          </w:cols>
          <w:pgMar w:left="1040" w:top="217" w:right="999" w:bottom="1440" w:gutter="0" w:footer="0" w:header="0"/>
        </w:sectPr>
      </w:pPr>
    </w:p>
    <w:bookmarkStart w:id="11" w:name="page12"/>
    <w:bookmarkEnd w:id="11"/>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What Our Customer Wants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329"/>
        </w:trPr>
        <w:tc>
          <w:tcPr>
            <w:tcW w:w="1880" w:type="dxa"/>
            <w:vAlign w:val="bottom"/>
          </w:tcPr>
          <w:p>
            <w:pPr>
              <w:jc w:val="center"/>
              <w:ind w:right="579"/>
              <w:spacing w:after="0"/>
              <w:rPr>
                <w:sz w:val="20"/>
                <w:szCs w:val="20"/>
                <w:color w:val="auto"/>
              </w:rPr>
            </w:pPr>
            <w:r>
              <w:rPr>
                <w:rFonts w:ascii="Arial" w:cs="Arial" w:eastAsia="Arial" w:hAnsi="Arial"/>
                <w:sz w:val="28"/>
                <w:szCs w:val="28"/>
                <w:b w:val="1"/>
                <w:bCs w:val="1"/>
                <w:color w:val="auto"/>
                <w:w w:val="94"/>
              </w:rPr>
              <w:t>Large</w:t>
            </w:r>
          </w:p>
        </w:tc>
        <w:tc>
          <w:tcPr>
            <w:tcW w:w="2980" w:type="dxa"/>
            <w:vAlign w:val="bottom"/>
            <w:vMerge w:val="restart"/>
          </w:tcPr>
          <w:p>
            <w:pPr>
              <w:ind w:left="800"/>
              <w:spacing w:after="0"/>
              <w:rPr>
                <w:sz w:val="20"/>
                <w:szCs w:val="20"/>
                <w:color w:val="auto"/>
              </w:rPr>
            </w:pPr>
            <w:r>
              <w:rPr>
                <w:rFonts w:ascii="Arial" w:cs="Arial" w:eastAsia="Arial" w:hAnsi="Arial"/>
                <w:sz w:val="28"/>
                <w:szCs w:val="28"/>
                <w:b w:val="1"/>
                <w:bCs w:val="1"/>
                <w:color w:val="auto"/>
              </w:rPr>
              <w:t>More brand</w:t>
            </w:r>
          </w:p>
        </w:tc>
        <w:tc>
          <w:tcPr>
            <w:tcW w:w="248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1"/>
              </w:rPr>
              <w:t>On-site</w:t>
            </w:r>
          </w:p>
        </w:tc>
        <w:tc>
          <w:tcPr>
            <w:tcW w:w="2100" w:type="dxa"/>
            <w:vAlign w:val="bottom"/>
            <w:vMerge w:val="restart"/>
          </w:tcPr>
          <w:p>
            <w:pPr>
              <w:jc w:val="center"/>
              <w:ind w:left="579"/>
              <w:spacing w:after="0"/>
              <w:rPr>
                <w:sz w:val="20"/>
                <w:szCs w:val="20"/>
                <w:color w:val="auto"/>
              </w:rPr>
            </w:pPr>
            <w:r>
              <w:rPr>
                <w:rFonts w:ascii="Arial" w:cs="Arial" w:eastAsia="Arial" w:hAnsi="Arial"/>
                <w:sz w:val="28"/>
                <w:szCs w:val="28"/>
                <w:b w:val="1"/>
                <w:bCs w:val="1"/>
                <w:color w:val="auto"/>
                <w:w w:val="94"/>
              </w:rPr>
              <w:t>Bright</w:t>
            </w:r>
          </w:p>
        </w:tc>
        <w:tc>
          <w:tcPr>
            <w:tcW w:w="0" w:type="dxa"/>
            <w:vAlign w:val="bottom"/>
          </w:tcPr>
          <w:p>
            <w:pPr>
              <w:spacing w:after="0"/>
              <w:rPr>
                <w:sz w:val="1"/>
                <w:szCs w:val="1"/>
                <w:color w:val="auto"/>
              </w:rPr>
            </w:pPr>
          </w:p>
        </w:tc>
      </w:tr>
      <w:tr>
        <w:trPr>
          <w:trHeight w:val="176"/>
        </w:trPr>
        <w:tc>
          <w:tcPr>
            <w:tcW w:w="1880" w:type="dxa"/>
            <w:vAlign w:val="bottom"/>
            <w:vMerge w:val="restart"/>
          </w:tcPr>
          <w:p>
            <w:pPr>
              <w:jc w:val="center"/>
              <w:ind w:right="639"/>
              <w:spacing w:after="0"/>
              <w:rPr>
                <w:sz w:val="20"/>
                <w:szCs w:val="20"/>
                <w:color w:val="auto"/>
              </w:rPr>
            </w:pPr>
            <w:r>
              <w:rPr>
                <w:rFonts w:ascii="Arial" w:cs="Arial" w:eastAsia="Arial" w:hAnsi="Arial"/>
                <w:sz w:val="28"/>
                <w:szCs w:val="28"/>
                <w:b w:val="1"/>
                <w:bCs w:val="1"/>
                <w:color w:val="auto"/>
                <w:w w:val="88"/>
              </w:rPr>
              <w:t>changing</w:t>
            </w:r>
          </w:p>
        </w:tc>
        <w:tc>
          <w:tcPr>
            <w:tcW w:w="2980" w:type="dxa"/>
            <w:vAlign w:val="bottom"/>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880" w:type="dxa"/>
            <w:vAlign w:val="bottom"/>
            <w:vMerge w:val="continue"/>
          </w:tcPr>
          <w:p>
            <w:pPr>
              <w:spacing w:after="0"/>
              <w:rPr>
                <w:sz w:val="14"/>
                <w:szCs w:val="14"/>
                <w:color w:val="auto"/>
              </w:rPr>
            </w:pPr>
          </w:p>
        </w:tc>
        <w:tc>
          <w:tcPr>
            <w:tcW w:w="2980" w:type="dxa"/>
            <w:vAlign w:val="bottom"/>
            <w:vMerge w:val="restart"/>
          </w:tcPr>
          <w:p>
            <w:pPr>
              <w:ind w:left="900"/>
              <w:spacing w:after="0"/>
              <w:rPr>
                <w:sz w:val="20"/>
                <w:szCs w:val="20"/>
                <w:color w:val="auto"/>
              </w:rPr>
            </w:pPr>
            <w:r>
              <w:rPr>
                <w:rFonts w:ascii="Arial" w:cs="Arial" w:eastAsia="Arial" w:hAnsi="Arial"/>
                <w:sz w:val="28"/>
                <w:szCs w:val="28"/>
                <w:b w:val="1"/>
                <w:bCs w:val="1"/>
                <w:color w:val="auto"/>
              </w:rPr>
              <w:t>selections</w:t>
            </w:r>
          </w:p>
        </w:tc>
        <w:tc>
          <w:tcPr>
            <w:tcW w:w="248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4"/>
              </w:rPr>
              <w:t>tailoring</w:t>
            </w:r>
          </w:p>
        </w:tc>
        <w:tc>
          <w:tcPr>
            <w:tcW w:w="2100" w:type="dxa"/>
            <w:vAlign w:val="bottom"/>
            <w:vMerge w:val="restart"/>
          </w:tcPr>
          <w:p>
            <w:pPr>
              <w:jc w:val="center"/>
              <w:ind w:left="559"/>
              <w:spacing w:after="0"/>
              <w:rPr>
                <w:sz w:val="20"/>
                <w:szCs w:val="20"/>
                <w:color w:val="auto"/>
              </w:rPr>
            </w:pPr>
            <w:r>
              <w:rPr>
                <w:rFonts w:ascii="Arial" w:cs="Arial" w:eastAsia="Arial" w:hAnsi="Arial"/>
                <w:sz w:val="28"/>
                <w:szCs w:val="28"/>
                <w:b w:val="1"/>
                <w:bCs w:val="1"/>
                <w:color w:val="auto"/>
                <w:w w:val="88"/>
              </w:rPr>
              <w:t>atmosphere</w:t>
            </w:r>
          </w:p>
        </w:tc>
        <w:tc>
          <w:tcPr>
            <w:tcW w:w="0" w:type="dxa"/>
            <w:vAlign w:val="bottom"/>
          </w:tcPr>
          <w:p>
            <w:pPr>
              <w:spacing w:after="0"/>
              <w:rPr>
                <w:sz w:val="1"/>
                <w:szCs w:val="1"/>
                <w:color w:val="auto"/>
              </w:rPr>
            </w:pPr>
          </w:p>
        </w:tc>
      </w:tr>
      <w:tr>
        <w:trPr>
          <w:trHeight w:val="203"/>
        </w:trPr>
        <w:tc>
          <w:tcPr>
            <w:tcW w:w="1880" w:type="dxa"/>
            <w:vAlign w:val="bottom"/>
            <w:vMerge w:val="restart"/>
          </w:tcPr>
          <w:p>
            <w:pPr>
              <w:jc w:val="center"/>
              <w:ind w:right="639"/>
              <w:spacing w:after="0"/>
              <w:rPr>
                <w:sz w:val="20"/>
                <w:szCs w:val="20"/>
                <w:color w:val="auto"/>
              </w:rPr>
            </w:pPr>
            <w:r>
              <w:rPr>
                <w:rFonts w:ascii="Arial" w:cs="Arial" w:eastAsia="Arial" w:hAnsi="Arial"/>
                <w:sz w:val="28"/>
                <w:szCs w:val="28"/>
                <w:b w:val="1"/>
                <w:bCs w:val="1"/>
                <w:color w:val="auto"/>
                <w:w w:val="86"/>
              </w:rPr>
              <w:t>rooms</w:t>
            </w:r>
          </w:p>
        </w:tc>
        <w:tc>
          <w:tcPr>
            <w:tcW w:w="2980" w:type="dxa"/>
            <w:vAlign w:val="bottom"/>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88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120" w:type="dxa"/>
        <w:tblCellMar>
          <w:top w:w="0" w:type="dxa"/>
          <w:left w:w="0" w:type="dxa"/>
          <w:bottom w:w="0" w:type="dxa"/>
          <w:right w:w="0" w:type="dxa"/>
        </w:tblCellMar>
      </w:tblPr>
      <w:tr>
        <w:trPr>
          <w:trHeight w:val="341"/>
        </w:trPr>
        <w:tc>
          <w:tcPr>
            <w:tcW w:w="2080" w:type="dxa"/>
            <w:vAlign w:val="bottom"/>
          </w:tcPr>
          <w:p>
            <w:pPr>
              <w:jc w:val="center"/>
              <w:ind w:right="739"/>
              <w:spacing w:after="0"/>
              <w:rPr>
                <w:sz w:val="20"/>
                <w:szCs w:val="20"/>
                <w:color w:val="auto"/>
              </w:rPr>
            </w:pPr>
            <w:r>
              <w:rPr>
                <w:rFonts w:ascii="Arial" w:cs="Arial" w:eastAsia="Arial" w:hAnsi="Arial"/>
                <w:sz w:val="28"/>
                <w:szCs w:val="28"/>
                <w:b w:val="1"/>
                <w:bCs w:val="1"/>
                <w:color w:val="auto"/>
                <w:w w:val="83"/>
              </w:rPr>
              <w:t>Suggested</w:t>
            </w:r>
          </w:p>
        </w:tc>
        <w:tc>
          <w:tcPr>
            <w:tcW w:w="3100" w:type="dxa"/>
            <w:vAlign w:val="bottom"/>
            <w:vMerge w:val="restart"/>
          </w:tcPr>
          <w:p>
            <w:pPr>
              <w:ind w:left="860"/>
              <w:spacing w:after="0"/>
              <w:rPr>
                <w:sz w:val="20"/>
                <w:szCs w:val="20"/>
                <w:color w:val="auto"/>
              </w:rPr>
            </w:pPr>
            <w:r>
              <w:rPr>
                <w:rFonts w:ascii="Arial" w:cs="Arial" w:eastAsia="Arial" w:hAnsi="Arial"/>
                <w:sz w:val="28"/>
                <w:szCs w:val="28"/>
                <w:b w:val="1"/>
                <w:bCs w:val="1"/>
                <w:color w:val="auto"/>
              </w:rPr>
              <w:t>Wide aisles</w:t>
            </w:r>
          </w:p>
        </w:tc>
        <w:tc>
          <w:tcPr>
            <w:tcW w:w="1980" w:type="dxa"/>
            <w:vAlign w:val="bottom"/>
          </w:tcPr>
          <w:p>
            <w:pPr>
              <w:ind w:left="880"/>
              <w:spacing w:after="0"/>
              <w:rPr>
                <w:sz w:val="20"/>
                <w:szCs w:val="20"/>
                <w:color w:val="auto"/>
              </w:rPr>
            </w:pPr>
            <w:r>
              <w:rPr>
                <w:rFonts w:ascii="Arial" w:cs="Arial" w:eastAsia="Arial" w:hAnsi="Arial"/>
                <w:sz w:val="28"/>
                <w:szCs w:val="28"/>
                <w:b w:val="1"/>
                <w:bCs w:val="1"/>
                <w:color w:val="auto"/>
                <w:w w:val="87"/>
              </w:rPr>
              <w:t>One-stop</w:t>
            </w:r>
          </w:p>
        </w:tc>
        <w:tc>
          <w:tcPr>
            <w:tcW w:w="0" w:type="dxa"/>
            <w:vAlign w:val="bottom"/>
          </w:tcPr>
          <w:p>
            <w:pPr>
              <w:spacing w:after="0"/>
              <w:rPr>
                <w:sz w:val="1"/>
                <w:szCs w:val="1"/>
                <w:color w:val="auto"/>
              </w:rPr>
            </w:pPr>
          </w:p>
        </w:tc>
      </w:tr>
      <w:tr>
        <w:trPr>
          <w:trHeight w:val="353"/>
        </w:trPr>
        <w:tc>
          <w:tcPr>
            <w:tcW w:w="2080" w:type="dxa"/>
            <w:vAlign w:val="bottom"/>
          </w:tcPr>
          <w:p>
            <w:pPr>
              <w:jc w:val="center"/>
              <w:ind w:right="679"/>
              <w:spacing w:after="0"/>
              <w:rPr>
                <w:sz w:val="20"/>
                <w:szCs w:val="20"/>
                <w:color w:val="auto"/>
              </w:rPr>
            </w:pPr>
            <w:r>
              <w:rPr>
                <w:rFonts w:ascii="Arial" w:cs="Arial" w:eastAsia="Arial" w:hAnsi="Arial"/>
                <w:sz w:val="28"/>
                <w:szCs w:val="28"/>
                <w:b w:val="1"/>
                <w:bCs w:val="1"/>
                <w:color w:val="auto"/>
                <w:w w:val="93"/>
              </w:rPr>
              <w:t>wardrobe</w:t>
            </w:r>
          </w:p>
        </w:tc>
        <w:tc>
          <w:tcPr>
            <w:tcW w:w="3100" w:type="dxa"/>
            <w:vAlign w:val="bottom"/>
            <w:vMerge w:val="continue"/>
          </w:tcPr>
          <w:p>
            <w:pPr>
              <w:spacing w:after="0"/>
              <w:rPr>
                <w:sz w:val="24"/>
                <w:szCs w:val="24"/>
                <w:color w:val="auto"/>
              </w:rPr>
            </w:pPr>
          </w:p>
        </w:tc>
        <w:tc>
          <w:tcPr>
            <w:tcW w:w="1980" w:type="dxa"/>
            <w:vAlign w:val="bottom"/>
          </w:tcPr>
          <w:p>
            <w:pPr>
              <w:ind w:left="880"/>
              <w:spacing w:after="0"/>
              <w:rPr>
                <w:sz w:val="20"/>
                <w:szCs w:val="20"/>
                <w:color w:val="auto"/>
              </w:rPr>
            </w:pPr>
            <w:r>
              <w:rPr>
                <w:rFonts w:ascii="Arial" w:cs="Arial" w:eastAsia="Arial" w:hAnsi="Arial"/>
                <w:sz w:val="28"/>
                <w:szCs w:val="28"/>
                <w:b w:val="1"/>
                <w:bCs w:val="1"/>
                <w:color w:val="auto"/>
                <w:w w:val="85"/>
              </w:rPr>
              <w:t>shopping</w:t>
            </w:r>
          </w:p>
        </w:tc>
        <w:tc>
          <w:tcPr>
            <w:tcW w:w="0" w:type="dxa"/>
            <w:vAlign w:val="bottom"/>
          </w:tcPr>
          <w:p>
            <w:pPr>
              <w:spacing w:after="0"/>
              <w:rPr>
                <w:sz w:val="1"/>
                <w:szCs w:val="1"/>
                <w:color w:val="auto"/>
              </w:rPr>
            </w:pPr>
          </w:p>
        </w:tc>
      </w:tr>
      <w:tr>
        <w:trPr>
          <w:trHeight w:val="367"/>
        </w:trPr>
        <w:tc>
          <w:tcPr>
            <w:tcW w:w="2080" w:type="dxa"/>
            <w:vAlign w:val="bottom"/>
          </w:tcPr>
          <w:p>
            <w:pPr>
              <w:jc w:val="center"/>
              <w:ind w:right="759"/>
              <w:spacing w:after="0"/>
              <w:rPr>
                <w:sz w:val="20"/>
                <w:szCs w:val="20"/>
                <w:color w:val="auto"/>
              </w:rPr>
            </w:pPr>
            <w:r>
              <w:rPr>
                <w:rFonts w:ascii="Arial" w:cs="Arial" w:eastAsia="Arial" w:hAnsi="Arial"/>
                <w:sz w:val="28"/>
                <w:szCs w:val="28"/>
                <w:b w:val="1"/>
                <w:bCs w:val="1"/>
                <w:color w:val="auto"/>
                <w:w w:val="85"/>
              </w:rPr>
              <w:t>solutions</w:t>
            </w:r>
          </w:p>
        </w:tc>
        <w:tc>
          <w:tcPr>
            <w:tcW w:w="3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9</w:t>
      </w:r>
    </w:p>
    <w:p>
      <w:pPr>
        <w:sectPr>
          <w:pgSz w:w="11900" w:h="16838" w:orient="portrait"/>
          <w:cols w:equalWidth="0" w:num="1">
            <w:col w:w="9960"/>
          </w:cols>
          <w:pgMar w:left="1040" w:top="1052" w:right="899" w:bottom="1440" w:gutter="0" w:footer="0" w:header="0"/>
        </w:sectPr>
      </w:pPr>
    </w:p>
    <w:bookmarkStart w:id="12" w:name="page13"/>
    <w:bookmarkEnd w:id="12"/>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 xml:space="preserve">Responding  with DestinationXL </w:t>
      </w:r>
      <w:r>
        <w:rPr>
          <w:rFonts w:ascii="Arial" w:cs="Arial" w:eastAsia="Arial" w:hAnsi="Arial"/>
          <w:sz w:val="77"/>
          <w:szCs w:val="77"/>
          <w:b w:val="1"/>
          <w:bCs w:val="1"/>
          <w:color w:val="5F5F5F"/>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Opened 4 DXL</w:t>
      </w:r>
    </w:p>
    <w:p>
      <w:pPr>
        <w:spacing w:after="0" w:line="32" w:lineRule="exact"/>
        <w:rPr>
          <w:sz w:val="20"/>
          <w:szCs w:val="20"/>
          <w:color w:val="auto"/>
        </w:rPr>
      </w:pPr>
    </w:p>
    <w:p>
      <w:pPr>
        <w:ind w:left="160"/>
        <w:spacing w:after="0"/>
        <w:tabs>
          <w:tab w:leader="none" w:pos="6880" w:val="left"/>
        </w:tabs>
        <w:rPr>
          <w:sz w:val="20"/>
          <w:szCs w:val="20"/>
          <w:color w:val="auto"/>
        </w:rPr>
      </w:pPr>
      <w:r>
        <w:rPr>
          <w:rFonts w:ascii="Arial" w:cs="Arial" w:eastAsia="Arial" w:hAnsi="Arial"/>
          <w:sz w:val="22"/>
          <w:szCs w:val="22"/>
          <w:color w:val="auto"/>
        </w:rPr>
        <w:t>concept stores</w:t>
      </w:r>
      <w:r>
        <w:rPr>
          <w:sz w:val="20"/>
          <w:szCs w:val="20"/>
          <w:color w:val="auto"/>
        </w:rPr>
        <w:tab/>
      </w:r>
      <w:r>
        <w:rPr>
          <w:rFonts w:ascii="Arial" w:cs="Arial" w:eastAsia="Arial" w:hAnsi="Arial"/>
          <w:sz w:val="18"/>
          <w:szCs w:val="18"/>
          <w:color w:val="auto"/>
        </w:rPr>
        <w:t>Opened 31 DXL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Opened 12</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DXL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Arial" w:cs="Arial" w:eastAsia="Arial" w:hAnsi="Arial"/>
          <w:sz w:val="28"/>
          <w:szCs w:val="28"/>
          <w:color w:val="auto"/>
        </w:rPr>
        <w:t>Opportunity for accelerated growth and profitability</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10</w:t>
      </w:r>
    </w:p>
    <w:p>
      <w:pPr>
        <w:sectPr>
          <w:pgSz w:w="11900" w:h="16838" w:orient="portrait"/>
          <w:cols w:equalWidth="0" w:num="1">
            <w:col w:w="10180"/>
          </w:cols>
          <w:pgMar w:left="820" w:top="876" w:right="899" w:bottom="1440" w:gutter="0" w:footer="0" w:header="0"/>
        </w:sectPr>
      </w:pPr>
    </w:p>
    <w:bookmarkStart w:id="13" w:name="page14"/>
    <w:bookmarkEnd w:id="13"/>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Market Consolidation to DXL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340" w:type="dxa"/>
        <w:tblCellMar>
          <w:top w:w="0" w:type="dxa"/>
          <w:left w:w="0" w:type="dxa"/>
          <w:bottom w:w="0" w:type="dxa"/>
          <w:right w:w="0" w:type="dxa"/>
        </w:tblCellMar>
      </w:tblPr>
      <w:tr>
        <w:trPr>
          <w:trHeight w:val="198"/>
        </w:trPr>
        <w:tc>
          <w:tcPr>
            <w:tcW w:w="1660" w:type="dxa"/>
            <w:vAlign w:val="bottom"/>
            <w:vMerge w:val="restart"/>
          </w:tcPr>
          <w:p>
            <w:pPr>
              <w:spacing w:after="0"/>
              <w:rPr>
                <w:sz w:val="20"/>
                <w:szCs w:val="20"/>
                <w:color w:val="auto"/>
              </w:rPr>
            </w:pPr>
            <w:r>
              <w:rPr>
                <w:rFonts w:ascii="Arial" w:cs="Arial" w:eastAsia="Arial" w:hAnsi="Arial"/>
                <w:sz w:val="18"/>
                <w:szCs w:val="18"/>
                <w:color w:val="auto"/>
                <w:w w:val="95"/>
              </w:rPr>
              <w:t>9451 Schaumburg, IL</w:t>
            </w:r>
          </w:p>
        </w:tc>
        <w:tc>
          <w:tcPr>
            <w:tcW w:w="1900" w:type="dxa"/>
            <w:vAlign w:val="bottom"/>
          </w:tcPr>
          <w:p>
            <w:pPr>
              <w:ind w:left="100"/>
              <w:spacing w:after="0"/>
              <w:rPr>
                <w:sz w:val="20"/>
                <w:szCs w:val="20"/>
                <w:color w:val="auto"/>
              </w:rPr>
            </w:pPr>
            <w:r>
              <w:rPr>
                <w:rFonts w:ascii="Arial" w:cs="Arial" w:eastAsia="Arial" w:hAnsi="Arial"/>
                <w:sz w:val="15"/>
                <w:szCs w:val="15"/>
                <w:b w:val="1"/>
                <w:bCs w:val="1"/>
                <w:color w:val="auto"/>
              </w:rPr>
              <w:t>DXL</w:t>
            </w:r>
          </w:p>
        </w:tc>
        <w:tc>
          <w:tcPr>
            <w:tcW w:w="1740" w:type="dxa"/>
            <w:vAlign w:val="bottom"/>
            <w:vMerge w:val="restart"/>
          </w:tcPr>
          <w:p>
            <w:pPr>
              <w:jc w:val="center"/>
              <w:ind w:left="632"/>
              <w:spacing w:after="0"/>
              <w:rPr>
                <w:sz w:val="20"/>
                <w:szCs w:val="20"/>
                <w:color w:val="auto"/>
              </w:rPr>
            </w:pPr>
            <w:r>
              <w:rPr>
                <w:rFonts w:ascii="Arial" w:cs="Arial" w:eastAsia="Arial" w:hAnsi="Arial"/>
                <w:sz w:val="18"/>
                <w:szCs w:val="18"/>
                <w:color w:val="auto"/>
                <w:w w:val="92"/>
              </w:rPr>
              <w:t>9183 Niles, IL</w:t>
            </w:r>
          </w:p>
        </w:tc>
        <w:tc>
          <w:tcPr>
            <w:tcW w:w="0" w:type="dxa"/>
            <w:vAlign w:val="bottom"/>
          </w:tcPr>
          <w:p>
            <w:pPr>
              <w:spacing w:after="0"/>
              <w:rPr>
                <w:sz w:val="1"/>
                <w:szCs w:val="1"/>
                <w:color w:val="auto"/>
              </w:rPr>
            </w:pPr>
          </w:p>
        </w:tc>
      </w:tr>
      <w:tr>
        <w:trPr>
          <w:trHeight w:val="124"/>
        </w:trPr>
        <w:tc>
          <w:tcPr>
            <w:tcW w:w="1660" w:type="dxa"/>
            <w:vAlign w:val="bottom"/>
            <w:vMerge w:val="continue"/>
          </w:tcPr>
          <w:p>
            <w:pPr>
              <w:spacing w:after="0"/>
              <w:rPr>
                <w:sz w:val="10"/>
                <w:szCs w:val="10"/>
                <w:color w:val="auto"/>
              </w:rPr>
            </w:pPr>
          </w:p>
        </w:tc>
        <w:tc>
          <w:tcPr>
            <w:tcW w:w="190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Schaumburg, IL</w:t>
            </w: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1740" w:type="dxa"/>
            <w:vAlign w:val="bottom"/>
          </w:tcPr>
          <w:p>
            <w:pPr>
              <w:jc w:val="center"/>
              <w:ind w:left="632"/>
              <w:spacing w:after="0"/>
              <w:rPr>
                <w:sz w:val="20"/>
                <w:szCs w:val="20"/>
                <w:color w:val="auto"/>
              </w:rPr>
            </w:pPr>
            <w:r>
              <w:rPr>
                <w:rFonts w:ascii="Arial" w:cs="Arial" w:eastAsia="Arial" w:hAnsi="Arial"/>
                <w:sz w:val="18"/>
                <w:szCs w:val="18"/>
                <w:color w:val="auto"/>
                <w:w w:val="90"/>
              </w:rPr>
              <w:t>11.4 miles</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100"/>
        <w:spacing w:after="0"/>
        <w:rPr>
          <w:sz w:val="20"/>
          <w:szCs w:val="20"/>
          <w:color w:val="auto"/>
        </w:rPr>
      </w:pPr>
      <w:r>
        <w:rPr>
          <w:rFonts w:ascii="Arial" w:cs="Arial" w:eastAsia="Arial" w:hAnsi="Arial"/>
          <w:sz w:val="15"/>
          <w:szCs w:val="15"/>
          <w:b w:val="1"/>
          <w:bCs w:val="1"/>
          <w:color w:val="auto"/>
        </w:rPr>
        <w:t>0.9 miles</w:t>
      </w:r>
    </w:p>
    <w:p>
      <w:pPr>
        <w:spacing w:after="0" w:line="200" w:lineRule="exact"/>
        <w:rPr>
          <w:sz w:val="20"/>
          <w:szCs w:val="20"/>
          <w:color w:val="auto"/>
        </w:rPr>
      </w:pPr>
    </w:p>
    <w:p>
      <w:pPr>
        <w:spacing w:after="0" w:line="325" w:lineRule="exact"/>
        <w:rPr>
          <w:sz w:val="20"/>
          <w:szCs w:val="20"/>
          <w:color w:val="auto"/>
        </w:rPr>
      </w:pPr>
    </w:p>
    <w:p>
      <w:pPr>
        <w:ind w:left="840"/>
        <w:spacing w:after="0"/>
        <w:rPr>
          <w:sz w:val="20"/>
          <w:szCs w:val="20"/>
          <w:color w:val="auto"/>
        </w:rPr>
      </w:pPr>
      <w:r>
        <w:rPr>
          <w:rFonts w:ascii="Arial" w:cs="Arial" w:eastAsia="Arial" w:hAnsi="Arial"/>
          <w:sz w:val="94"/>
          <w:szCs w:val="94"/>
          <w:b w:val="1"/>
          <w:bCs w:val="1"/>
          <w:color w:val="auto"/>
        </w:rPr>
        <w:t>Chicago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9512 Bloomingdale, IL</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11.2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28"/>
          <w:szCs w:val="28"/>
          <w:color w:val="auto"/>
        </w:rPr>
        <w:t>Customers are willing to drive up to 20 miles</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11</w:t>
      </w:r>
    </w:p>
    <w:p>
      <w:pPr>
        <w:sectPr>
          <w:pgSz w:w="11900" w:h="16838" w:orient="portrait"/>
          <w:cols w:equalWidth="0" w:num="1">
            <w:col w:w="9960"/>
          </w:cols>
          <w:pgMar w:left="1040" w:top="1052" w:right="899" w:bottom="1440" w:gutter="0" w:footer="0" w:header="0"/>
        </w:sectPr>
      </w:pPr>
    </w:p>
    <w:bookmarkStart w:id="14" w:name="page15"/>
    <w:bookmarkEnd w:id="14"/>
    <w:p>
      <w:pPr>
        <w:spacing w:after="0"/>
        <w:rPr>
          <w:sz w:val="20"/>
          <w:szCs w:val="20"/>
          <w:color w:val="auto"/>
        </w:rPr>
      </w:pPr>
      <w:r>
        <w:rPr>
          <w:rFonts w:ascii="Arial" w:cs="Arial" w:eastAsia="Arial" w:hAnsi="Arial"/>
          <w:sz w:val="54"/>
          <w:szCs w:val="54"/>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 xml:space="preserve">Casual Male XL vs. DestinationXL  </w:t>
      </w:r>
      <w:r>
        <w:rPr>
          <w:rFonts w:ascii="Arial" w:cs="Arial" w:eastAsia="Arial" w:hAnsi="Arial"/>
          <w:sz w:val="66"/>
          <w:szCs w:val="66"/>
          <w:b w:val="1"/>
          <w:bCs w:val="1"/>
          <w:color w:val="5F5F5F"/>
          <w:vertAlign w:val="superscript"/>
        </w:rPr>
        <w:t>®</w:t>
      </w:r>
    </w:p>
    <w:p>
      <w:pPr>
        <w:sectPr>
          <w:pgSz w:w="11900" w:h="16838" w:orient="portrait"/>
          <w:cols w:equalWidth="0" w:num="1">
            <w:col w:w="10100"/>
          </w:cols>
          <w:pgMar w:left="900" w:top="1077"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0"/>
        <w:spacing w:after="0"/>
        <w:rPr>
          <w:sz w:val="20"/>
          <w:szCs w:val="20"/>
          <w:color w:val="auto"/>
        </w:rPr>
      </w:pPr>
      <w:r>
        <w:rPr>
          <w:rFonts w:ascii="Arial" w:cs="Arial" w:eastAsia="Arial" w:hAnsi="Arial"/>
          <w:sz w:val="28"/>
          <w:szCs w:val="28"/>
          <w:color w:val="auto"/>
        </w:rPr>
        <w:t>Average</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28"/>
          <w:szCs w:val="28"/>
          <w:b w:val="1"/>
          <w:bCs w:val="1"/>
          <w:color w:val="558ED5"/>
        </w:rPr>
        <w:t>Store size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558ED5"/>
        </w:rPr>
        <w:t>Sales per sq. ft.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558ED5"/>
        </w:rPr>
        <w:t>Build out costs</w:t>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27"/>
          <w:szCs w:val="27"/>
          <w:b w:val="1"/>
          <w:bCs w:val="1"/>
          <w:color w:val="558ED5"/>
        </w:rPr>
        <w:t>Occupancy costs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558ED5"/>
        </w:rPr>
        <w:t>Dollars per</w:t>
      </w:r>
    </w:p>
    <w:p>
      <w:pPr>
        <w:spacing w:after="0" w:line="45"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558ED5"/>
        </w:rPr>
        <w:t>transaction</w:t>
      </w:r>
    </w:p>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28"/>
          <w:szCs w:val="28"/>
          <w:b w:val="1"/>
          <w:bCs w:val="1"/>
          <w:color w:val="558ED5"/>
        </w:rPr>
        <w:t>Style choices</w:t>
      </w: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558ED5"/>
        </w:rPr>
        <w:t>Private label brands</w:t>
      </w:r>
    </w:p>
    <w:p>
      <w:pPr>
        <w:spacing w:after="0" w:line="277" w:lineRule="exact"/>
        <w:rPr>
          <w:sz w:val="20"/>
          <w:szCs w:val="20"/>
          <w:color w:val="auto"/>
        </w:rPr>
      </w:pPr>
    </w:p>
    <w:p>
      <w:pPr>
        <w:jc w:val="center"/>
        <w:ind w:right="160"/>
        <w:spacing w:after="0"/>
        <w:rPr>
          <w:sz w:val="20"/>
          <w:szCs w:val="20"/>
          <w:color w:val="auto"/>
        </w:rPr>
      </w:pPr>
      <w:r>
        <w:rPr>
          <w:rFonts w:ascii="Arial" w:cs="Arial" w:eastAsia="Arial" w:hAnsi="Arial"/>
          <w:sz w:val="28"/>
          <w:szCs w:val="28"/>
          <w:b w:val="1"/>
          <w:bCs w:val="1"/>
          <w:color w:val="558ED5"/>
        </w:rPr>
        <w:t>Name brands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9"/>
        </w:trPr>
        <w:tc>
          <w:tcPr>
            <w:tcW w:w="1760" w:type="dxa"/>
            <w:vAlign w:val="bottom"/>
          </w:tcPr>
          <w:p>
            <w:pPr>
              <w:jc w:val="center"/>
              <w:ind w:right="279"/>
              <w:spacing w:after="0"/>
              <w:rPr>
                <w:sz w:val="20"/>
                <w:szCs w:val="20"/>
                <w:color w:val="auto"/>
              </w:rPr>
            </w:pPr>
            <w:r>
              <w:rPr>
                <w:rFonts w:ascii="Arial" w:cs="Arial" w:eastAsia="Arial" w:hAnsi="Arial"/>
                <w:sz w:val="28"/>
                <w:szCs w:val="28"/>
                <w:color w:val="auto"/>
                <w:w w:val="91"/>
              </w:rPr>
              <w:t>3,400 sq. ft.</w:t>
            </w:r>
          </w:p>
        </w:tc>
        <w:tc>
          <w:tcPr>
            <w:tcW w:w="2780" w:type="dxa"/>
            <w:vAlign w:val="bottom"/>
          </w:tcPr>
          <w:p>
            <w:pPr>
              <w:ind w:left="880"/>
              <w:spacing w:after="0"/>
              <w:rPr>
                <w:sz w:val="20"/>
                <w:szCs w:val="20"/>
                <w:color w:val="auto"/>
              </w:rPr>
            </w:pPr>
            <w:r>
              <w:rPr>
                <w:rFonts w:ascii="Arial" w:cs="Arial" w:eastAsia="Arial" w:hAnsi="Arial"/>
                <w:sz w:val="28"/>
                <w:szCs w:val="28"/>
                <w:color w:val="auto"/>
              </w:rPr>
              <w:t>8,000 sq. ft.</w:t>
            </w:r>
          </w:p>
        </w:tc>
      </w:tr>
      <w:tr>
        <w:trPr>
          <w:trHeight w:val="576"/>
        </w:trPr>
        <w:tc>
          <w:tcPr>
            <w:tcW w:w="1760" w:type="dxa"/>
            <w:vAlign w:val="bottom"/>
          </w:tcPr>
          <w:p>
            <w:pPr>
              <w:jc w:val="center"/>
              <w:ind w:right="299"/>
              <w:spacing w:after="0"/>
              <w:rPr>
                <w:sz w:val="20"/>
                <w:szCs w:val="20"/>
                <w:color w:val="auto"/>
              </w:rPr>
            </w:pPr>
            <w:r>
              <w:rPr>
                <w:rFonts w:ascii="Arial" w:cs="Arial" w:eastAsia="Arial" w:hAnsi="Arial"/>
                <w:sz w:val="28"/>
                <w:szCs w:val="28"/>
                <w:color w:val="auto"/>
                <w:w w:val="89"/>
              </w:rPr>
              <w:t>$166</w:t>
            </w:r>
          </w:p>
        </w:tc>
        <w:tc>
          <w:tcPr>
            <w:tcW w:w="2780" w:type="dxa"/>
            <w:vAlign w:val="bottom"/>
          </w:tcPr>
          <w:p>
            <w:pPr>
              <w:ind w:left="420"/>
              <w:spacing w:after="0"/>
              <w:rPr>
                <w:sz w:val="20"/>
                <w:szCs w:val="20"/>
                <w:color w:val="auto"/>
              </w:rPr>
            </w:pPr>
            <w:r>
              <w:rPr>
                <w:rFonts w:ascii="Arial" w:cs="Arial" w:eastAsia="Arial" w:hAnsi="Arial"/>
                <w:sz w:val="28"/>
                <w:szCs w:val="28"/>
                <w:color w:val="auto"/>
                <w:w w:val="90"/>
              </w:rPr>
              <w:t xml:space="preserve">$175 </w:t>
            </w:r>
            <w:r>
              <w:rPr>
                <w:rFonts w:ascii="Arial" w:cs="Arial" w:eastAsia="Arial" w:hAnsi="Arial"/>
                <w:sz w:val="28"/>
                <w:szCs w:val="28"/>
                <w:i w:val="1"/>
                <w:iCs w:val="1"/>
                <w:color w:val="auto"/>
                <w:w w:val="90"/>
              </w:rPr>
              <w:t>($229 by 2016)</w:t>
            </w:r>
          </w:p>
        </w:tc>
      </w:tr>
      <w:tr>
        <w:trPr>
          <w:trHeight w:val="564"/>
        </w:trPr>
        <w:tc>
          <w:tcPr>
            <w:tcW w:w="1760" w:type="dxa"/>
            <w:vAlign w:val="bottom"/>
          </w:tcPr>
          <w:p>
            <w:pPr>
              <w:jc w:val="center"/>
              <w:ind w:right="319"/>
              <w:spacing w:after="0"/>
              <w:rPr>
                <w:sz w:val="20"/>
                <w:szCs w:val="20"/>
                <w:color w:val="auto"/>
              </w:rPr>
            </w:pPr>
            <w:r>
              <w:rPr>
                <w:rFonts w:ascii="Arial" w:cs="Arial" w:eastAsia="Arial" w:hAnsi="Arial"/>
                <w:sz w:val="28"/>
                <w:szCs w:val="28"/>
                <w:color w:val="auto"/>
                <w:w w:val="89"/>
              </w:rPr>
              <w:t>$50</w:t>
            </w:r>
          </w:p>
        </w:tc>
        <w:tc>
          <w:tcPr>
            <w:tcW w:w="2780" w:type="dxa"/>
            <w:vAlign w:val="bottom"/>
          </w:tcPr>
          <w:p>
            <w:pPr>
              <w:jc w:val="center"/>
              <w:ind w:left="139"/>
              <w:spacing w:after="0"/>
              <w:rPr>
                <w:sz w:val="20"/>
                <w:szCs w:val="20"/>
                <w:color w:val="auto"/>
              </w:rPr>
            </w:pPr>
            <w:r>
              <w:rPr>
                <w:rFonts w:ascii="Arial" w:cs="Arial" w:eastAsia="Arial" w:hAnsi="Arial"/>
                <w:sz w:val="28"/>
                <w:szCs w:val="28"/>
                <w:color w:val="auto"/>
                <w:w w:val="89"/>
              </w:rPr>
              <w:t>$70</w:t>
            </w:r>
          </w:p>
        </w:tc>
      </w:tr>
      <w:tr>
        <w:trPr>
          <w:trHeight w:val="564"/>
        </w:trPr>
        <w:tc>
          <w:tcPr>
            <w:tcW w:w="1760" w:type="dxa"/>
            <w:vAlign w:val="bottom"/>
          </w:tcPr>
          <w:p>
            <w:pPr>
              <w:jc w:val="center"/>
              <w:ind w:right="319"/>
              <w:spacing w:after="0"/>
              <w:rPr>
                <w:sz w:val="20"/>
                <w:szCs w:val="20"/>
                <w:color w:val="auto"/>
              </w:rPr>
            </w:pPr>
            <w:r>
              <w:rPr>
                <w:rFonts w:ascii="Arial" w:cs="Arial" w:eastAsia="Arial" w:hAnsi="Arial"/>
                <w:sz w:val="28"/>
                <w:szCs w:val="28"/>
                <w:color w:val="auto"/>
                <w:w w:val="89"/>
              </w:rPr>
              <w:t>$30</w:t>
            </w:r>
          </w:p>
        </w:tc>
        <w:tc>
          <w:tcPr>
            <w:tcW w:w="2780" w:type="dxa"/>
            <w:vAlign w:val="bottom"/>
          </w:tcPr>
          <w:p>
            <w:pPr>
              <w:jc w:val="center"/>
              <w:ind w:left="139"/>
              <w:spacing w:after="0"/>
              <w:rPr>
                <w:sz w:val="20"/>
                <w:szCs w:val="20"/>
                <w:color w:val="auto"/>
              </w:rPr>
            </w:pPr>
            <w:r>
              <w:rPr>
                <w:rFonts w:ascii="Arial" w:cs="Arial" w:eastAsia="Arial" w:hAnsi="Arial"/>
                <w:sz w:val="28"/>
                <w:szCs w:val="28"/>
                <w:color w:val="auto"/>
                <w:w w:val="89"/>
              </w:rPr>
              <w:t>$30</w:t>
            </w:r>
          </w:p>
        </w:tc>
      </w:tr>
      <w:tr>
        <w:trPr>
          <w:trHeight w:val="682"/>
        </w:trPr>
        <w:tc>
          <w:tcPr>
            <w:tcW w:w="1760" w:type="dxa"/>
            <w:vAlign w:val="bottom"/>
          </w:tcPr>
          <w:p>
            <w:pPr>
              <w:jc w:val="center"/>
              <w:ind w:right="299"/>
              <w:spacing w:after="0"/>
              <w:rPr>
                <w:sz w:val="20"/>
                <w:szCs w:val="20"/>
                <w:color w:val="auto"/>
              </w:rPr>
            </w:pPr>
            <w:r>
              <w:rPr>
                <w:rFonts w:ascii="Arial" w:cs="Arial" w:eastAsia="Arial" w:hAnsi="Arial"/>
                <w:sz w:val="28"/>
                <w:szCs w:val="28"/>
                <w:color w:val="auto"/>
                <w:w w:val="89"/>
              </w:rPr>
              <w:t>$101</w:t>
            </w:r>
          </w:p>
        </w:tc>
        <w:tc>
          <w:tcPr>
            <w:tcW w:w="2780" w:type="dxa"/>
            <w:vAlign w:val="bottom"/>
          </w:tcPr>
          <w:p>
            <w:pPr>
              <w:jc w:val="right"/>
              <w:ind w:right="819"/>
              <w:spacing w:after="0"/>
              <w:rPr>
                <w:sz w:val="20"/>
                <w:szCs w:val="20"/>
                <w:color w:val="auto"/>
              </w:rPr>
            </w:pPr>
            <w:r>
              <w:rPr>
                <w:rFonts w:ascii="Arial" w:cs="Arial" w:eastAsia="Arial" w:hAnsi="Arial"/>
                <w:sz w:val="28"/>
                <w:szCs w:val="28"/>
                <w:color w:val="auto"/>
              </w:rPr>
              <w:t>$142</w:t>
            </w:r>
          </w:p>
        </w:tc>
      </w:tr>
      <w:tr>
        <w:trPr>
          <w:trHeight w:val="682"/>
        </w:trPr>
        <w:tc>
          <w:tcPr>
            <w:tcW w:w="1760" w:type="dxa"/>
            <w:vAlign w:val="bottom"/>
          </w:tcPr>
          <w:p>
            <w:pPr>
              <w:jc w:val="center"/>
              <w:ind w:right="319"/>
              <w:spacing w:after="0"/>
              <w:rPr>
                <w:sz w:val="20"/>
                <w:szCs w:val="20"/>
                <w:color w:val="auto"/>
              </w:rPr>
            </w:pPr>
            <w:r>
              <w:rPr>
                <w:rFonts w:ascii="Arial" w:cs="Arial" w:eastAsia="Arial" w:hAnsi="Arial"/>
                <w:sz w:val="28"/>
                <w:szCs w:val="28"/>
                <w:color w:val="auto"/>
                <w:w w:val="89"/>
              </w:rPr>
              <w:t>600</w:t>
            </w:r>
          </w:p>
        </w:tc>
        <w:tc>
          <w:tcPr>
            <w:tcW w:w="2780" w:type="dxa"/>
            <w:vAlign w:val="bottom"/>
          </w:tcPr>
          <w:p>
            <w:pPr>
              <w:jc w:val="right"/>
              <w:ind w:right="779"/>
              <w:spacing w:after="0"/>
              <w:rPr>
                <w:sz w:val="20"/>
                <w:szCs w:val="20"/>
                <w:color w:val="auto"/>
              </w:rPr>
            </w:pPr>
            <w:r>
              <w:rPr>
                <w:rFonts w:ascii="Arial" w:cs="Arial" w:eastAsia="Arial" w:hAnsi="Arial"/>
                <w:sz w:val="28"/>
                <w:szCs w:val="28"/>
                <w:color w:val="auto"/>
              </w:rPr>
              <w:t>2,000</w:t>
            </w:r>
          </w:p>
        </w:tc>
      </w:tr>
      <w:tr>
        <w:trPr>
          <w:trHeight w:val="564"/>
        </w:trPr>
        <w:tc>
          <w:tcPr>
            <w:tcW w:w="1760" w:type="dxa"/>
            <w:vAlign w:val="bottom"/>
          </w:tcPr>
          <w:p>
            <w:pPr>
              <w:jc w:val="center"/>
              <w:ind w:right="339"/>
              <w:spacing w:after="0"/>
              <w:rPr>
                <w:sz w:val="20"/>
                <w:szCs w:val="20"/>
                <w:color w:val="auto"/>
              </w:rPr>
            </w:pPr>
            <w:r>
              <w:rPr>
                <w:rFonts w:ascii="Arial" w:cs="Arial" w:eastAsia="Arial" w:hAnsi="Arial"/>
                <w:sz w:val="28"/>
                <w:szCs w:val="28"/>
                <w:color w:val="auto"/>
                <w:w w:val="89"/>
              </w:rPr>
              <w:t>10</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89"/>
              </w:rPr>
              <w:t>15</w:t>
            </w:r>
          </w:p>
        </w:tc>
      </w:tr>
      <w:tr>
        <w:trPr>
          <w:trHeight w:val="564"/>
        </w:trPr>
        <w:tc>
          <w:tcPr>
            <w:tcW w:w="1760" w:type="dxa"/>
            <w:vAlign w:val="bottom"/>
          </w:tcPr>
          <w:p>
            <w:pPr>
              <w:jc w:val="center"/>
              <w:ind w:right="359"/>
              <w:spacing w:after="0"/>
              <w:rPr>
                <w:sz w:val="20"/>
                <w:szCs w:val="20"/>
                <w:color w:val="auto"/>
              </w:rPr>
            </w:pPr>
            <w:r>
              <w:rPr>
                <w:rFonts w:ascii="Arial" w:cs="Arial" w:eastAsia="Arial" w:hAnsi="Arial"/>
                <w:sz w:val="28"/>
                <w:szCs w:val="28"/>
                <w:color w:val="auto"/>
                <w:w w:val="89"/>
              </w:rPr>
              <w:t>8</w:t>
            </w:r>
          </w:p>
        </w:tc>
        <w:tc>
          <w:tcPr>
            <w:tcW w:w="2780" w:type="dxa"/>
            <w:vAlign w:val="bottom"/>
          </w:tcPr>
          <w:p>
            <w:pPr>
              <w:jc w:val="center"/>
              <w:ind w:left="119"/>
              <w:spacing w:after="0"/>
              <w:rPr>
                <w:sz w:val="20"/>
                <w:szCs w:val="20"/>
                <w:color w:val="auto"/>
              </w:rPr>
            </w:pPr>
            <w:r>
              <w:rPr>
                <w:rFonts w:ascii="Arial" w:cs="Arial" w:eastAsia="Arial" w:hAnsi="Arial"/>
                <w:sz w:val="28"/>
                <w:szCs w:val="28"/>
                <w:color w:val="auto"/>
                <w:w w:val="89"/>
              </w:rPr>
              <w:t>30</w:t>
            </w:r>
          </w:p>
        </w:tc>
      </w:tr>
    </w:tbl>
    <w:p>
      <w:pPr>
        <w:spacing w:after="0" w:line="200" w:lineRule="exact"/>
        <w:rPr>
          <w:sz w:val="20"/>
          <w:szCs w:val="20"/>
          <w:color w:val="auto"/>
        </w:rPr>
      </w:pPr>
    </w:p>
    <w:p>
      <w:pPr>
        <w:sectPr>
          <w:pgSz w:w="11900" w:h="16838" w:orient="portrait"/>
          <w:cols w:equalWidth="0" w:num="2">
            <w:col w:w="2680" w:space="720"/>
            <w:col w:w="6700"/>
          </w:cols>
          <w:pgMar w:left="900" w:top="1077" w:right="899" w:bottom="1440" w:gutter="0" w:footer="0" w:header="0"/>
          <w:type w:val="continuous"/>
        </w:sectPr>
      </w:pPr>
    </w:p>
    <w:p>
      <w:pPr>
        <w:spacing w:after="0" w:line="75" w:lineRule="exact"/>
        <w:rPr>
          <w:sz w:val="20"/>
          <w:szCs w:val="20"/>
          <w:color w:val="auto"/>
        </w:rPr>
      </w:pPr>
    </w:p>
    <w:p>
      <w:pPr>
        <w:ind w:left="9900"/>
        <w:spacing w:after="0"/>
        <w:rPr>
          <w:sz w:val="20"/>
          <w:szCs w:val="20"/>
          <w:color w:val="auto"/>
        </w:rPr>
      </w:pPr>
      <w:r>
        <w:rPr>
          <w:rFonts w:ascii="Arial" w:cs="Arial" w:eastAsia="Arial" w:hAnsi="Arial"/>
          <w:sz w:val="17"/>
          <w:szCs w:val="17"/>
          <w:color w:val="898989"/>
        </w:rPr>
        <w:t>12</w:t>
      </w:r>
    </w:p>
    <w:p>
      <w:pPr>
        <w:sectPr>
          <w:pgSz w:w="11900" w:h="16838" w:orient="portrait"/>
          <w:cols w:equalWidth="0" w:num="1">
            <w:col w:w="10100"/>
          </w:cols>
          <w:pgMar w:left="900" w:top="1077" w:right="8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Large Selection of Name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13</w:t>
      </w:r>
    </w:p>
    <w:p>
      <w:pPr>
        <w:sectPr>
          <w:pgSz w:w="11900" w:h="16838" w:orient="portrait"/>
          <w:cols w:equalWidth="0" w:num="1">
            <w:col w:w="9960"/>
          </w:cols>
          <w:pgMar w:left="1040" w:top="1052" w:right="89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271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27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14</w:t>
      </w:r>
    </w:p>
    <w:p>
      <w:pPr>
        <w:sectPr>
          <w:pgSz w:w="11900" w:h="16838" w:orient="portrait"/>
          <w:cols w:equalWidth="0" w:num="1">
            <w:col w:w="9460"/>
          </w:cols>
          <w:pgMar w:left="1440" w:top="1440" w:right="9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360"/>
        <w:spacing w:after="0"/>
        <w:rPr>
          <w:sz w:val="20"/>
          <w:szCs w:val="20"/>
          <w:color w:val="auto"/>
        </w:rPr>
      </w:pPr>
      <w:r>
        <w:rPr>
          <w:rFonts w:ascii="Arial" w:cs="Arial" w:eastAsia="Arial" w:hAnsi="Arial"/>
          <w:sz w:val="17"/>
          <w:szCs w:val="17"/>
          <w:color w:val="898989"/>
        </w:rPr>
        <w:t>15</w:t>
      </w:r>
    </w:p>
    <w:p>
      <w:pPr>
        <w:sectPr>
          <w:pgSz w:w="11900" w:h="16838" w:orient="portrait"/>
          <w:cols w:equalWidth="0" w:num="1">
            <w:col w:w="9560"/>
          </w:cols>
          <w:pgMar w:left="1440" w:top="1440" w:right="8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211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21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16</w:t>
      </w:r>
    </w:p>
    <w:p>
      <w:pPr>
        <w:sectPr>
          <w:pgSz w:w="11900" w:h="16838" w:orient="portrait"/>
          <w:cols w:equalWidth="0" w:num="1">
            <w:col w:w="9460"/>
          </w:cols>
          <w:pgMar w:left="1440" w:top="1440" w:right="9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96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19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17</w:t>
      </w:r>
    </w:p>
    <w:p>
      <w:pPr>
        <w:sectPr>
          <w:pgSz w:w="11900" w:h="16838" w:orient="portrait"/>
          <w:cols w:equalWidth="0" w:num="1">
            <w:col w:w="9460"/>
          </w:cols>
          <w:pgMar w:left="1440" w:top="1440" w:right="9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271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27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18</w:t>
      </w:r>
    </w:p>
    <w:p>
      <w:pPr>
        <w:sectPr>
          <w:pgSz w:w="11900" w:h="16838" w:orient="portrait"/>
          <w:cols w:equalWidth="0" w:num="1">
            <w:col w:w="9460"/>
          </w:cols>
          <w:pgMar w:left="1440" w:top="1440" w:right="9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96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19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60"/>
        <w:spacing w:after="0"/>
        <w:rPr>
          <w:sz w:val="20"/>
          <w:szCs w:val="20"/>
          <w:color w:val="auto"/>
        </w:rPr>
      </w:pPr>
      <w:r>
        <w:rPr>
          <w:rFonts w:ascii="Arial" w:cs="Arial" w:eastAsia="Arial" w:hAnsi="Arial"/>
          <w:sz w:val="17"/>
          <w:szCs w:val="17"/>
          <w:color w:val="898989"/>
        </w:rPr>
        <w:t>19</w:t>
      </w:r>
    </w:p>
    <w:p>
      <w:pPr>
        <w:sectPr>
          <w:pgSz w:w="11900" w:h="16838" w:orient="portrait"/>
          <w:cols w:equalWidth="0" w:num="1">
            <w:col w:w="9460"/>
          </w:cols>
          <w:pgMar w:left="1440" w:top="1440" w:right="999" w:bottom="1440" w:gutter="0" w:footer="0" w:header="0"/>
        </w:sectPr>
      </w:pPr>
    </w:p>
    <w:bookmarkStart w:id="22" w:name="page23"/>
    <w:bookmarkEnd w:id="22"/>
    <w:p>
      <w:pPr>
        <w:ind w:left="100"/>
        <w:spacing w:after="0"/>
        <w:rPr>
          <w:sz w:val="20"/>
          <w:szCs w:val="20"/>
          <w:color w:val="auto"/>
        </w:rPr>
      </w:pPr>
      <w:r>
        <w:rPr>
          <w:rFonts w:ascii="Arial" w:cs="Arial" w:eastAsia="Arial" w:hAnsi="Arial"/>
          <w:sz w:val="51"/>
          <w:szCs w:val="51"/>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Comps Reflect Growth Opportunity</w:t>
      </w:r>
    </w:p>
    <w:p>
      <w:pPr>
        <w:sectPr>
          <w:pgSz w:w="11900" w:h="16838" w:orient="portrait"/>
          <w:cols w:equalWidth="0" w:num="1">
            <w:col w:w="10240"/>
          </w:cols>
          <w:pgMar w:left="760" w:top="1088"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697D88"/>
        </w:rPr>
        <w:t>20.0%</w:t>
      </w:r>
    </w:p>
    <w:p>
      <w:pPr>
        <w:spacing w:after="0" w:line="200" w:lineRule="exact"/>
        <w:rPr>
          <w:sz w:val="20"/>
          <w:szCs w:val="20"/>
          <w:color w:val="auto"/>
        </w:rPr>
      </w:pPr>
    </w:p>
    <w:p>
      <w:pPr>
        <w:spacing w:after="0" w:line="276" w:lineRule="exact"/>
        <w:rPr>
          <w:sz w:val="20"/>
          <w:szCs w:val="20"/>
          <w:color w:val="auto"/>
        </w:rPr>
      </w:pPr>
    </w:p>
    <w:p>
      <w:pPr>
        <w:ind w:left="1460" w:hanging="246"/>
        <w:spacing w:after="0"/>
        <w:tabs>
          <w:tab w:leader="none" w:pos="1460" w:val="left"/>
        </w:tabs>
        <w:numPr>
          <w:ilvl w:val="0"/>
          <w:numId w:val="4"/>
        </w:numPr>
        <w:rPr>
          <w:rFonts w:ascii="Arial" w:cs="Arial" w:eastAsia="Arial" w:hAnsi="Arial"/>
          <w:sz w:val="18"/>
          <w:szCs w:val="18"/>
          <w:b w:val="1"/>
          <w:bCs w:val="1"/>
          <w:color w:val="697D88"/>
        </w:rPr>
      </w:pPr>
      <w:r>
        <w:rPr>
          <w:rFonts w:ascii="Arial" w:cs="Arial" w:eastAsia="Arial" w:hAnsi="Arial"/>
          <w:sz w:val="18"/>
          <w:szCs w:val="18"/>
          <w:b w:val="1"/>
          <w:bCs w:val="1"/>
          <w:color w:val="697D88"/>
        </w:rPr>
        <w:t>stores</w:t>
      </w:r>
    </w:p>
    <w:p>
      <w:pPr>
        <w:spacing w:after="0" w:line="26" w:lineRule="exact"/>
        <w:rPr>
          <w:rFonts w:ascii="Arial" w:cs="Arial" w:eastAsia="Arial" w:hAnsi="Arial"/>
          <w:sz w:val="18"/>
          <w:szCs w:val="18"/>
          <w:b w:val="1"/>
          <w:bCs w:val="1"/>
          <w:color w:val="697D88"/>
        </w:rPr>
      </w:pPr>
    </w:p>
    <w:p>
      <w:pPr>
        <w:ind w:left="480"/>
        <w:spacing w:after="0"/>
        <w:rPr>
          <w:rFonts w:ascii="Arial" w:cs="Arial" w:eastAsia="Arial" w:hAnsi="Arial"/>
          <w:sz w:val="18"/>
          <w:szCs w:val="18"/>
          <w:b w:val="1"/>
          <w:bCs w:val="1"/>
          <w:color w:val="697D88"/>
        </w:rPr>
      </w:pPr>
      <w:r>
        <w:rPr>
          <w:rFonts w:ascii="Arial" w:cs="Arial" w:eastAsia="Arial" w:hAnsi="Arial"/>
          <w:sz w:val="19"/>
          <w:szCs w:val="19"/>
          <w:b w:val="1"/>
          <w:bCs w:val="1"/>
          <w:color w:val="697D88"/>
        </w:rPr>
        <w:t xml:space="preserve">15.0%   </w:t>
      </w:r>
      <w:r>
        <w:rPr>
          <w:rFonts w:ascii="Arial" w:cs="Arial" w:eastAsia="Arial" w:hAnsi="Arial"/>
          <w:sz w:val="37"/>
          <w:szCs w:val="37"/>
          <w:b w:val="1"/>
          <w:bCs w:val="1"/>
          <w:color w:val="697D88"/>
          <w:vertAlign w:val="superscript"/>
        </w:rPr>
        <w:t>14.5%</w:t>
      </w:r>
    </w:p>
    <w:p>
      <w:pPr>
        <w:spacing w:after="0" w:line="200" w:lineRule="exact"/>
        <w:rPr>
          <w:sz w:val="20"/>
          <w:szCs w:val="20"/>
          <w:color w:val="auto"/>
        </w:rPr>
      </w:pPr>
    </w:p>
    <w:p>
      <w:pPr>
        <w:spacing w:after="0" w:line="38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697D88"/>
        </w:rPr>
        <w:t>10.0%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697D88"/>
        </w:rPr>
        <w:t>5.0%</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697D88"/>
        </w:rPr>
        <w:t>0.7%</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697D88"/>
        </w:rPr>
        <w:t>0.0%</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9"/>
          <w:szCs w:val="19"/>
          <w:b w:val="1"/>
          <w:bCs w:val="1"/>
          <w:color w:val="697D88"/>
        </w:rPr>
        <w:t>Q3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82"/>
        <w:spacing w:after="0"/>
        <w:rPr>
          <w:sz w:val="20"/>
          <w:szCs w:val="20"/>
          <w:color w:val="auto"/>
        </w:rPr>
      </w:pPr>
      <w:r>
        <w:rPr>
          <w:rFonts w:ascii="Arial" w:cs="Arial" w:eastAsia="Arial" w:hAnsi="Arial"/>
          <w:sz w:val="19"/>
          <w:szCs w:val="19"/>
          <w:b w:val="1"/>
          <w:bCs w:val="1"/>
          <w:color w:val="697D88"/>
        </w:rPr>
        <w:t>29 stores</w:t>
      </w:r>
    </w:p>
    <w:p>
      <w:pPr>
        <w:ind w:left="2342"/>
        <w:spacing w:after="0" w:line="182" w:lineRule="auto"/>
        <w:tabs>
          <w:tab w:leader="none" w:pos="3581" w:val="left"/>
        </w:tabs>
        <w:rPr>
          <w:sz w:val="20"/>
          <w:szCs w:val="20"/>
          <w:color w:val="auto"/>
        </w:rPr>
      </w:pPr>
      <w:r>
        <w:rPr>
          <w:rFonts w:ascii="Arial" w:cs="Arial" w:eastAsia="Arial" w:hAnsi="Arial"/>
          <w:sz w:val="18"/>
          <w:szCs w:val="18"/>
          <w:b w:val="1"/>
          <w:bCs w:val="1"/>
          <w:color w:val="697D88"/>
        </w:rPr>
        <w:t>20 stores</w:t>
      </w:r>
      <w:r>
        <w:rPr>
          <w:sz w:val="20"/>
          <w:szCs w:val="20"/>
          <w:color w:val="auto"/>
        </w:rPr>
        <w:tab/>
      </w:r>
      <w:r>
        <w:rPr>
          <w:rFonts w:ascii="Arial" w:cs="Arial" w:eastAsia="Arial" w:hAnsi="Arial"/>
          <w:sz w:val="23"/>
          <w:szCs w:val="23"/>
          <w:b w:val="1"/>
          <w:bCs w:val="1"/>
          <w:color w:val="697D88"/>
          <w:vertAlign w:val="subscript"/>
        </w:rPr>
        <w:t>17.1%</w:t>
      </w:r>
    </w:p>
    <w:p>
      <w:pPr>
        <w:ind w:left="2442"/>
        <w:spacing w:after="0"/>
        <w:rPr>
          <w:sz w:val="20"/>
          <w:szCs w:val="20"/>
          <w:color w:val="auto"/>
        </w:rPr>
      </w:pPr>
      <w:r>
        <w:rPr>
          <w:rFonts w:ascii="Arial" w:cs="Arial" w:eastAsia="Arial" w:hAnsi="Arial"/>
          <w:sz w:val="19"/>
          <w:szCs w:val="19"/>
          <w:b w:val="1"/>
          <w:bCs w:val="1"/>
          <w:color w:val="697D88"/>
        </w:rPr>
        <w:t>16.3%</w:t>
      </w:r>
    </w:p>
    <w:p>
      <w:pPr>
        <w:spacing w:after="0" w:line="252" w:lineRule="exact"/>
        <w:rPr>
          <w:sz w:val="20"/>
          <w:szCs w:val="20"/>
          <w:color w:val="auto"/>
        </w:rPr>
      </w:pPr>
    </w:p>
    <w:p>
      <w:pPr>
        <w:ind w:left="1402" w:hanging="250"/>
        <w:spacing w:after="0"/>
        <w:tabs>
          <w:tab w:leader="none" w:pos="1402" w:val="left"/>
        </w:tabs>
        <w:numPr>
          <w:ilvl w:val="0"/>
          <w:numId w:val="5"/>
        </w:numPr>
        <w:rPr>
          <w:rFonts w:ascii="Arial" w:cs="Arial" w:eastAsia="Arial" w:hAnsi="Arial"/>
          <w:sz w:val="18"/>
          <w:szCs w:val="18"/>
          <w:b w:val="1"/>
          <w:bCs w:val="1"/>
          <w:color w:val="697D88"/>
        </w:rPr>
      </w:pPr>
      <w:r>
        <w:rPr>
          <w:rFonts w:ascii="Arial" w:cs="Arial" w:eastAsia="Arial" w:hAnsi="Arial"/>
          <w:sz w:val="18"/>
          <w:szCs w:val="18"/>
          <w:b w:val="1"/>
          <w:bCs w:val="1"/>
          <w:color w:val="697D88"/>
        </w:rPr>
        <w:t>stores</w:t>
      </w:r>
    </w:p>
    <w:p>
      <w:pPr>
        <w:spacing w:after="0" w:line="16" w:lineRule="exact"/>
        <w:rPr>
          <w:rFonts w:ascii="Arial" w:cs="Arial" w:eastAsia="Arial" w:hAnsi="Arial"/>
          <w:sz w:val="18"/>
          <w:szCs w:val="18"/>
          <w:b w:val="1"/>
          <w:bCs w:val="1"/>
          <w:color w:val="697D88"/>
        </w:rPr>
      </w:pPr>
    </w:p>
    <w:p>
      <w:pPr>
        <w:ind w:left="1242"/>
        <w:spacing w:after="0"/>
        <w:rPr>
          <w:rFonts w:ascii="Arial" w:cs="Arial" w:eastAsia="Arial" w:hAnsi="Arial"/>
          <w:sz w:val="18"/>
          <w:szCs w:val="18"/>
          <w:b w:val="1"/>
          <w:bCs w:val="1"/>
          <w:color w:val="697D88"/>
        </w:rPr>
      </w:pPr>
      <w:r>
        <w:rPr>
          <w:rFonts w:ascii="Arial" w:cs="Arial" w:eastAsia="Arial" w:hAnsi="Arial"/>
          <w:sz w:val="19"/>
          <w:szCs w:val="19"/>
          <w:b w:val="1"/>
          <w:bCs w:val="1"/>
          <w:color w:val="697D88"/>
        </w:rPr>
        <w:t>12.8%</w:t>
      </w:r>
    </w:p>
    <w:p>
      <w:pPr>
        <w:spacing w:after="0" w:line="276" w:lineRule="exact"/>
        <w:rPr>
          <w:sz w:val="20"/>
          <w:szCs w:val="20"/>
          <w:color w:val="auto"/>
        </w:rPr>
      </w:pPr>
    </w:p>
    <w:p>
      <w:pPr>
        <w:ind w:left="242" w:hanging="242"/>
        <w:spacing w:after="0"/>
        <w:tabs>
          <w:tab w:leader="none" w:pos="242" w:val="left"/>
        </w:tabs>
        <w:numPr>
          <w:ilvl w:val="0"/>
          <w:numId w:val="6"/>
        </w:numPr>
        <w:rPr>
          <w:rFonts w:ascii="Arial" w:cs="Arial" w:eastAsia="Arial" w:hAnsi="Arial"/>
          <w:sz w:val="18"/>
          <w:szCs w:val="18"/>
          <w:b w:val="1"/>
          <w:bCs w:val="1"/>
          <w:color w:val="697D88"/>
        </w:rPr>
      </w:pPr>
      <w:r>
        <w:rPr>
          <w:rFonts w:ascii="Arial" w:cs="Arial" w:eastAsia="Arial" w:hAnsi="Arial"/>
          <w:sz w:val="18"/>
          <w:szCs w:val="18"/>
          <w:b w:val="1"/>
          <w:bCs w:val="1"/>
          <w:color w:val="697D88"/>
        </w:rPr>
        <w:t>stores</w:t>
      </w:r>
    </w:p>
    <w:p>
      <w:pPr>
        <w:spacing w:after="0" w:line="26" w:lineRule="exact"/>
        <w:rPr>
          <w:rFonts w:ascii="Arial" w:cs="Arial" w:eastAsia="Arial" w:hAnsi="Arial"/>
          <w:sz w:val="18"/>
          <w:szCs w:val="18"/>
          <w:b w:val="1"/>
          <w:bCs w:val="1"/>
          <w:color w:val="697D88"/>
        </w:rPr>
      </w:pPr>
    </w:p>
    <w:p>
      <w:pPr>
        <w:ind w:left="142"/>
        <w:spacing w:after="0"/>
        <w:rPr>
          <w:rFonts w:ascii="Arial" w:cs="Arial" w:eastAsia="Arial" w:hAnsi="Arial"/>
          <w:sz w:val="18"/>
          <w:szCs w:val="18"/>
          <w:b w:val="1"/>
          <w:bCs w:val="1"/>
          <w:color w:val="697D88"/>
        </w:rPr>
      </w:pPr>
      <w:r>
        <w:rPr>
          <w:rFonts w:ascii="Arial" w:cs="Arial" w:eastAsia="Arial" w:hAnsi="Arial"/>
          <w:sz w:val="19"/>
          <w:szCs w:val="19"/>
          <w:b w:val="1"/>
          <w:bCs w:val="1"/>
          <w:color w:val="697D88"/>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62" w:type="dxa"/>
        <w:tblCellMar>
          <w:top w:w="0" w:type="dxa"/>
          <w:left w:w="0" w:type="dxa"/>
          <w:bottom w:w="0" w:type="dxa"/>
          <w:right w:w="0" w:type="dxa"/>
        </w:tblCellMar>
      </w:tblPr>
      <w:tr>
        <w:trPr>
          <w:trHeight w:val="274"/>
        </w:trPr>
        <w:tc>
          <w:tcPr>
            <w:tcW w:w="1020" w:type="dxa"/>
            <w:vAlign w:val="bottom"/>
            <w:vMerge w:val="restart"/>
          </w:tcPr>
          <w:p>
            <w:pPr>
              <w:jc w:val="right"/>
              <w:ind w:right="86"/>
              <w:spacing w:after="0"/>
              <w:rPr>
                <w:sz w:val="20"/>
                <w:szCs w:val="20"/>
                <w:color w:val="auto"/>
              </w:rPr>
            </w:pPr>
            <w:r>
              <w:rPr>
                <w:rFonts w:ascii="Arial" w:cs="Arial" w:eastAsia="Arial" w:hAnsi="Arial"/>
                <w:sz w:val="19"/>
                <w:szCs w:val="19"/>
                <w:b w:val="1"/>
                <w:bCs w:val="1"/>
                <w:color w:val="697D88"/>
              </w:rPr>
              <w:t>0.8%</w:t>
            </w:r>
          </w:p>
        </w:tc>
        <w:tc>
          <w:tcPr>
            <w:tcW w:w="1120" w:type="dxa"/>
            <w:vAlign w:val="bottom"/>
          </w:tcPr>
          <w:p>
            <w:pPr>
              <w:jc w:val="right"/>
              <w:ind w:right="106"/>
              <w:spacing w:after="0"/>
              <w:rPr>
                <w:sz w:val="20"/>
                <w:szCs w:val="20"/>
                <w:color w:val="auto"/>
              </w:rPr>
            </w:pPr>
            <w:r>
              <w:rPr>
                <w:rFonts w:ascii="Arial" w:cs="Arial" w:eastAsia="Arial" w:hAnsi="Arial"/>
                <w:sz w:val="19"/>
                <w:szCs w:val="19"/>
                <w:b w:val="1"/>
                <w:bCs w:val="1"/>
                <w:color w:val="697D88"/>
              </w:rPr>
              <w:t>2.1%</w:t>
            </w:r>
          </w:p>
        </w:tc>
        <w:tc>
          <w:tcPr>
            <w:tcW w:w="1180" w:type="dxa"/>
            <w:vAlign w:val="bottom"/>
          </w:tcPr>
          <w:p>
            <w:pPr>
              <w:jc w:val="right"/>
              <w:ind w:right="86"/>
              <w:spacing w:after="0"/>
              <w:rPr>
                <w:sz w:val="20"/>
                <w:szCs w:val="20"/>
                <w:color w:val="auto"/>
              </w:rPr>
            </w:pPr>
            <w:r>
              <w:rPr>
                <w:rFonts w:ascii="Arial" w:cs="Arial" w:eastAsia="Arial" w:hAnsi="Arial"/>
                <w:sz w:val="19"/>
                <w:szCs w:val="19"/>
                <w:b w:val="1"/>
                <w:bCs w:val="1"/>
                <w:color w:val="697D88"/>
              </w:rPr>
              <w:t>2.0%</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697D88"/>
              </w:rPr>
              <w:t>2.0%</w:t>
            </w:r>
          </w:p>
        </w:tc>
        <w:tc>
          <w:tcPr>
            <w:tcW w:w="0" w:type="dxa"/>
            <w:vAlign w:val="bottom"/>
          </w:tcPr>
          <w:p>
            <w:pPr>
              <w:spacing w:after="0"/>
              <w:rPr>
                <w:sz w:val="1"/>
                <w:szCs w:val="1"/>
                <w:color w:val="auto"/>
              </w:rPr>
            </w:pPr>
          </w:p>
        </w:tc>
      </w:tr>
      <w:tr>
        <w:trPr>
          <w:trHeight w:val="235"/>
        </w:trPr>
        <w:tc>
          <w:tcPr>
            <w:tcW w:w="10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1020" w:type="dxa"/>
            <w:vAlign w:val="bottom"/>
          </w:tcPr>
          <w:p>
            <w:pPr>
              <w:jc w:val="right"/>
              <w:ind w:right="206"/>
              <w:spacing w:after="0"/>
              <w:rPr>
                <w:sz w:val="20"/>
                <w:szCs w:val="20"/>
                <w:color w:val="auto"/>
              </w:rPr>
            </w:pPr>
            <w:r>
              <w:rPr>
                <w:rFonts w:ascii="Arial" w:cs="Arial" w:eastAsia="Arial" w:hAnsi="Arial"/>
                <w:sz w:val="19"/>
                <w:szCs w:val="19"/>
                <w:b w:val="1"/>
                <w:bCs w:val="1"/>
                <w:color w:val="697D88"/>
                <w:w w:val="95"/>
              </w:rPr>
              <w:t>Q4 2011</w:t>
            </w:r>
          </w:p>
        </w:tc>
        <w:tc>
          <w:tcPr>
            <w:tcW w:w="1120" w:type="dxa"/>
            <w:vAlign w:val="bottom"/>
          </w:tcPr>
          <w:p>
            <w:pPr>
              <w:jc w:val="right"/>
              <w:ind w:right="146"/>
              <w:spacing w:after="0"/>
              <w:rPr>
                <w:sz w:val="20"/>
                <w:szCs w:val="20"/>
                <w:color w:val="auto"/>
              </w:rPr>
            </w:pPr>
            <w:r>
              <w:rPr>
                <w:rFonts w:ascii="Arial" w:cs="Arial" w:eastAsia="Arial" w:hAnsi="Arial"/>
                <w:sz w:val="19"/>
                <w:szCs w:val="19"/>
                <w:b w:val="1"/>
                <w:bCs w:val="1"/>
                <w:color w:val="697D88"/>
              </w:rPr>
              <w:t>FY 2011</w:t>
            </w:r>
          </w:p>
        </w:tc>
        <w:tc>
          <w:tcPr>
            <w:tcW w:w="1180" w:type="dxa"/>
            <w:vAlign w:val="bottom"/>
          </w:tcPr>
          <w:p>
            <w:pPr>
              <w:jc w:val="right"/>
              <w:ind w:right="166"/>
              <w:spacing w:after="0"/>
              <w:rPr>
                <w:sz w:val="20"/>
                <w:szCs w:val="20"/>
                <w:color w:val="auto"/>
              </w:rPr>
            </w:pPr>
            <w:r>
              <w:rPr>
                <w:rFonts w:ascii="Arial" w:cs="Arial" w:eastAsia="Arial" w:hAnsi="Arial"/>
                <w:sz w:val="19"/>
                <w:szCs w:val="19"/>
                <w:b w:val="1"/>
                <w:bCs w:val="1"/>
                <w:color w:val="697D88"/>
              </w:rPr>
              <w:t>Q1 2012</w:t>
            </w:r>
          </w:p>
        </w:tc>
        <w:tc>
          <w:tcPr>
            <w:tcW w:w="1020" w:type="dxa"/>
            <w:vAlign w:val="bottom"/>
          </w:tcPr>
          <w:p>
            <w:pPr>
              <w:jc w:val="right"/>
              <w:ind w:right="26"/>
              <w:spacing w:after="0"/>
              <w:rPr>
                <w:sz w:val="20"/>
                <w:szCs w:val="20"/>
                <w:color w:val="auto"/>
              </w:rPr>
            </w:pPr>
            <w:r>
              <w:rPr>
                <w:rFonts w:ascii="Arial" w:cs="Arial" w:eastAsia="Arial" w:hAnsi="Arial"/>
                <w:sz w:val="19"/>
                <w:szCs w:val="19"/>
                <w:b w:val="1"/>
                <w:bCs w:val="1"/>
                <w:color w:val="697D88"/>
              </w:rPr>
              <w:t>Q2 2012</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62"/>
        <w:spacing w:after="0"/>
        <w:tabs>
          <w:tab w:leader="none" w:pos="1961" w:val="left"/>
        </w:tabs>
        <w:rPr>
          <w:sz w:val="20"/>
          <w:szCs w:val="20"/>
          <w:color w:val="auto"/>
        </w:rPr>
      </w:pPr>
      <w:r>
        <w:rPr>
          <w:rFonts w:ascii="Arial" w:cs="Arial" w:eastAsia="Arial" w:hAnsi="Arial"/>
          <w:sz w:val="19"/>
          <w:szCs w:val="19"/>
          <w:b w:val="1"/>
          <w:bCs w:val="1"/>
          <w:color w:val="697D88"/>
        </w:rPr>
        <w:t>DXL Comparables</w:t>
      </w:r>
      <w:r>
        <w:rPr>
          <w:sz w:val="20"/>
          <w:szCs w:val="20"/>
          <w:color w:val="auto"/>
        </w:rPr>
        <w:tab/>
      </w:r>
      <w:r>
        <w:rPr>
          <w:rFonts w:ascii="Arial" w:cs="Arial" w:eastAsia="Arial" w:hAnsi="Arial"/>
          <w:sz w:val="18"/>
          <w:szCs w:val="18"/>
          <w:b w:val="1"/>
          <w:bCs w:val="1"/>
          <w:color w:val="697D88"/>
        </w:rPr>
        <w:t>Total CMRG Comparables*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2420" w:hanging="113"/>
        <w:spacing w:after="0" w:line="293" w:lineRule="auto"/>
        <w:tabs>
          <w:tab w:leader="none" w:pos="264" w:val="left"/>
        </w:tabs>
        <w:numPr>
          <w:ilvl w:val="0"/>
          <w:numId w:val="7"/>
        </w:numPr>
        <w:rPr>
          <w:rFonts w:ascii="Arial" w:cs="Arial" w:eastAsia="Arial" w:hAnsi="Arial"/>
          <w:sz w:val="19"/>
          <w:szCs w:val="19"/>
          <w:b w:val="1"/>
          <w:bCs w:val="1"/>
          <w:color w:val="697D88"/>
        </w:rPr>
      </w:pPr>
      <w:r>
        <w:rPr>
          <w:rFonts w:ascii="Arial" w:cs="Arial" w:eastAsia="Arial" w:hAnsi="Arial"/>
          <w:sz w:val="19"/>
          <w:szCs w:val="19"/>
          <w:b w:val="1"/>
          <w:bCs w:val="1"/>
          <w:color w:val="697D88"/>
        </w:rPr>
        <w:t>stores 13.8%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280"/>
        <w:spacing w:after="0"/>
        <w:rPr>
          <w:sz w:val="20"/>
          <w:szCs w:val="20"/>
          <w:color w:val="auto"/>
        </w:rPr>
      </w:pPr>
      <w:r>
        <w:rPr>
          <w:rFonts w:ascii="Arial" w:cs="Arial" w:eastAsia="Arial" w:hAnsi="Arial"/>
          <w:sz w:val="19"/>
          <w:szCs w:val="19"/>
          <w:b w:val="1"/>
          <w:bCs w:val="1"/>
          <w:color w:val="697D88"/>
        </w:rPr>
        <w:t>1.5%</w:t>
      </w:r>
    </w:p>
    <w:p>
      <w:pPr>
        <w:spacing w:after="0" w:line="205" w:lineRule="exact"/>
        <w:rPr>
          <w:sz w:val="20"/>
          <w:szCs w:val="20"/>
          <w:color w:val="auto"/>
        </w:rPr>
      </w:pPr>
    </w:p>
    <w:p>
      <w:pPr>
        <w:jc w:val="right"/>
        <w:ind w:right="2300"/>
        <w:spacing w:after="0"/>
        <w:rPr>
          <w:sz w:val="20"/>
          <w:szCs w:val="20"/>
          <w:color w:val="auto"/>
        </w:rPr>
      </w:pPr>
      <w:r>
        <w:rPr>
          <w:rFonts w:ascii="Arial" w:cs="Arial" w:eastAsia="Arial" w:hAnsi="Arial"/>
          <w:sz w:val="19"/>
          <w:szCs w:val="19"/>
          <w:b w:val="1"/>
          <w:bCs w:val="1"/>
          <w:color w:val="697D88"/>
        </w:rPr>
        <w:t>Q3 2012</w:t>
      </w:r>
    </w:p>
    <w:p>
      <w:pPr>
        <w:spacing w:after="0" w:line="705" w:lineRule="exact"/>
        <w:rPr>
          <w:sz w:val="20"/>
          <w:szCs w:val="20"/>
          <w:color w:val="auto"/>
        </w:rPr>
      </w:pPr>
    </w:p>
    <w:p>
      <w:pPr>
        <w:sectPr>
          <w:pgSz w:w="11900" w:h="16838" w:orient="portrait"/>
          <w:cols w:equalWidth="0" w:num="3">
            <w:col w:w="2180" w:space="198"/>
            <w:col w:w="4502" w:space="100"/>
            <w:col w:w="3260"/>
          </w:cols>
          <w:pgMar w:left="760" w:top="1088"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00" w:type="dxa"/>
            <w:vAlign w:val="bottom"/>
            <w:vMerge w:val="restart"/>
          </w:tcPr>
          <w:p>
            <w:pPr>
              <w:spacing w:after="0"/>
              <w:rPr>
                <w:sz w:val="20"/>
                <w:szCs w:val="20"/>
                <w:color w:val="auto"/>
              </w:rPr>
            </w:pPr>
            <w:r>
              <w:rPr>
                <w:rFonts w:ascii="Arial" w:cs="Arial" w:eastAsia="Arial" w:hAnsi="Arial"/>
                <w:sz w:val="20"/>
                <w:szCs w:val="20"/>
                <w:color w:val="auto"/>
              </w:rPr>
              <w:t>*Total CMRG Comparables include all stores and direct channel</w:t>
            </w:r>
          </w:p>
        </w:tc>
        <w:tc>
          <w:tcPr>
            <w:tcW w:w="2640" w:type="dxa"/>
            <w:vAlign w:val="bottom"/>
          </w:tcPr>
          <w:p>
            <w:pPr>
              <w:jc w:val="right"/>
              <w:spacing w:after="0"/>
              <w:rPr>
                <w:sz w:val="20"/>
                <w:szCs w:val="20"/>
                <w:color w:val="auto"/>
              </w:rPr>
            </w:pPr>
            <w:r>
              <w:rPr>
                <w:rFonts w:ascii="Arial" w:cs="Arial" w:eastAsia="Arial" w:hAnsi="Arial"/>
                <w:sz w:val="19"/>
                <w:szCs w:val="19"/>
                <w:color w:val="898989"/>
              </w:rPr>
              <w:t>20</w:t>
            </w:r>
          </w:p>
        </w:tc>
        <w:tc>
          <w:tcPr>
            <w:tcW w:w="0" w:type="dxa"/>
            <w:vAlign w:val="bottom"/>
          </w:tcPr>
          <w:p>
            <w:pPr>
              <w:spacing w:after="0"/>
              <w:rPr>
                <w:sz w:val="1"/>
                <w:szCs w:val="1"/>
                <w:color w:val="auto"/>
              </w:rPr>
            </w:pPr>
          </w:p>
        </w:tc>
      </w:tr>
      <w:tr>
        <w:trPr>
          <w:trHeight w:val="122"/>
        </w:trPr>
        <w:tc>
          <w:tcPr>
            <w:tcW w:w="760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760" w:top="1088" w:right="8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Comparable Sales Definition</w:t>
      </w:r>
    </w:p>
    <w:p>
      <w:pPr>
        <w:spacing w:after="0" w:line="200" w:lineRule="exact"/>
        <w:rPr>
          <w:sz w:val="20"/>
          <w:szCs w:val="20"/>
          <w:color w:val="auto"/>
        </w:rPr>
      </w:pPr>
    </w:p>
    <w:p>
      <w:pPr>
        <w:spacing w:after="0" w:line="379" w:lineRule="exact"/>
        <w:rPr>
          <w:sz w:val="20"/>
          <w:szCs w:val="20"/>
          <w:color w:val="auto"/>
        </w:rPr>
      </w:pPr>
    </w:p>
    <w:p>
      <w:pPr>
        <w:ind w:left="420" w:right="1320" w:hanging="415"/>
        <w:spacing w:after="0" w:line="269" w:lineRule="auto"/>
        <w:tabs>
          <w:tab w:leader="none" w:pos="420" w:val="left"/>
        </w:tabs>
        <w:numPr>
          <w:ilvl w:val="0"/>
          <w:numId w:val="8"/>
        </w:numPr>
        <w:rPr>
          <w:rFonts w:ascii="Arial" w:cs="Arial" w:eastAsia="Arial" w:hAnsi="Arial"/>
          <w:sz w:val="32"/>
          <w:szCs w:val="32"/>
          <w:color w:val="5F5F5F"/>
        </w:rPr>
      </w:pPr>
      <w:r>
        <w:rPr>
          <w:rFonts w:ascii="Arial" w:cs="Arial" w:eastAsia="Arial" w:hAnsi="Arial"/>
          <w:sz w:val="32"/>
          <w:szCs w:val="32"/>
          <w:color w:val="5F5F5F"/>
        </w:rPr>
        <w:t>Comparablesalesfor allperiods includeretailstores that have been open for at least one full fiscal year.</w:t>
      </w:r>
    </w:p>
    <w:p>
      <w:pPr>
        <w:spacing w:after="0" w:line="280" w:lineRule="exact"/>
        <w:rPr>
          <w:rFonts w:ascii="Arial" w:cs="Arial" w:eastAsia="Arial" w:hAnsi="Arial"/>
          <w:sz w:val="32"/>
          <w:szCs w:val="32"/>
          <w:color w:val="5F5F5F"/>
        </w:rPr>
      </w:pPr>
    </w:p>
    <w:p>
      <w:pPr>
        <w:ind w:left="420" w:right="960" w:hanging="415"/>
        <w:spacing w:after="0" w:line="322" w:lineRule="auto"/>
        <w:tabs>
          <w:tab w:leader="none" w:pos="420" w:val="left"/>
        </w:tabs>
        <w:numPr>
          <w:ilvl w:val="0"/>
          <w:numId w:val="8"/>
        </w:numPr>
        <w:rPr>
          <w:rFonts w:ascii="Arial" w:cs="Arial" w:eastAsia="Arial" w:hAnsi="Arial"/>
          <w:sz w:val="29"/>
          <w:szCs w:val="29"/>
          <w:color w:val="5F5F5F"/>
        </w:rPr>
      </w:pPr>
      <w:r>
        <w:rPr>
          <w:rFonts w:ascii="Arial" w:cs="Arial" w:eastAsia="Arial" w:hAnsi="Arial"/>
          <w:sz w:val="29"/>
          <w:szCs w:val="29"/>
          <w:color w:val="5F5F5F"/>
        </w:rPr>
        <w:t>Stores that have been remodeled, expanded or re-located during the period also are included in determination of comparable sales.</w:t>
      </w:r>
    </w:p>
    <w:p>
      <w:pPr>
        <w:spacing w:after="0" w:line="222" w:lineRule="exact"/>
        <w:rPr>
          <w:rFonts w:ascii="Arial" w:cs="Arial" w:eastAsia="Arial" w:hAnsi="Arial"/>
          <w:sz w:val="29"/>
          <w:szCs w:val="29"/>
          <w:color w:val="5F5F5F"/>
        </w:rPr>
      </w:pPr>
    </w:p>
    <w:p>
      <w:pPr>
        <w:ind w:left="420" w:right="1120" w:hanging="415"/>
        <w:spacing w:after="0" w:line="285" w:lineRule="auto"/>
        <w:tabs>
          <w:tab w:leader="none" w:pos="420" w:val="left"/>
        </w:tabs>
        <w:numPr>
          <w:ilvl w:val="0"/>
          <w:numId w:val="8"/>
        </w:numPr>
        <w:rPr>
          <w:rFonts w:ascii="Arial" w:cs="Arial" w:eastAsia="Arial" w:hAnsi="Arial"/>
          <w:sz w:val="31"/>
          <w:szCs w:val="31"/>
          <w:color w:val="5F5F5F"/>
        </w:rPr>
      </w:pPr>
      <w:r>
        <w:rPr>
          <w:rFonts w:ascii="Arial" w:cs="Arial" w:eastAsia="Arial" w:hAnsi="Arial"/>
          <w:sz w:val="31"/>
          <w:szCs w:val="31"/>
          <w:color w:val="5F5F5F"/>
        </w:rPr>
        <w:t>Most DXL stores are considered relocations and comparable to all closed stores in each respective market area.</w:t>
      </w:r>
    </w:p>
    <w:p>
      <w:pPr>
        <w:spacing w:after="0" w:line="258" w:lineRule="exact"/>
        <w:rPr>
          <w:rFonts w:ascii="Arial" w:cs="Arial" w:eastAsia="Arial" w:hAnsi="Arial"/>
          <w:sz w:val="31"/>
          <w:szCs w:val="31"/>
          <w:color w:val="5F5F5F"/>
        </w:rPr>
      </w:pPr>
    </w:p>
    <w:p>
      <w:pPr>
        <w:ind w:left="420" w:right="1160" w:hanging="415"/>
        <w:spacing w:after="0" w:line="269" w:lineRule="auto"/>
        <w:tabs>
          <w:tab w:leader="none" w:pos="420" w:val="left"/>
        </w:tabs>
        <w:numPr>
          <w:ilvl w:val="0"/>
          <w:numId w:val="8"/>
        </w:numPr>
        <w:rPr>
          <w:rFonts w:ascii="Arial" w:cs="Arial" w:eastAsia="Arial" w:hAnsi="Arial"/>
          <w:sz w:val="32"/>
          <w:szCs w:val="32"/>
          <w:color w:val="5F5F5F"/>
        </w:rPr>
      </w:pPr>
      <w:r>
        <w:rPr>
          <w:rFonts w:ascii="Arial" w:cs="Arial" w:eastAsia="Arial" w:hAnsi="Arial"/>
          <w:sz w:val="32"/>
          <w:szCs w:val="32"/>
          <w:color w:val="5F5F5F"/>
        </w:rPr>
        <w:t>Direct businesses are included in the calculation since CMRG is a multi-channel retailer.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21</w:t>
      </w:r>
    </w:p>
    <w:p>
      <w:pPr>
        <w:sectPr>
          <w:pgSz w:w="11900" w:h="16838" w:orient="portrait"/>
          <w:cols w:equalWidth="0" w:num="1">
            <w:col w:w="9960"/>
          </w:cols>
          <w:pgMar w:left="1040" w:top="1052" w:right="899" w:bottom="1440" w:gutter="0" w:footer="0" w:header="0"/>
        </w:sectPr>
      </w:pPr>
    </w:p>
    <w:bookmarkStart w:id="24" w:name="page25"/>
    <w:bookmarkEnd w:id="24"/>
    <w:p>
      <w:pPr>
        <w:ind w:left="180"/>
        <w:spacing w:after="0"/>
        <w:rPr>
          <w:sz w:val="20"/>
          <w:szCs w:val="20"/>
          <w:color w:val="auto"/>
        </w:rPr>
      </w:pPr>
      <w:r>
        <w:rPr>
          <w:rFonts w:ascii="Arial" w:cs="Arial" w:eastAsia="Arial" w:hAnsi="Arial"/>
          <w:sz w:val="56"/>
          <w:szCs w:val="56"/>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Compelling DXL Returns</w:t>
      </w:r>
    </w:p>
    <w:p>
      <w:pPr>
        <w:sectPr>
          <w:pgSz w:w="11900" w:h="16838" w:orient="portrait"/>
          <w:cols w:equalWidth="0" w:num="1">
            <w:col w:w="10140"/>
          </w:cols>
          <w:pgMar w:left="860" w:top="1052" w:right="899" w:bottom="1440" w:gutter="0" w:footer="0" w:header="0"/>
        </w:sectPr>
      </w:pPr>
    </w:p>
    <w:p>
      <w:pPr>
        <w:spacing w:after="0" w:line="194" w:lineRule="exact"/>
        <w:rPr>
          <w:sz w:val="20"/>
          <w:szCs w:val="20"/>
          <w:color w:val="auto"/>
        </w:rPr>
      </w:pPr>
    </w:p>
    <w:p>
      <w:pPr>
        <w:ind w:right="460"/>
        <w:spacing w:after="0" w:line="279" w:lineRule="auto"/>
        <w:rPr>
          <w:sz w:val="20"/>
          <w:szCs w:val="20"/>
          <w:color w:val="auto"/>
        </w:rPr>
      </w:pPr>
      <w:r>
        <w:rPr>
          <w:rFonts w:ascii="Arial" w:cs="Arial" w:eastAsia="Arial" w:hAnsi="Arial"/>
          <w:sz w:val="28"/>
          <w:szCs w:val="28"/>
          <w:b w:val="1"/>
          <w:bCs w:val="1"/>
          <w:color w:val="558ED5"/>
        </w:rPr>
        <w:t>Expect greater store productivity and profitability</w:t>
      </w:r>
    </w:p>
    <w:p>
      <w:pPr>
        <w:spacing w:after="0" w:line="200" w:lineRule="exact"/>
        <w:rPr>
          <w:sz w:val="20"/>
          <w:szCs w:val="20"/>
          <w:color w:val="auto"/>
        </w:rPr>
      </w:pPr>
    </w:p>
    <w:p>
      <w:pPr>
        <w:spacing w:after="0" w:line="262" w:lineRule="exact"/>
        <w:rPr>
          <w:sz w:val="20"/>
          <w:szCs w:val="20"/>
          <w:color w:val="auto"/>
        </w:rPr>
      </w:pPr>
    </w:p>
    <w:p>
      <w:pPr>
        <w:ind w:right="200"/>
        <w:spacing w:after="0" w:line="271" w:lineRule="auto"/>
        <w:rPr>
          <w:sz w:val="20"/>
          <w:szCs w:val="20"/>
          <w:color w:val="auto"/>
        </w:rPr>
      </w:pPr>
      <w:r>
        <w:rPr>
          <w:rFonts w:ascii="Arial" w:cs="Arial" w:eastAsia="Arial" w:hAnsi="Arial"/>
          <w:sz w:val="28"/>
          <w:szCs w:val="28"/>
          <w:b w:val="1"/>
          <w:bCs w:val="1"/>
          <w:color w:val="558ED5"/>
        </w:rPr>
        <w:t>Projecting higher 4-wall profits than combined profits of individual stores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0"/>
        <w:spacing w:after="0" w:line="288" w:lineRule="auto"/>
        <w:rPr>
          <w:sz w:val="20"/>
          <w:szCs w:val="20"/>
          <w:color w:val="auto"/>
        </w:rPr>
      </w:pPr>
      <w:r>
        <w:rPr>
          <w:rFonts w:ascii="Arial" w:cs="Arial" w:eastAsia="Arial" w:hAnsi="Arial"/>
          <w:sz w:val="28"/>
          <w:szCs w:val="28"/>
          <w:b w:val="1"/>
          <w:bCs w:val="1"/>
          <w:color w:val="558ED5"/>
        </w:rPr>
        <w:t>Potential to capture additional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560"/>
        <w:spacing w:after="0" w:line="328" w:lineRule="auto"/>
        <w:rPr>
          <w:sz w:val="20"/>
          <w:szCs w:val="20"/>
          <w:color w:val="auto"/>
        </w:rPr>
      </w:pPr>
      <w:r>
        <w:rPr>
          <w:rFonts w:ascii="Arial" w:cs="Arial" w:eastAsia="Arial" w:hAnsi="Arial"/>
          <w:sz w:val="26"/>
          <w:szCs w:val="26"/>
          <w:b w:val="1"/>
          <w:bCs w:val="1"/>
          <w:color w:val="558ED5"/>
        </w:rPr>
        <w:t>Opportunity to improve operating margins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1920"/>
        <w:spacing w:after="0" w:line="284" w:lineRule="auto"/>
        <w:rPr>
          <w:sz w:val="20"/>
          <w:szCs w:val="20"/>
          <w:color w:val="auto"/>
        </w:rPr>
      </w:pPr>
      <w:r>
        <w:rPr>
          <w:rFonts w:ascii="Arial" w:cs="Arial" w:eastAsia="Arial" w:hAnsi="Arial"/>
          <w:sz w:val="21"/>
          <w:szCs w:val="21"/>
          <w:color w:val="auto"/>
        </w:rPr>
        <w:t>Better leveraging of expenses -- occupancy, labor productivity and local/district management</w:t>
      </w:r>
    </w:p>
    <w:p>
      <w:pPr>
        <w:spacing w:after="0" w:line="200" w:lineRule="exact"/>
        <w:rPr>
          <w:sz w:val="20"/>
          <w:szCs w:val="20"/>
          <w:color w:val="auto"/>
        </w:rPr>
      </w:pPr>
    </w:p>
    <w:p>
      <w:pPr>
        <w:spacing w:after="0" w:line="389" w:lineRule="exact"/>
        <w:rPr>
          <w:sz w:val="20"/>
          <w:szCs w:val="20"/>
          <w:color w:val="auto"/>
        </w:rPr>
      </w:pPr>
    </w:p>
    <w:p>
      <w:pPr>
        <w:ind w:right="1860"/>
        <w:spacing w:after="0" w:line="286" w:lineRule="auto"/>
        <w:rPr>
          <w:sz w:val="20"/>
          <w:szCs w:val="20"/>
          <w:color w:val="auto"/>
        </w:rPr>
      </w:pPr>
      <w:r>
        <w:rPr>
          <w:rFonts w:ascii="Arial" w:cs="Arial" w:eastAsia="Arial" w:hAnsi="Arial"/>
          <w:sz w:val="22"/>
          <w:szCs w:val="22"/>
          <w:color w:val="auto"/>
        </w:rPr>
        <w:t>Targeting between 25%-30% store operating margin</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Attract new customers</w:t>
      </w:r>
    </w:p>
    <w:p>
      <w:pPr>
        <w:spacing w:after="0" w:line="100" w:lineRule="exact"/>
        <w:rPr>
          <w:sz w:val="20"/>
          <w:szCs w:val="20"/>
          <w:color w:val="auto"/>
        </w:rPr>
      </w:pPr>
    </w:p>
    <w:p>
      <w:pPr>
        <w:ind w:right="1920"/>
        <w:spacing w:after="0" w:line="320" w:lineRule="auto"/>
        <w:rPr>
          <w:sz w:val="20"/>
          <w:szCs w:val="20"/>
          <w:color w:val="auto"/>
        </w:rPr>
      </w:pPr>
      <w:r>
        <w:rPr>
          <w:rFonts w:ascii="Arial" w:cs="Arial" w:eastAsia="Arial" w:hAnsi="Arial"/>
          <w:sz w:val="19"/>
          <w:szCs w:val="19"/>
          <w:color w:val="auto"/>
        </w:rPr>
        <w:t>Better cross-selling environment to capture greater share of apparel wallet from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800"/>
        <w:spacing w:after="0" w:line="260" w:lineRule="auto"/>
        <w:rPr>
          <w:sz w:val="20"/>
          <w:szCs w:val="20"/>
          <w:color w:val="auto"/>
        </w:rPr>
      </w:pPr>
      <w:r>
        <w:rPr>
          <w:rFonts w:ascii="Arial" w:cs="Arial" w:eastAsia="Arial" w:hAnsi="Arial"/>
          <w:sz w:val="22"/>
          <w:szCs w:val="22"/>
          <w:color w:val="auto"/>
        </w:rPr>
        <w:t>Expect to significantly increase margins after the transition to DXL is complete</w:t>
      </w:r>
    </w:p>
    <w:p>
      <w:pPr>
        <w:spacing w:after="0" w:line="200" w:lineRule="exact"/>
        <w:rPr>
          <w:sz w:val="20"/>
          <w:szCs w:val="20"/>
          <w:color w:val="auto"/>
        </w:rPr>
      </w:pPr>
    </w:p>
    <w:p>
      <w:pPr>
        <w:sectPr>
          <w:pgSz w:w="11900" w:h="16838" w:orient="portrait"/>
          <w:cols w:equalWidth="0" w:num="2">
            <w:col w:w="4460" w:space="720"/>
            <w:col w:w="4960"/>
          </w:cols>
          <w:pgMar w:left="860" w:top="1052"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940"/>
        <w:spacing w:after="0"/>
        <w:rPr>
          <w:sz w:val="20"/>
          <w:szCs w:val="20"/>
          <w:color w:val="auto"/>
        </w:rPr>
      </w:pPr>
      <w:r>
        <w:rPr>
          <w:rFonts w:ascii="Arial" w:cs="Arial" w:eastAsia="Arial" w:hAnsi="Arial"/>
          <w:sz w:val="17"/>
          <w:szCs w:val="17"/>
          <w:color w:val="898989"/>
        </w:rPr>
        <w:t>22</w:t>
      </w:r>
    </w:p>
    <w:p>
      <w:pPr>
        <w:sectPr>
          <w:pgSz w:w="11900" w:h="16838" w:orient="portrait"/>
          <w:cols w:equalWidth="0" w:num="1">
            <w:col w:w="10140"/>
          </w:cols>
          <w:pgMar w:left="860" w:top="1052" w:right="899" w:bottom="1440" w:gutter="0" w:footer="0" w:header="0"/>
          <w:type w:val="continuous"/>
        </w:sectPr>
      </w:pPr>
    </w:p>
    <w:bookmarkStart w:id="25" w:name="page26"/>
    <w:bookmarkEnd w:id="25"/>
    <w:p>
      <w:pPr>
        <w:ind w:left="460"/>
        <w:spacing w:after="0"/>
        <w:rPr>
          <w:sz w:val="20"/>
          <w:szCs w:val="20"/>
          <w:color w:val="auto"/>
        </w:rPr>
      </w:pPr>
      <w:r>
        <w:rPr>
          <w:rFonts w:ascii="Arial" w:cs="Arial" w:eastAsia="Arial" w:hAnsi="Arial"/>
          <w:sz w:val="54"/>
          <w:szCs w:val="54"/>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DXL Openings</w:t>
      </w:r>
    </w:p>
    <w:p>
      <w:pPr>
        <w:sectPr>
          <w:pgSz w:w="11900" w:h="16838" w:orient="portrait"/>
          <w:cols w:equalWidth="0" w:num="1">
            <w:col w:w="10140"/>
          </w:cols>
          <w:pgMar w:left="860" w:top="1052" w:right="89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500</w:t>
      </w:r>
    </w:p>
    <w:p>
      <w:pPr>
        <w:spacing w:after="0" w:line="205"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450</w:t>
      </w:r>
    </w:p>
    <w:p>
      <w:pPr>
        <w:spacing w:after="0" w:line="205"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400</w:t>
      </w:r>
    </w:p>
    <w:p>
      <w:pPr>
        <w:spacing w:after="0" w:line="205"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350</w:t>
      </w:r>
    </w:p>
    <w:p>
      <w:pPr>
        <w:spacing w:after="0" w:line="205"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300</w:t>
      </w:r>
    </w:p>
    <w:p>
      <w:pPr>
        <w:spacing w:after="0" w:line="205"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250</w:t>
      </w:r>
    </w:p>
    <w:p>
      <w:pPr>
        <w:spacing w:after="0" w:line="205"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200</w:t>
      </w:r>
    </w:p>
    <w:p>
      <w:pPr>
        <w:spacing w:after="0" w:line="193"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150</w:t>
      </w:r>
    </w:p>
    <w:p>
      <w:pPr>
        <w:spacing w:after="0" w:line="205"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100</w:t>
      </w:r>
    </w:p>
    <w:p>
      <w:pPr>
        <w:spacing w:after="0" w:line="205"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666699"/>
        </w:rPr>
        <w:t>50</w:t>
      </w:r>
    </w:p>
    <w:p>
      <w:pPr>
        <w:spacing w:after="0" w:line="205" w:lineRule="exact"/>
        <w:rPr>
          <w:sz w:val="20"/>
          <w:szCs w:val="20"/>
          <w:color w:val="auto"/>
        </w:rPr>
      </w:pPr>
    </w:p>
    <w:p>
      <w:pPr>
        <w:jc w:val="right"/>
        <w:ind w:right="200"/>
        <w:spacing w:after="0"/>
        <w:rPr>
          <w:sz w:val="20"/>
          <w:szCs w:val="20"/>
          <w:color w:val="auto"/>
        </w:rPr>
      </w:pPr>
      <w:r>
        <w:rPr>
          <w:rFonts w:ascii="Arial" w:cs="Arial" w:eastAsia="Arial" w:hAnsi="Arial"/>
          <w:sz w:val="19"/>
          <w:szCs w:val="19"/>
          <w:b w:val="1"/>
          <w:bCs w:val="1"/>
          <w:color w:val="666699"/>
        </w:rPr>
        <w:t>0</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Total Stores: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1180" w:val="left"/>
          <w:tab w:leader="none" w:pos="2360" w:val="left"/>
          <w:tab w:leader="none" w:pos="3560" w:val="left"/>
        </w:tabs>
        <w:rPr>
          <w:sz w:val="20"/>
          <w:szCs w:val="20"/>
          <w:color w:val="auto"/>
        </w:rPr>
      </w:pPr>
      <w:r>
        <w:rPr>
          <w:rFonts w:ascii="Arial" w:cs="Arial" w:eastAsia="Arial" w:hAnsi="Arial"/>
          <w:sz w:val="19"/>
          <w:szCs w:val="19"/>
          <w:b w:val="1"/>
          <w:bCs w:val="1"/>
          <w:color w:val="666699"/>
        </w:rPr>
        <w:t>2010</w:t>
      </w:r>
      <w:r>
        <w:rPr>
          <w:sz w:val="20"/>
          <w:szCs w:val="20"/>
          <w:color w:val="auto"/>
        </w:rPr>
        <w:tab/>
      </w:r>
      <w:r>
        <w:rPr>
          <w:rFonts w:ascii="Arial" w:cs="Arial" w:eastAsia="Arial" w:hAnsi="Arial"/>
          <w:sz w:val="19"/>
          <w:szCs w:val="19"/>
          <w:b w:val="1"/>
          <w:bCs w:val="1"/>
          <w:color w:val="666699"/>
        </w:rPr>
        <w:t>2011</w:t>
      </w:r>
      <w:r>
        <w:rPr>
          <w:sz w:val="20"/>
          <w:szCs w:val="20"/>
          <w:color w:val="auto"/>
        </w:rPr>
        <w:tab/>
      </w:r>
      <w:r>
        <w:rPr>
          <w:rFonts w:ascii="Arial" w:cs="Arial" w:eastAsia="Arial" w:hAnsi="Arial"/>
          <w:sz w:val="19"/>
          <w:szCs w:val="19"/>
          <w:b w:val="1"/>
          <w:bCs w:val="1"/>
          <w:color w:val="666699"/>
        </w:rPr>
        <w:t>2012</w:t>
      </w:r>
      <w:r>
        <w:rPr>
          <w:sz w:val="20"/>
          <w:szCs w:val="20"/>
          <w:color w:val="auto"/>
        </w:rPr>
        <w:tab/>
      </w:r>
      <w:r>
        <w:rPr>
          <w:rFonts w:ascii="Arial" w:cs="Arial" w:eastAsia="Arial" w:hAnsi="Arial"/>
          <w:sz w:val="18"/>
          <w:szCs w:val="18"/>
          <w:b w:val="1"/>
          <w:bCs w:val="1"/>
          <w:color w:val="666699"/>
        </w:rPr>
        <w:t>2013</w:t>
      </w:r>
    </w:p>
    <w:p>
      <w:pPr>
        <w:spacing w:after="0" w:line="133" w:lineRule="exact"/>
        <w:rPr>
          <w:sz w:val="20"/>
          <w:szCs w:val="20"/>
          <w:color w:val="auto"/>
        </w:rPr>
      </w:pPr>
    </w:p>
    <w:p>
      <w:pPr>
        <w:spacing w:after="0"/>
        <w:tabs>
          <w:tab w:leader="none" w:pos="1180" w:val="left"/>
          <w:tab w:leader="none" w:pos="2360" w:val="left"/>
          <w:tab w:leader="none" w:pos="3540" w:val="left"/>
        </w:tabs>
        <w:rPr>
          <w:sz w:val="20"/>
          <w:szCs w:val="20"/>
          <w:color w:val="auto"/>
        </w:rPr>
      </w:pPr>
      <w:r>
        <w:rPr>
          <w:rFonts w:ascii="Arial" w:cs="Arial" w:eastAsia="Arial" w:hAnsi="Arial"/>
          <w:sz w:val="19"/>
          <w:szCs w:val="19"/>
          <w:color w:val="auto"/>
        </w:rPr>
        <w:t>(460)</w:t>
      </w:r>
      <w:r>
        <w:rPr>
          <w:sz w:val="20"/>
          <w:szCs w:val="20"/>
          <w:color w:val="auto"/>
        </w:rPr>
        <w:tab/>
      </w:r>
      <w:r>
        <w:rPr>
          <w:rFonts w:ascii="Arial" w:cs="Arial" w:eastAsia="Arial" w:hAnsi="Arial"/>
          <w:sz w:val="19"/>
          <w:szCs w:val="19"/>
          <w:color w:val="auto"/>
        </w:rPr>
        <w:t>(450)</w:t>
      </w:r>
      <w:r>
        <w:rPr>
          <w:sz w:val="20"/>
          <w:szCs w:val="20"/>
          <w:color w:val="auto"/>
        </w:rPr>
        <w:tab/>
      </w:r>
      <w:r>
        <w:rPr>
          <w:rFonts w:ascii="Arial" w:cs="Arial" w:eastAsia="Arial" w:hAnsi="Arial"/>
          <w:sz w:val="19"/>
          <w:szCs w:val="19"/>
          <w:color w:val="auto"/>
        </w:rPr>
        <w:t>(413)</w:t>
      </w:r>
      <w:r>
        <w:rPr>
          <w:sz w:val="20"/>
          <w:szCs w:val="20"/>
          <w:color w:val="auto"/>
        </w:rPr>
        <w:tab/>
      </w:r>
      <w:r>
        <w:rPr>
          <w:rFonts w:ascii="Arial" w:cs="Arial" w:eastAsia="Arial" w:hAnsi="Arial"/>
          <w:sz w:val="17"/>
          <w:szCs w:val="17"/>
          <w:color w:val="auto"/>
        </w:rPr>
        <w:t>(350)</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2015 Store Count Target</w:t>
      </w:r>
    </w:p>
    <w:p>
      <w:pPr>
        <w:spacing w:after="0" w:line="193" w:lineRule="exact"/>
        <w:rPr>
          <w:sz w:val="20"/>
          <w:szCs w:val="20"/>
          <w:color w:val="auto"/>
        </w:rPr>
      </w:pPr>
    </w:p>
    <w:p>
      <w:pPr>
        <w:jc w:val="right"/>
        <w:ind w:right="600"/>
        <w:spacing w:after="0"/>
        <w:tabs>
          <w:tab w:leader="none" w:pos="600" w:val="left"/>
        </w:tabs>
        <w:rPr>
          <w:sz w:val="20"/>
          <w:szCs w:val="20"/>
          <w:color w:val="auto"/>
        </w:rPr>
      </w:pPr>
      <w:r>
        <w:rPr>
          <w:rFonts w:ascii="Arial" w:cs="Arial" w:eastAsia="Arial" w:hAnsi="Arial"/>
          <w:sz w:val="19"/>
          <w:szCs w:val="19"/>
          <w:color w:val="auto"/>
        </w:rPr>
        <w:t>DestinationXL</w:t>
      </w:r>
      <w:r>
        <w:rPr>
          <w:rFonts w:ascii="Arial" w:cs="Arial" w:eastAsia="Arial" w:hAnsi="Arial"/>
          <w:sz w:val="25"/>
          <w:szCs w:val="25"/>
          <w:color w:val="auto"/>
          <w:vertAlign w:val="superscript"/>
        </w:rPr>
        <w:t>®</w:t>
      </w:r>
      <w:r>
        <w:rPr>
          <w:sz w:val="20"/>
          <w:szCs w:val="20"/>
          <w:color w:val="auto"/>
        </w:rPr>
        <w:tab/>
      </w:r>
      <w:r>
        <w:rPr>
          <w:rFonts w:ascii="Arial" w:cs="Arial" w:eastAsia="Arial" w:hAnsi="Arial"/>
          <w:sz w:val="16"/>
          <w:szCs w:val="16"/>
          <w:b w:val="1"/>
          <w:bCs w:val="1"/>
          <w:color w:val="auto"/>
        </w:rPr>
        <w:t>225-250</w:t>
      </w:r>
    </w:p>
    <w:p>
      <w:pPr>
        <w:spacing w:after="0" w:line="3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Casual Male XL</w:t>
      </w:r>
    </w:p>
    <w:p>
      <w:pPr>
        <w:ind w:left="1260"/>
        <w:spacing w:after="0"/>
        <w:tabs>
          <w:tab w:leader="none" w:pos="2960" w:val="left"/>
        </w:tabs>
        <w:rPr>
          <w:sz w:val="20"/>
          <w:szCs w:val="20"/>
          <w:color w:val="auto"/>
        </w:rPr>
      </w:pPr>
      <w:r>
        <w:rPr>
          <w:rFonts w:ascii="Arial" w:cs="Arial" w:eastAsia="Arial" w:hAnsi="Arial"/>
          <w:sz w:val="19"/>
          <w:szCs w:val="19"/>
          <w:color w:val="auto"/>
        </w:rPr>
        <w:t>Outlet</w:t>
      </w:r>
      <w:r>
        <w:rPr>
          <w:sz w:val="20"/>
          <w:szCs w:val="20"/>
          <w:color w:val="auto"/>
        </w:rPr>
        <w:tab/>
      </w:r>
      <w:r>
        <w:rPr>
          <w:rFonts w:ascii="Arial" w:cs="Arial" w:eastAsia="Arial" w:hAnsi="Arial"/>
          <w:sz w:val="38"/>
          <w:szCs w:val="38"/>
          <w:b w:val="1"/>
          <w:bCs w:val="1"/>
          <w:color w:val="auto"/>
          <w:vertAlign w:val="superscript"/>
        </w:rPr>
        <w:t>~50</w:t>
      </w:r>
    </w:p>
    <w:p>
      <w:pPr>
        <w:spacing w:after="0" w:line="47" w:lineRule="exact"/>
        <w:rPr>
          <w:sz w:val="20"/>
          <w:szCs w:val="20"/>
          <w:color w:val="auto"/>
        </w:rPr>
      </w:pPr>
    </w:p>
    <w:tbl>
      <w:tblPr>
        <w:tblLayout w:type="fixed"/>
        <w:tblInd w:w="780" w:type="dxa"/>
        <w:tblCellMar>
          <w:top w:w="0" w:type="dxa"/>
          <w:left w:w="0" w:type="dxa"/>
          <w:bottom w:w="0" w:type="dxa"/>
          <w:right w:w="0" w:type="dxa"/>
        </w:tblCellMar>
      </w:tblPr>
      <w:tr>
        <w:trPr>
          <w:trHeight w:val="246"/>
        </w:trPr>
        <w:tc>
          <w:tcPr>
            <w:tcW w:w="1880" w:type="dxa"/>
            <w:vAlign w:val="bottom"/>
          </w:tcPr>
          <w:p>
            <w:pPr>
              <w:spacing w:after="0"/>
              <w:rPr>
                <w:sz w:val="20"/>
                <w:szCs w:val="20"/>
                <w:color w:val="auto"/>
              </w:rPr>
            </w:pPr>
            <w:r>
              <w:rPr>
                <w:rFonts w:ascii="Arial" w:cs="Arial" w:eastAsia="Arial" w:hAnsi="Arial"/>
                <w:sz w:val="19"/>
                <w:szCs w:val="19"/>
                <w:color w:val="auto"/>
              </w:rPr>
              <w:t>Rochester Clothing</w:t>
            </w:r>
          </w:p>
        </w:tc>
        <w:tc>
          <w:tcPr>
            <w:tcW w:w="52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666699"/>
        </w:rPr>
        <w:t>2014</w:t>
      </w:r>
      <w:r>
        <w:rPr>
          <w:sz w:val="20"/>
          <w:szCs w:val="20"/>
          <w:color w:val="auto"/>
        </w:rPr>
        <w:tab/>
      </w:r>
      <w:r>
        <w:rPr>
          <w:rFonts w:ascii="Arial" w:cs="Arial" w:eastAsia="Arial" w:hAnsi="Arial"/>
          <w:sz w:val="19"/>
          <w:szCs w:val="19"/>
          <w:b w:val="1"/>
          <w:bCs w:val="1"/>
          <w:color w:val="666699"/>
        </w:rPr>
        <w:t>2015</w:t>
      </w:r>
    </w:p>
    <w:p>
      <w:pPr>
        <w:spacing w:after="0" w:line="98" w:lineRule="exact"/>
        <w:rPr>
          <w:sz w:val="20"/>
          <w:szCs w:val="20"/>
          <w:color w:val="auto"/>
        </w:rPr>
      </w:pPr>
    </w:p>
    <w:p>
      <w:pPr>
        <w:ind w:left="1040" w:hanging="1009"/>
        <w:spacing w:after="0"/>
        <w:tabs>
          <w:tab w:leader="none" w:pos="1040" w:val="left"/>
        </w:tabs>
        <w:numPr>
          <w:ilvl w:val="0"/>
          <w:numId w:val="9"/>
        </w:numPr>
        <w:rPr>
          <w:rFonts w:ascii="Arial" w:cs="Arial" w:eastAsia="Arial" w:hAnsi="Arial"/>
          <w:sz w:val="19"/>
          <w:szCs w:val="19"/>
          <w:color w:val="auto"/>
        </w:rPr>
      </w:pPr>
      <w:r>
        <w:rPr>
          <w:rFonts w:ascii="Arial" w:cs="Arial" w:eastAsia="Arial" w:hAnsi="Arial"/>
          <w:sz w:val="19"/>
          <w:szCs w:val="19"/>
          <w:color w:val="auto"/>
        </w:rPr>
        <w:t>(280-305)</w:t>
      </w:r>
    </w:p>
    <w:p>
      <w:pPr>
        <w:spacing w:after="0" w:line="235" w:lineRule="exact"/>
        <w:rPr>
          <w:sz w:val="20"/>
          <w:szCs w:val="20"/>
          <w:color w:val="auto"/>
        </w:rPr>
      </w:pPr>
    </w:p>
    <w:p>
      <w:pPr>
        <w:sectPr>
          <w:pgSz w:w="11900" w:h="16838" w:orient="portrait"/>
          <w:cols w:equalWidth="0" w:num="3">
            <w:col w:w="960" w:space="360"/>
            <w:col w:w="4040" w:space="720"/>
            <w:col w:w="4060"/>
          </w:cols>
          <w:pgMar w:left="860" w:top="1052" w:right="89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680"/>
        <w:spacing w:after="0"/>
        <w:rPr>
          <w:sz w:val="20"/>
          <w:szCs w:val="20"/>
          <w:color w:val="auto"/>
        </w:rPr>
      </w:pPr>
      <w:r>
        <w:rPr>
          <w:rFonts w:ascii="Arial" w:cs="Arial" w:eastAsia="Arial" w:hAnsi="Arial"/>
          <w:sz w:val="26"/>
          <w:szCs w:val="26"/>
          <w:color w:val="auto"/>
        </w:rPr>
        <w:t>Accelerated rollout based on</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25"/>
          <w:szCs w:val="25"/>
          <w:color w:val="auto"/>
        </w:rPr>
        <w:t>success of DXL stores in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898989"/>
        </w:rPr>
        <w:t>23</w:t>
      </w:r>
    </w:p>
    <w:p>
      <w:pPr>
        <w:sectPr>
          <w:pgSz w:w="11900" w:h="16838" w:orient="portrait"/>
          <w:cols w:equalWidth="0" w:num="2">
            <w:col w:w="9220" w:space="720"/>
            <w:col w:w="200"/>
          </w:cols>
          <w:pgMar w:left="860" w:top="1052" w:right="8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52"/>
          <w:szCs w:val="52"/>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DXL Sales Increase as %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380" w:type="dxa"/>
        <w:tblCellMar>
          <w:top w:w="0" w:type="dxa"/>
          <w:left w:w="0" w:type="dxa"/>
          <w:bottom w:w="0" w:type="dxa"/>
          <w:right w:w="0" w:type="dxa"/>
        </w:tblCellMar>
      </w:tblPr>
      <w:tr>
        <w:trPr>
          <w:trHeight w:val="322"/>
        </w:trPr>
        <w:tc>
          <w:tcPr>
            <w:tcW w:w="7400" w:type="dxa"/>
            <w:vAlign w:val="bottom"/>
          </w:tcPr>
          <w:p>
            <w:pPr>
              <w:spacing w:after="0"/>
              <w:rPr>
                <w:sz w:val="20"/>
                <w:szCs w:val="20"/>
                <w:color w:val="auto"/>
              </w:rPr>
            </w:pPr>
            <w:r>
              <w:rPr>
                <w:rFonts w:ascii="Arial" w:cs="Arial" w:eastAsia="Arial" w:hAnsi="Arial"/>
                <w:sz w:val="22"/>
                <w:szCs w:val="22"/>
                <w:color w:val="auto"/>
              </w:rPr>
              <w:t>* DXL sales include direct sales via the DXL website.</w:t>
            </w:r>
          </w:p>
        </w:tc>
        <w:tc>
          <w:tcPr>
            <w:tcW w:w="2740" w:type="dxa"/>
            <w:vAlign w:val="bottom"/>
          </w:tcPr>
          <w:p>
            <w:pPr>
              <w:jc w:val="right"/>
              <w:spacing w:after="0"/>
              <w:rPr>
                <w:sz w:val="20"/>
                <w:szCs w:val="20"/>
                <w:color w:val="auto"/>
              </w:rPr>
            </w:pPr>
            <w:r>
              <w:rPr>
                <w:rFonts w:ascii="Arial" w:cs="Arial" w:eastAsia="Arial" w:hAnsi="Arial"/>
                <w:sz w:val="19"/>
                <w:szCs w:val="19"/>
                <w:color w:val="898989"/>
              </w:rPr>
              <w:t>24</w:t>
            </w:r>
          </w:p>
        </w:tc>
      </w:tr>
    </w:tbl>
    <w:p>
      <w:pPr>
        <w:sectPr>
          <w:pgSz w:w="11900" w:h="16838" w:orient="portrait"/>
          <w:cols w:equalWidth="0" w:num="1">
            <w:col w:w="10520"/>
          </w:cols>
          <w:pgMar w:left="480" w:top="1088" w:right="899" w:bottom="1440" w:gutter="0" w:footer="0" w:header="0"/>
        </w:sectPr>
      </w:pPr>
    </w:p>
    <w:bookmarkStart w:id="27" w:name="page28"/>
    <w:bookmarkEnd w:id="27"/>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pacing w:after="0" w:line="51" w:lineRule="exact"/>
        <w:rPr>
          <w:sz w:val="20"/>
          <w:szCs w:val="20"/>
          <w:color w:val="auto"/>
        </w:rPr>
      </w:pPr>
    </w:p>
    <w:p>
      <w:pPr>
        <w:ind w:left="4620"/>
        <w:spacing w:after="0"/>
        <w:rPr>
          <w:sz w:val="20"/>
          <w:szCs w:val="20"/>
          <w:color w:val="auto"/>
        </w:rPr>
      </w:pPr>
      <w:r>
        <w:rPr>
          <w:rFonts w:ascii="Arial" w:cs="Arial" w:eastAsia="Arial" w:hAnsi="Arial"/>
          <w:sz w:val="28"/>
          <w:szCs w:val="28"/>
          <w:b w:val="1"/>
          <w:bCs w:val="1"/>
          <w:color w:val="auto"/>
        </w:rPr>
        <w:t>2012</w:t>
      </w:r>
    </w:p>
    <w:p>
      <w:pPr>
        <w:spacing w:after="0" w:line="9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Commence new marketing strategy</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Open </w:t>
      </w:r>
      <w:r>
        <w:rPr>
          <w:rFonts w:ascii="Arial" w:cs="Arial" w:eastAsia="Arial" w:hAnsi="Arial"/>
          <w:sz w:val="22"/>
          <w:szCs w:val="22"/>
          <w:b w:val="1"/>
          <w:bCs w:val="1"/>
          <w:color w:val="auto"/>
        </w:rPr>
        <w:t>32</w:t>
      </w:r>
      <w:r>
        <w:rPr>
          <w:rFonts w:ascii="Arial" w:cs="Arial" w:eastAsia="Arial" w:hAnsi="Arial"/>
          <w:sz w:val="22"/>
          <w:szCs w:val="22"/>
          <w:color w:val="auto"/>
        </w:rPr>
        <w:t xml:space="preserve"> DXL stores/ Close</w:t>
      </w:r>
      <w:r>
        <w:rPr>
          <w:rFonts w:ascii="Arial" w:cs="Arial" w:eastAsia="Arial" w:hAnsi="Arial"/>
          <w:sz w:val="22"/>
          <w:szCs w:val="22"/>
          <w:b w:val="1"/>
          <w:bCs w:val="1"/>
          <w:color w:val="auto"/>
        </w:rPr>
        <w:t>69</w:t>
      </w:r>
      <w:r>
        <w:rPr>
          <w:rFonts w:ascii="Arial" w:cs="Arial" w:eastAsia="Arial" w:hAnsi="Arial"/>
          <w:sz w:val="22"/>
          <w:szCs w:val="22"/>
          <w:color w:val="auto"/>
        </w:rPr>
        <w:t xml:space="preserve"> CMXLstores</w:t>
      </w:r>
    </w:p>
    <w:p>
      <w:pPr>
        <w:spacing w:after="0" w:line="123"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Operating marginsin the range of </w:t>
      </w:r>
      <w:r>
        <w:rPr>
          <w:rFonts w:ascii="Arial" w:cs="Arial" w:eastAsia="Arial" w:hAnsi="Arial"/>
          <w:sz w:val="22"/>
          <w:szCs w:val="22"/>
          <w:b w:val="1"/>
          <w:bCs w:val="1"/>
          <w:color w:val="auto"/>
        </w:rPr>
        <w:t>4% - 5%</w:t>
      </w:r>
    </w:p>
    <w:p>
      <w:pPr>
        <w:spacing w:after="0" w:line="129"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CapEx expected to be </w:t>
      </w:r>
      <w:r>
        <w:rPr>
          <w:rFonts w:ascii="Arial" w:cs="Arial" w:eastAsia="Arial" w:hAnsi="Arial"/>
          <w:sz w:val="18"/>
          <w:szCs w:val="18"/>
          <w:b w:val="1"/>
          <w:bCs w:val="1"/>
          <w:color w:val="auto"/>
        </w:rPr>
        <w:t>$35M</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28"/>
          <w:szCs w:val="28"/>
          <w:b w:val="1"/>
          <w:bCs w:val="1"/>
          <w:color w:val="auto"/>
        </w:rPr>
        <w:t>2013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7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Arial" w:cs="Arial" w:eastAsia="Arial" w:hAnsi="Arial"/>
                <w:sz w:val="22"/>
                <w:szCs w:val="22"/>
                <w:color w:val="auto"/>
              </w:rPr>
              <w:t xml:space="preserve">Open </w:t>
            </w:r>
            <w:r>
              <w:rPr>
                <w:rFonts w:ascii="Arial" w:cs="Arial" w:eastAsia="Arial" w:hAnsi="Arial"/>
                <w:sz w:val="22"/>
                <w:szCs w:val="22"/>
                <w:b w:val="1"/>
                <w:bCs w:val="1"/>
                <w:color w:val="auto"/>
              </w:rPr>
              <w:t>60</w:t>
            </w:r>
            <w:r>
              <w:rPr>
                <w:rFonts w:ascii="Arial" w:cs="Arial" w:eastAsia="Arial" w:hAnsi="Arial"/>
                <w:sz w:val="22"/>
                <w:szCs w:val="22"/>
                <w:color w:val="auto"/>
              </w:rPr>
              <w:t xml:space="preserve"> DXL stores / Close</w:t>
            </w:r>
            <w:r>
              <w:rPr>
                <w:rFonts w:ascii="Arial" w:cs="Arial" w:eastAsia="Arial" w:hAnsi="Arial"/>
                <w:sz w:val="22"/>
                <w:szCs w:val="22"/>
                <w:b w:val="1"/>
                <w:bCs w:val="1"/>
                <w:color w:val="auto"/>
              </w:rPr>
              <w:t>120</w:t>
            </w:r>
            <w:r>
              <w:rPr>
                <w:rFonts w:ascii="Arial" w:cs="Arial" w:eastAsia="Arial" w:hAnsi="Arial"/>
                <w:sz w:val="22"/>
                <w:szCs w:val="22"/>
                <w:color w:val="auto"/>
              </w:rPr>
              <w:t xml:space="preserve"> CMXLstores</w:t>
            </w:r>
          </w:p>
        </w:tc>
        <w:tc>
          <w:tcPr>
            <w:tcW w:w="0" w:type="dxa"/>
            <w:vAlign w:val="bottom"/>
          </w:tcPr>
          <w:p>
            <w:pPr>
              <w:spacing w:after="0"/>
              <w:rPr>
                <w:sz w:val="1"/>
                <w:szCs w:val="1"/>
                <w:color w:val="auto"/>
              </w:rPr>
            </w:pPr>
          </w:p>
        </w:tc>
      </w:tr>
      <w:tr>
        <w:trPr>
          <w:trHeight w:val="376"/>
        </w:trPr>
        <w:tc>
          <w:tcPr>
            <w:tcW w:w="37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Arial" w:cs="Arial" w:eastAsia="Arial" w:hAnsi="Arial"/>
                <w:sz w:val="22"/>
                <w:szCs w:val="22"/>
                <w:color w:val="auto"/>
              </w:rPr>
              <w:t xml:space="preserve">Operating marginsin the rangeof </w:t>
            </w:r>
            <w:r>
              <w:rPr>
                <w:rFonts w:ascii="Arial" w:cs="Arial" w:eastAsia="Arial" w:hAnsi="Arial"/>
                <w:sz w:val="22"/>
                <w:szCs w:val="22"/>
                <w:b w:val="1"/>
                <w:bCs w:val="1"/>
                <w:color w:val="auto"/>
              </w:rPr>
              <w:t>4%-5%</w:t>
            </w:r>
          </w:p>
        </w:tc>
        <w:tc>
          <w:tcPr>
            <w:tcW w:w="0" w:type="dxa"/>
            <w:vAlign w:val="bottom"/>
          </w:tcPr>
          <w:p>
            <w:pPr>
              <w:spacing w:after="0"/>
              <w:rPr>
                <w:sz w:val="1"/>
                <w:szCs w:val="1"/>
                <w:color w:val="auto"/>
              </w:rPr>
            </w:pPr>
          </w:p>
        </w:tc>
      </w:tr>
      <w:tr>
        <w:trPr>
          <w:trHeight w:val="310"/>
        </w:trPr>
        <w:tc>
          <w:tcPr>
            <w:tcW w:w="37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Arial" w:cs="Arial" w:eastAsia="Arial" w:hAnsi="Arial"/>
                <w:sz w:val="22"/>
                <w:szCs w:val="22"/>
                <w:color w:val="auto"/>
              </w:rPr>
              <w:t>Lease exit and asset impairment charges in the the</w:t>
            </w:r>
          </w:p>
        </w:tc>
        <w:tc>
          <w:tcPr>
            <w:tcW w:w="0" w:type="dxa"/>
            <w:vAlign w:val="bottom"/>
          </w:tcPr>
          <w:p>
            <w:pPr>
              <w:spacing w:after="0"/>
              <w:rPr>
                <w:sz w:val="1"/>
                <w:szCs w:val="1"/>
                <w:color w:val="auto"/>
              </w:rPr>
            </w:pPr>
          </w:p>
        </w:tc>
      </w:tr>
      <w:tr>
        <w:trPr>
          <w:trHeight w:val="339"/>
        </w:trPr>
        <w:tc>
          <w:tcPr>
            <w:tcW w:w="3760" w:type="dxa"/>
            <w:vAlign w:val="bottom"/>
          </w:tcPr>
          <w:p>
            <w:pPr>
              <w:spacing w:after="0"/>
              <w:rPr>
                <w:sz w:val="24"/>
                <w:szCs w:val="24"/>
                <w:color w:val="auto"/>
              </w:rPr>
            </w:pPr>
          </w:p>
        </w:tc>
        <w:tc>
          <w:tcPr>
            <w:tcW w:w="6380" w:type="dxa"/>
            <w:vAlign w:val="bottom"/>
          </w:tcPr>
          <w:p>
            <w:pPr>
              <w:ind w:left="860"/>
              <w:spacing w:after="0" w:line="339" w:lineRule="exact"/>
              <w:rPr>
                <w:sz w:val="20"/>
                <w:szCs w:val="20"/>
                <w:color w:val="auto"/>
              </w:rPr>
            </w:pPr>
            <w:r>
              <w:rPr>
                <w:rFonts w:ascii="Arial" w:cs="Arial" w:eastAsia="Arial" w:hAnsi="Arial"/>
                <w:sz w:val="22"/>
                <w:szCs w:val="22"/>
                <w:color w:val="auto"/>
              </w:rPr>
              <w:t xml:space="preserve">range of </w:t>
            </w:r>
            <w:r>
              <w:rPr>
                <w:rFonts w:ascii="Arial" w:cs="Arial" w:eastAsia="Arial" w:hAnsi="Arial"/>
                <w:sz w:val="22"/>
                <w:szCs w:val="22"/>
                <w:b w:val="1"/>
                <w:bCs w:val="1"/>
                <w:color w:val="auto"/>
              </w:rPr>
              <w:t>$8-$12M</w:t>
            </w:r>
            <w:r>
              <w:rPr>
                <w:rFonts w:ascii="Arial" w:cs="Arial" w:eastAsia="Arial" w:hAnsi="Arial"/>
                <w:sz w:val="22"/>
                <w:szCs w:val="22"/>
                <w:color w:val="auto"/>
              </w:rPr>
              <w:t xml:space="preserve"> </w:t>
            </w:r>
            <w:r>
              <w:rPr>
                <w:rFonts w:ascii="Arial" w:cs="Arial" w:eastAsia="Arial" w:hAnsi="Arial"/>
                <w:sz w:val="35"/>
                <w:szCs w:val="35"/>
                <w:b w:val="1"/>
                <w:bCs w:val="1"/>
                <w:color w:val="auto"/>
                <w:vertAlign w:val="superscript"/>
              </w:rPr>
              <w:t>*</w:t>
            </w:r>
          </w:p>
        </w:tc>
        <w:tc>
          <w:tcPr>
            <w:tcW w:w="0" w:type="dxa"/>
            <w:vAlign w:val="bottom"/>
          </w:tcPr>
          <w:p>
            <w:pPr>
              <w:spacing w:after="0"/>
              <w:rPr>
                <w:sz w:val="1"/>
                <w:szCs w:val="1"/>
                <w:color w:val="auto"/>
              </w:rPr>
            </w:pPr>
          </w:p>
        </w:tc>
      </w:tr>
      <w:tr>
        <w:trPr>
          <w:trHeight w:val="291"/>
        </w:trPr>
        <w:tc>
          <w:tcPr>
            <w:tcW w:w="37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Arial" w:cs="Arial" w:eastAsia="Arial" w:hAnsi="Arial"/>
                <w:sz w:val="22"/>
                <w:szCs w:val="22"/>
                <w:color w:val="auto"/>
              </w:rPr>
              <w:t xml:space="preserve">CapEx expectedto </w:t>
            </w:r>
            <w:r>
              <w:rPr>
                <w:rFonts w:ascii="Arial" w:cs="Arial" w:eastAsia="Arial" w:hAnsi="Arial"/>
                <w:sz w:val="22"/>
                <w:szCs w:val="22"/>
                <w:b w:val="1"/>
                <w:bCs w:val="1"/>
                <w:color w:val="auto"/>
              </w:rPr>
              <w:t>peak</w:t>
            </w:r>
            <w:r>
              <w:rPr>
                <w:rFonts w:ascii="Arial" w:cs="Arial" w:eastAsia="Arial" w:hAnsi="Arial"/>
                <w:sz w:val="22"/>
                <w:szCs w:val="22"/>
                <w:color w:val="auto"/>
              </w:rPr>
              <w:t xml:space="preserve"> at </w:t>
            </w:r>
            <w:r>
              <w:rPr>
                <w:rFonts w:ascii="Arial" w:cs="Arial" w:eastAsia="Arial" w:hAnsi="Arial"/>
                <w:sz w:val="22"/>
                <w:szCs w:val="22"/>
                <w:b w:val="1"/>
                <w:bCs w:val="1"/>
                <w:color w:val="auto"/>
              </w:rPr>
              <w:t>$45M</w:t>
            </w:r>
          </w:p>
        </w:tc>
        <w:tc>
          <w:tcPr>
            <w:tcW w:w="0" w:type="dxa"/>
            <w:vAlign w:val="bottom"/>
          </w:tcPr>
          <w:p>
            <w:pPr>
              <w:spacing w:after="0"/>
              <w:rPr>
                <w:sz w:val="1"/>
                <w:szCs w:val="1"/>
                <w:color w:val="auto"/>
              </w:rPr>
            </w:pPr>
          </w:p>
        </w:tc>
      </w:tr>
      <w:tr>
        <w:trPr>
          <w:trHeight w:val="535"/>
        </w:trPr>
        <w:tc>
          <w:tcPr>
            <w:tcW w:w="3760" w:type="dxa"/>
            <w:vAlign w:val="bottom"/>
          </w:tcPr>
          <w:p>
            <w:pPr>
              <w:jc w:val="right"/>
              <w:ind w:right="730"/>
              <w:spacing w:after="0"/>
              <w:rPr>
                <w:sz w:val="20"/>
                <w:szCs w:val="20"/>
                <w:color w:val="auto"/>
              </w:rPr>
            </w:pPr>
            <w:r>
              <w:rPr>
                <w:rFonts w:ascii="Arial" w:cs="Arial" w:eastAsia="Arial" w:hAnsi="Arial"/>
                <w:sz w:val="38"/>
                <w:szCs w:val="38"/>
                <w:b w:val="1"/>
                <w:bCs w:val="1"/>
                <w:color w:val="F79646"/>
              </w:rPr>
              <w:t>2012 - 2014</w:t>
            </w:r>
          </w:p>
        </w:tc>
        <w:tc>
          <w:tcPr>
            <w:tcW w:w="6380" w:type="dxa"/>
            <w:vAlign w:val="bottom"/>
          </w:tcPr>
          <w:p>
            <w:pPr>
              <w:ind w:left="860"/>
              <w:spacing w:after="0"/>
              <w:rPr>
                <w:sz w:val="20"/>
                <w:szCs w:val="20"/>
                <w:color w:val="auto"/>
              </w:rPr>
            </w:pPr>
            <w:r>
              <w:rPr>
                <w:rFonts w:ascii="Arial" w:cs="Arial" w:eastAsia="Arial" w:hAnsi="Arial"/>
                <w:sz w:val="28"/>
                <w:szCs w:val="28"/>
                <w:b w:val="1"/>
                <w:bCs w:val="1"/>
                <w:color w:val="auto"/>
              </w:rPr>
              <w:t>2014</w:t>
            </w:r>
          </w:p>
        </w:tc>
        <w:tc>
          <w:tcPr>
            <w:tcW w:w="0" w:type="dxa"/>
            <w:vAlign w:val="bottom"/>
          </w:tcPr>
          <w:p>
            <w:pPr>
              <w:spacing w:after="0"/>
              <w:rPr>
                <w:sz w:val="1"/>
                <w:szCs w:val="1"/>
                <w:color w:val="auto"/>
              </w:rPr>
            </w:pPr>
          </w:p>
        </w:tc>
      </w:tr>
      <w:tr>
        <w:trPr>
          <w:trHeight w:val="370"/>
        </w:trPr>
        <w:tc>
          <w:tcPr>
            <w:tcW w:w="37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Arial" w:cs="Arial" w:eastAsia="Arial" w:hAnsi="Arial"/>
                <w:sz w:val="22"/>
                <w:szCs w:val="22"/>
                <w:color w:val="auto"/>
              </w:rPr>
              <w:t xml:space="preserve">Open </w:t>
            </w:r>
            <w:r>
              <w:rPr>
                <w:rFonts w:ascii="Arial" w:cs="Arial" w:eastAsia="Arial" w:hAnsi="Arial"/>
                <w:sz w:val="22"/>
                <w:szCs w:val="22"/>
                <w:b w:val="1"/>
                <w:bCs w:val="1"/>
                <w:color w:val="auto"/>
              </w:rPr>
              <w:t>60</w:t>
            </w:r>
            <w:r>
              <w:rPr>
                <w:rFonts w:ascii="Arial" w:cs="Arial" w:eastAsia="Arial" w:hAnsi="Arial"/>
                <w:sz w:val="22"/>
                <w:szCs w:val="22"/>
                <w:color w:val="auto"/>
              </w:rPr>
              <w:t xml:space="preserve"> DXL stores / Close</w:t>
            </w:r>
            <w:r>
              <w:rPr>
                <w:rFonts w:ascii="Arial" w:cs="Arial" w:eastAsia="Arial" w:hAnsi="Arial"/>
                <w:sz w:val="22"/>
                <w:szCs w:val="22"/>
                <w:b w:val="1"/>
                <w:bCs w:val="1"/>
                <w:color w:val="auto"/>
              </w:rPr>
              <w:t>100</w:t>
            </w:r>
            <w:r>
              <w:rPr>
                <w:rFonts w:ascii="Arial" w:cs="Arial" w:eastAsia="Arial" w:hAnsi="Arial"/>
                <w:sz w:val="22"/>
                <w:szCs w:val="22"/>
                <w:color w:val="auto"/>
              </w:rPr>
              <w:t xml:space="preserve"> CMXLstores</w:t>
            </w:r>
          </w:p>
        </w:tc>
        <w:tc>
          <w:tcPr>
            <w:tcW w:w="0" w:type="dxa"/>
            <w:vAlign w:val="bottom"/>
          </w:tcPr>
          <w:p>
            <w:pPr>
              <w:spacing w:after="0"/>
              <w:rPr>
                <w:sz w:val="1"/>
                <w:szCs w:val="1"/>
                <w:color w:val="auto"/>
              </w:rPr>
            </w:pPr>
          </w:p>
        </w:tc>
      </w:tr>
      <w:tr>
        <w:trPr>
          <w:trHeight w:val="376"/>
        </w:trPr>
        <w:tc>
          <w:tcPr>
            <w:tcW w:w="37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Arial" w:cs="Arial" w:eastAsia="Arial" w:hAnsi="Arial"/>
                <w:sz w:val="22"/>
                <w:szCs w:val="22"/>
                <w:color w:val="auto"/>
              </w:rPr>
              <w:t xml:space="preserve">Operatingmarginsin the rangeof </w:t>
            </w:r>
            <w:r>
              <w:rPr>
                <w:rFonts w:ascii="Arial" w:cs="Arial" w:eastAsia="Arial" w:hAnsi="Arial"/>
                <w:sz w:val="22"/>
                <w:szCs w:val="22"/>
                <w:b w:val="1"/>
                <w:bCs w:val="1"/>
                <w:color w:val="auto"/>
              </w:rPr>
              <w:t>5% - 6%</w:t>
            </w:r>
          </w:p>
        </w:tc>
        <w:tc>
          <w:tcPr>
            <w:tcW w:w="0" w:type="dxa"/>
            <w:vAlign w:val="bottom"/>
          </w:tcPr>
          <w:p>
            <w:pPr>
              <w:spacing w:after="0"/>
              <w:rPr>
                <w:sz w:val="1"/>
                <w:szCs w:val="1"/>
                <w:color w:val="auto"/>
              </w:rPr>
            </w:pPr>
          </w:p>
        </w:tc>
      </w:tr>
      <w:tr>
        <w:trPr>
          <w:trHeight w:val="310"/>
        </w:trPr>
        <w:tc>
          <w:tcPr>
            <w:tcW w:w="3760" w:type="dxa"/>
            <w:vAlign w:val="bottom"/>
          </w:tcPr>
          <w:p>
            <w:pPr>
              <w:spacing w:after="0"/>
              <w:rPr>
                <w:sz w:val="24"/>
                <w:szCs w:val="24"/>
                <w:color w:val="auto"/>
              </w:rPr>
            </w:pPr>
          </w:p>
        </w:tc>
        <w:tc>
          <w:tcPr>
            <w:tcW w:w="6380" w:type="dxa"/>
            <w:vAlign w:val="bottom"/>
          </w:tcPr>
          <w:p>
            <w:pPr>
              <w:ind w:left="860"/>
              <w:spacing w:after="0"/>
              <w:rPr>
                <w:sz w:val="20"/>
                <w:szCs w:val="20"/>
                <w:color w:val="auto"/>
              </w:rPr>
            </w:pPr>
            <w:r>
              <w:rPr>
                <w:rFonts w:ascii="Arial" w:cs="Arial" w:eastAsia="Arial" w:hAnsi="Arial"/>
                <w:sz w:val="22"/>
                <w:szCs w:val="22"/>
                <w:color w:val="auto"/>
              </w:rPr>
              <w:t>Lease exit and asset impairment</w:t>
            </w:r>
          </w:p>
        </w:tc>
        <w:tc>
          <w:tcPr>
            <w:tcW w:w="0" w:type="dxa"/>
            <w:vAlign w:val="bottom"/>
          </w:tcPr>
          <w:p>
            <w:pPr>
              <w:spacing w:after="0"/>
              <w:rPr>
                <w:sz w:val="1"/>
                <w:szCs w:val="1"/>
                <w:color w:val="auto"/>
              </w:rPr>
            </w:pPr>
          </w:p>
        </w:tc>
      </w:tr>
      <w:tr>
        <w:trPr>
          <w:trHeight w:val="345"/>
        </w:trPr>
        <w:tc>
          <w:tcPr>
            <w:tcW w:w="3760" w:type="dxa"/>
            <w:vAlign w:val="bottom"/>
          </w:tcPr>
          <w:p>
            <w:pPr>
              <w:spacing w:after="0"/>
              <w:rPr>
                <w:sz w:val="24"/>
                <w:szCs w:val="24"/>
                <w:color w:val="auto"/>
              </w:rPr>
            </w:pPr>
          </w:p>
        </w:tc>
        <w:tc>
          <w:tcPr>
            <w:tcW w:w="6380" w:type="dxa"/>
            <w:vAlign w:val="bottom"/>
          </w:tcPr>
          <w:p>
            <w:pPr>
              <w:ind w:left="860"/>
              <w:spacing w:after="0" w:line="344" w:lineRule="exact"/>
              <w:rPr>
                <w:sz w:val="20"/>
                <w:szCs w:val="20"/>
                <w:color w:val="auto"/>
              </w:rPr>
            </w:pPr>
            <w:r>
              <w:rPr>
                <w:rFonts w:ascii="Arial" w:cs="Arial" w:eastAsia="Arial" w:hAnsi="Arial"/>
                <w:sz w:val="22"/>
                <w:szCs w:val="22"/>
                <w:color w:val="auto"/>
              </w:rPr>
              <w:t xml:space="preserve">chargesin the range of </w:t>
            </w:r>
            <w:r>
              <w:rPr>
                <w:rFonts w:ascii="Arial" w:cs="Arial" w:eastAsia="Arial" w:hAnsi="Arial"/>
                <w:sz w:val="22"/>
                <w:szCs w:val="22"/>
                <w:b w:val="1"/>
                <w:bCs w:val="1"/>
                <w:color w:val="auto"/>
              </w:rPr>
              <w:t>$5-$7M</w:t>
            </w:r>
            <w:r>
              <w:rPr>
                <w:rFonts w:ascii="Arial" w:cs="Arial" w:eastAsia="Arial" w:hAnsi="Arial"/>
                <w:sz w:val="22"/>
                <w:szCs w:val="22"/>
                <w:color w:val="auto"/>
              </w:rPr>
              <w:t xml:space="preserve"> </w:t>
            </w:r>
            <w:r>
              <w:rPr>
                <w:rFonts w:ascii="Arial" w:cs="Arial" w:eastAsia="Arial" w:hAnsi="Arial"/>
                <w:sz w:val="35"/>
                <w:szCs w:val="35"/>
                <w:b w:val="1"/>
                <w:bCs w:val="1"/>
                <w:color w:val="auto"/>
                <w:vertAlign w:val="superscript"/>
              </w:rPr>
              <w:t>*</w:t>
            </w:r>
          </w:p>
        </w:tc>
        <w:tc>
          <w:tcPr>
            <w:tcW w:w="0" w:type="dxa"/>
            <w:vAlign w:val="bottom"/>
          </w:tcPr>
          <w:p>
            <w:pPr>
              <w:spacing w:after="0"/>
              <w:rPr>
                <w:sz w:val="1"/>
                <w:szCs w:val="1"/>
                <w:color w:val="auto"/>
              </w:rPr>
            </w:pPr>
          </w:p>
        </w:tc>
      </w:tr>
      <w:tr>
        <w:trPr>
          <w:trHeight w:val="219"/>
        </w:trPr>
        <w:tc>
          <w:tcPr>
            <w:tcW w:w="3760" w:type="dxa"/>
            <w:vAlign w:val="bottom"/>
          </w:tcPr>
          <w:p>
            <w:pPr>
              <w:spacing w:after="0"/>
              <w:rPr>
                <w:sz w:val="19"/>
                <w:szCs w:val="19"/>
                <w:color w:val="auto"/>
              </w:rPr>
            </w:pPr>
          </w:p>
        </w:tc>
        <w:tc>
          <w:tcPr>
            <w:tcW w:w="6380" w:type="dxa"/>
            <w:vAlign w:val="bottom"/>
          </w:tcPr>
          <w:p>
            <w:pPr>
              <w:ind w:left="860"/>
              <w:spacing w:after="0" w:line="219" w:lineRule="exact"/>
              <w:rPr>
                <w:sz w:val="20"/>
                <w:szCs w:val="20"/>
                <w:color w:val="auto"/>
              </w:rPr>
            </w:pPr>
            <w:r>
              <w:rPr>
                <w:rFonts w:ascii="Arial" w:cs="Arial" w:eastAsia="Arial" w:hAnsi="Arial"/>
                <w:sz w:val="22"/>
                <w:szCs w:val="22"/>
                <w:color w:val="auto"/>
              </w:rPr>
              <w:t>CapEx expected to</w:t>
            </w:r>
          </w:p>
        </w:tc>
        <w:tc>
          <w:tcPr>
            <w:tcW w:w="0" w:type="dxa"/>
            <w:vAlign w:val="bottom"/>
          </w:tcPr>
          <w:p>
            <w:pPr>
              <w:spacing w:after="0"/>
              <w:rPr>
                <w:sz w:val="1"/>
                <w:szCs w:val="1"/>
                <w:color w:val="auto"/>
              </w:rPr>
            </w:pPr>
          </w:p>
        </w:tc>
      </w:tr>
      <w:tr>
        <w:trPr>
          <w:trHeight w:val="241"/>
        </w:trPr>
        <w:tc>
          <w:tcPr>
            <w:tcW w:w="3760" w:type="dxa"/>
            <w:vAlign w:val="bottom"/>
            <w:vMerge w:val="restart"/>
          </w:tcPr>
          <w:p>
            <w:pPr>
              <w:jc w:val="right"/>
              <w:ind w:right="1990"/>
              <w:spacing w:after="0"/>
              <w:rPr>
                <w:sz w:val="20"/>
                <w:szCs w:val="20"/>
                <w:color w:val="auto"/>
              </w:rPr>
            </w:pPr>
            <w:r>
              <w:rPr>
                <w:rFonts w:ascii="Arial" w:cs="Arial" w:eastAsia="Arial" w:hAnsi="Arial"/>
                <w:sz w:val="22"/>
                <w:szCs w:val="22"/>
                <w:color w:val="auto"/>
                <w:w w:val="89"/>
              </w:rPr>
              <w:t>* Net of subleases</w:t>
            </w:r>
          </w:p>
        </w:tc>
        <w:tc>
          <w:tcPr>
            <w:tcW w:w="6380" w:type="dxa"/>
            <w:vAlign w:val="bottom"/>
          </w:tcPr>
          <w:p>
            <w:pPr>
              <w:ind w:left="860"/>
              <w:spacing w:after="0" w:line="241" w:lineRule="exact"/>
              <w:rPr>
                <w:sz w:val="20"/>
                <w:szCs w:val="20"/>
                <w:color w:val="auto"/>
              </w:rPr>
            </w:pPr>
            <w:r>
              <w:rPr>
                <w:rFonts w:ascii="Arial" w:cs="Arial" w:eastAsia="Arial" w:hAnsi="Arial"/>
                <w:sz w:val="22"/>
                <w:szCs w:val="22"/>
                <w:color w:val="auto"/>
              </w:rPr>
              <w:t xml:space="preserve">be </w:t>
            </w:r>
            <w:r>
              <w:rPr>
                <w:rFonts w:ascii="Arial" w:cs="Arial" w:eastAsia="Arial" w:hAnsi="Arial"/>
                <w:sz w:val="18"/>
                <w:szCs w:val="18"/>
                <w:b w:val="1"/>
                <w:bCs w:val="1"/>
                <w:color w:val="auto"/>
              </w:rPr>
              <w:t>$40M</w:t>
            </w:r>
          </w:p>
        </w:tc>
        <w:tc>
          <w:tcPr>
            <w:tcW w:w="0" w:type="dxa"/>
            <w:vAlign w:val="bottom"/>
          </w:tcPr>
          <w:p>
            <w:pPr>
              <w:spacing w:after="0"/>
              <w:rPr>
                <w:sz w:val="1"/>
                <w:szCs w:val="1"/>
                <w:color w:val="auto"/>
              </w:rPr>
            </w:pPr>
          </w:p>
        </w:tc>
      </w:tr>
      <w:tr>
        <w:trPr>
          <w:trHeight w:val="226"/>
        </w:trPr>
        <w:tc>
          <w:tcPr>
            <w:tcW w:w="3760" w:type="dxa"/>
            <w:vAlign w:val="bottom"/>
            <w:vMerge w:val="continue"/>
          </w:tcPr>
          <w:p>
            <w:pPr>
              <w:spacing w:after="0"/>
              <w:rPr>
                <w:sz w:val="19"/>
                <w:szCs w:val="19"/>
                <w:color w:val="auto"/>
              </w:rPr>
            </w:pPr>
          </w:p>
        </w:tc>
        <w:tc>
          <w:tcPr>
            <w:tcW w:w="6380" w:type="dxa"/>
            <w:vAlign w:val="bottom"/>
          </w:tcPr>
          <w:p>
            <w:pPr>
              <w:ind w:left="6180"/>
              <w:spacing w:after="0"/>
              <w:rPr>
                <w:sz w:val="20"/>
                <w:szCs w:val="20"/>
                <w:color w:val="auto"/>
              </w:rPr>
            </w:pPr>
            <w:r>
              <w:rPr>
                <w:rFonts w:ascii="Arial" w:cs="Arial" w:eastAsia="Arial" w:hAnsi="Arial"/>
                <w:sz w:val="19"/>
                <w:szCs w:val="19"/>
                <w:color w:val="898989"/>
                <w:w w:val="84"/>
              </w:rPr>
              <w:t>25</w:t>
            </w:r>
          </w:p>
        </w:tc>
        <w:tc>
          <w:tcPr>
            <w:tcW w:w="0" w:type="dxa"/>
            <w:vAlign w:val="bottom"/>
          </w:tcPr>
          <w:p>
            <w:pPr>
              <w:spacing w:after="0"/>
              <w:rPr>
                <w:sz w:val="1"/>
                <w:szCs w:val="1"/>
                <w:color w:val="auto"/>
              </w:rPr>
            </w:pPr>
          </w:p>
        </w:tc>
      </w:tr>
    </w:tbl>
    <w:p>
      <w:pPr>
        <w:sectPr>
          <w:pgSz w:w="11900" w:h="16838" w:orient="portrait"/>
          <w:cols w:equalWidth="0" w:num="1">
            <w:col w:w="10140"/>
          </w:cols>
          <w:pgMar w:left="860" w:top="1240" w:right="899" w:bottom="1440" w:gutter="0" w:footer="0" w:header="0"/>
        </w:sectPr>
      </w:pPr>
    </w:p>
    <w:bookmarkStart w:id="28" w:name="page29"/>
    <w:bookmarkEnd w:id="28"/>
    <w:p>
      <w:pPr>
        <w:ind w:left="380"/>
        <w:spacing w:after="0"/>
        <w:rPr>
          <w:sz w:val="20"/>
          <w:szCs w:val="20"/>
          <w:color w:val="auto"/>
        </w:rPr>
      </w:pPr>
      <w:r>
        <w:rPr>
          <w:rFonts w:ascii="Arial" w:cs="Arial" w:eastAsia="Arial" w:hAnsi="Arial"/>
          <w:sz w:val="55"/>
          <w:szCs w:val="55"/>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ectPr>
          <w:pgSz w:w="11900" w:h="16838" w:orient="portrait"/>
          <w:cols w:equalWidth="0" w:num="1">
            <w:col w:w="10140"/>
          </w:cols>
          <w:pgMar w:left="860" w:top="12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840"/>
        <w:spacing w:after="0"/>
        <w:rPr>
          <w:sz w:val="20"/>
          <w:szCs w:val="20"/>
          <w:color w:val="auto"/>
        </w:rPr>
      </w:pPr>
      <w:r>
        <w:rPr>
          <w:rFonts w:ascii="Arial" w:cs="Arial" w:eastAsia="Arial" w:hAnsi="Arial"/>
          <w:sz w:val="34"/>
          <w:szCs w:val="34"/>
          <w:b w:val="1"/>
          <w:bCs w:val="1"/>
          <w:color w:val="F79646"/>
        </w:rPr>
        <w:t>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2015</w:t>
      </w:r>
    </w:p>
    <w:p>
      <w:pPr>
        <w:spacing w:after="0" w:line="45" w:lineRule="exact"/>
        <w:rPr>
          <w:sz w:val="20"/>
          <w:szCs w:val="20"/>
          <w:color w:val="auto"/>
        </w:rPr>
      </w:pPr>
    </w:p>
    <w:p>
      <w:pPr>
        <w:ind w:right="40"/>
        <w:spacing w:after="0" w:line="267" w:lineRule="auto"/>
        <w:rPr>
          <w:sz w:val="20"/>
          <w:szCs w:val="20"/>
          <w:color w:val="auto"/>
        </w:rPr>
      </w:pPr>
      <w:r>
        <w:rPr>
          <w:rFonts w:ascii="Arial" w:cs="Arial" w:eastAsia="Arial" w:hAnsi="Arial"/>
          <w:sz w:val="22"/>
          <w:szCs w:val="22"/>
          <w:color w:val="auto"/>
        </w:rPr>
        <w:t xml:space="preserve">Completerolloutwith </w:t>
      </w:r>
      <w:r>
        <w:rPr>
          <w:rFonts w:ascii="Arial" w:cs="Arial" w:eastAsia="Arial" w:hAnsi="Arial"/>
          <w:sz w:val="22"/>
          <w:szCs w:val="22"/>
          <w:b w:val="1"/>
          <w:bCs w:val="1"/>
          <w:color w:val="auto"/>
        </w:rPr>
        <w:t>225 - 250</w:t>
      </w:r>
      <w:r>
        <w:rPr>
          <w:rFonts w:ascii="Arial" w:cs="Arial" w:eastAsia="Arial" w:hAnsi="Arial"/>
          <w:sz w:val="22"/>
          <w:szCs w:val="22"/>
          <w:color w:val="auto"/>
        </w:rPr>
        <w:t xml:space="preserve"> opened DXL stores and Closureof remaining </w:t>
      </w:r>
      <w:r>
        <w:rPr>
          <w:rFonts w:ascii="Arial" w:cs="Arial" w:eastAsia="Arial" w:hAnsi="Arial"/>
          <w:sz w:val="18"/>
          <w:szCs w:val="18"/>
          <w:b w:val="1"/>
          <w:bCs w:val="1"/>
          <w:color w:val="auto"/>
        </w:rPr>
        <w:t>60</w:t>
      </w:r>
      <w:r>
        <w:rPr>
          <w:rFonts w:ascii="Arial" w:cs="Arial" w:eastAsia="Arial" w:hAnsi="Arial"/>
          <w:sz w:val="22"/>
          <w:szCs w:val="22"/>
          <w:color w:val="auto"/>
        </w:rPr>
        <w:t xml:space="preserve"> Casual Male XL anchor stores</w:t>
      </w:r>
    </w:p>
    <w:p>
      <w:pPr>
        <w:spacing w:after="0" w:line="210" w:lineRule="exact"/>
        <w:rPr>
          <w:sz w:val="20"/>
          <w:szCs w:val="20"/>
          <w:color w:val="auto"/>
        </w:rPr>
      </w:pPr>
    </w:p>
    <w:p>
      <w:pPr>
        <w:ind w:right="1080"/>
        <w:spacing w:after="0" w:line="281" w:lineRule="auto"/>
        <w:rPr>
          <w:sz w:val="20"/>
          <w:szCs w:val="20"/>
          <w:color w:val="auto"/>
        </w:rPr>
      </w:pPr>
      <w:r>
        <w:rPr>
          <w:rFonts w:ascii="Arial" w:cs="Arial" w:eastAsia="Arial" w:hAnsi="Arial"/>
          <w:sz w:val="22"/>
          <w:szCs w:val="22"/>
          <w:color w:val="auto"/>
        </w:rPr>
        <w:t xml:space="preserve">Operatingmarginsgaintraction and increaseto </w:t>
      </w:r>
      <w:r>
        <w:rPr>
          <w:rFonts w:ascii="Arial" w:cs="Arial" w:eastAsia="Arial" w:hAnsi="Arial"/>
          <w:sz w:val="22"/>
          <w:szCs w:val="22"/>
          <w:b w:val="1"/>
          <w:bCs w:val="1"/>
          <w:color w:val="auto"/>
        </w:rPr>
        <w:t>8% - 9%</w:t>
      </w:r>
      <w:r>
        <w:rPr>
          <w:rFonts w:ascii="Arial" w:cs="Arial" w:eastAsia="Arial" w:hAnsi="Arial"/>
          <w:sz w:val="22"/>
          <w:szCs w:val="22"/>
          <w:color w:val="auto"/>
        </w:rPr>
        <w:t xml:space="preserve"> </w:t>
      </w:r>
      <w:r>
        <w:rPr>
          <w:rFonts w:ascii="Arial" w:cs="Arial" w:eastAsia="Arial" w:hAnsi="Arial"/>
          <w:sz w:val="22"/>
          <w:szCs w:val="22"/>
          <w:b w:val="1"/>
          <w:bCs w:val="1"/>
          <w:color w:val="auto"/>
        </w:rPr>
        <w:t>(from 4.2% in ‘11)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CapEx expected to be approximately </w:t>
      </w:r>
      <w:r>
        <w:rPr>
          <w:rFonts w:ascii="Arial" w:cs="Arial" w:eastAsia="Arial" w:hAnsi="Arial"/>
          <w:sz w:val="18"/>
          <w:szCs w:val="18"/>
          <w:b w:val="1"/>
          <w:bCs w:val="1"/>
          <w:color w:val="auto"/>
        </w:rPr>
        <w:t>$35M</w:t>
      </w:r>
    </w:p>
    <w:p>
      <w:pPr>
        <w:spacing w:after="0" w:line="276" w:lineRule="exact"/>
        <w:rPr>
          <w:sz w:val="20"/>
          <w:szCs w:val="20"/>
          <w:color w:val="auto"/>
        </w:rPr>
      </w:pPr>
    </w:p>
    <w:p>
      <w:pPr>
        <w:ind w:right="1300"/>
        <w:spacing w:after="0" w:line="275" w:lineRule="auto"/>
        <w:rPr>
          <w:sz w:val="20"/>
          <w:szCs w:val="20"/>
          <w:color w:val="auto"/>
        </w:rPr>
      </w:pPr>
      <w:r>
        <w:rPr>
          <w:rFonts w:ascii="Arial" w:cs="Arial" w:eastAsia="Arial" w:hAnsi="Arial"/>
          <w:sz w:val="22"/>
          <w:szCs w:val="22"/>
          <w:color w:val="auto"/>
        </w:rPr>
        <w:t xml:space="preserve">Lease exit and asset impairment charges in the range of </w:t>
      </w:r>
      <w:r>
        <w:rPr>
          <w:rFonts w:ascii="Arial" w:cs="Arial" w:eastAsia="Arial" w:hAnsi="Arial"/>
          <w:sz w:val="18"/>
          <w:szCs w:val="18"/>
          <w:b w:val="1"/>
          <w:bCs w:val="1"/>
          <w:color w:val="auto"/>
        </w:rPr>
        <w:t>$2-$4M</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3400" w:space="720"/>
            <w:col w:w="6020"/>
          </w:cols>
          <w:pgMar w:left="860" w:top="1240" w:right="899" w:bottom="1440" w:gutter="0" w:footer="0" w:header="0"/>
          <w:type w:val="continuous"/>
        </w:sectPr>
      </w:pPr>
    </w:p>
    <w:p>
      <w:pPr>
        <w:spacing w:after="0" w:line="154" w:lineRule="exact"/>
        <w:rPr>
          <w:sz w:val="20"/>
          <w:szCs w:val="20"/>
          <w:color w:val="auto"/>
        </w:rPr>
      </w:pPr>
    </w:p>
    <w:p>
      <w:pPr>
        <w:ind w:left="1200"/>
        <w:spacing w:after="0"/>
        <w:rPr>
          <w:sz w:val="20"/>
          <w:szCs w:val="20"/>
          <w:color w:val="auto"/>
        </w:rPr>
      </w:pPr>
      <w:r>
        <w:rPr>
          <w:rFonts w:ascii="Arial" w:cs="Arial" w:eastAsia="Arial" w:hAnsi="Arial"/>
          <w:sz w:val="38"/>
          <w:szCs w:val="38"/>
          <w:b w:val="1"/>
          <w:bCs w:val="1"/>
          <w:color w:val="F79646"/>
        </w:rPr>
        <w:t>2012 - 2014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5780" w:type="dxa"/>
            <w:vAlign w:val="bottom"/>
          </w:tcPr>
          <w:p>
            <w:pPr>
              <w:spacing w:after="0"/>
              <w:rPr>
                <w:sz w:val="20"/>
                <w:szCs w:val="20"/>
                <w:color w:val="auto"/>
              </w:rPr>
            </w:pPr>
            <w:r>
              <w:rPr>
                <w:rFonts w:ascii="Arial" w:cs="Arial" w:eastAsia="Arial" w:hAnsi="Arial"/>
                <w:sz w:val="22"/>
                <w:szCs w:val="22"/>
                <w:color w:val="auto"/>
              </w:rPr>
              <w:t>* Net of subleases</w:t>
            </w:r>
          </w:p>
        </w:tc>
        <w:tc>
          <w:tcPr>
            <w:tcW w:w="4360" w:type="dxa"/>
            <w:vAlign w:val="bottom"/>
          </w:tcPr>
          <w:p>
            <w:pPr>
              <w:jc w:val="right"/>
              <w:spacing w:after="0"/>
              <w:rPr>
                <w:sz w:val="20"/>
                <w:szCs w:val="20"/>
                <w:color w:val="auto"/>
              </w:rPr>
            </w:pPr>
            <w:r>
              <w:rPr>
                <w:rFonts w:ascii="Arial" w:cs="Arial" w:eastAsia="Arial" w:hAnsi="Arial"/>
                <w:sz w:val="19"/>
                <w:szCs w:val="19"/>
                <w:color w:val="898989"/>
              </w:rPr>
              <w:t>26</w:t>
            </w:r>
          </w:p>
        </w:tc>
      </w:tr>
    </w:tbl>
    <w:p>
      <w:pPr>
        <w:sectPr>
          <w:pgSz w:w="11900" w:h="16838" w:orient="portrait"/>
          <w:cols w:equalWidth="0" w:num="1">
            <w:col w:w="10140"/>
          </w:cols>
          <w:pgMar w:left="860" w:top="1240" w:right="8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55"/>
          <w:szCs w:val="55"/>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Accelerated Rollout of DXL</w:t>
      </w:r>
    </w:p>
    <w:p>
      <w:pPr>
        <w:sectPr>
          <w:pgSz w:w="11900" w:h="16838" w:orient="portrait"/>
          <w:cols w:equalWidth="0" w:num="1">
            <w:col w:w="9760"/>
          </w:cols>
          <w:pgMar w:left="1240" w:top="12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20"/>
        <w:spacing w:after="0"/>
        <w:rPr>
          <w:sz w:val="20"/>
          <w:szCs w:val="20"/>
          <w:color w:val="auto"/>
        </w:rPr>
      </w:pPr>
      <w:r>
        <w:rPr>
          <w:rFonts w:ascii="Arial" w:cs="Arial" w:eastAsia="Arial" w:hAnsi="Arial"/>
          <w:sz w:val="38"/>
          <w:szCs w:val="38"/>
          <w:b w:val="1"/>
          <w:bCs w:val="1"/>
          <w:color w:val="F79646"/>
        </w:rPr>
        <w:t>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00"/>
        <w:spacing w:after="0"/>
        <w:rPr>
          <w:sz w:val="20"/>
          <w:szCs w:val="20"/>
          <w:color w:val="auto"/>
        </w:rPr>
      </w:pPr>
      <w:r>
        <w:rPr>
          <w:rFonts w:ascii="Arial" w:cs="Arial" w:eastAsia="Arial" w:hAnsi="Arial"/>
          <w:sz w:val="38"/>
          <w:szCs w:val="38"/>
          <w:b w:val="1"/>
          <w:bCs w:val="1"/>
          <w:color w:val="F79646"/>
        </w:rPr>
        <w:t>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80"/>
        <w:spacing w:after="0"/>
        <w:rPr>
          <w:sz w:val="20"/>
          <w:szCs w:val="20"/>
          <w:color w:val="auto"/>
        </w:rPr>
      </w:pPr>
      <w:r>
        <w:rPr>
          <w:rFonts w:ascii="Arial" w:cs="Arial" w:eastAsia="Arial" w:hAnsi="Arial"/>
          <w:sz w:val="34"/>
          <w:szCs w:val="34"/>
          <w:b w:val="1"/>
          <w:bCs w:val="1"/>
          <w:color w:val="F79646"/>
        </w:rPr>
        <w:t>2012 -2014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2016</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Full benefit of DXL concept drives revenue </w:t>
      </w:r>
      <w:r>
        <w:rPr>
          <w:rFonts w:ascii="Arial" w:cs="Arial" w:eastAsia="Arial" w:hAnsi="Arial"/>
          <w:sz w:val="20"/>
          <w:szCs w:val="20"/>
          <w:b w:val="1"/>
          <w:bCs w:val="1"/>
          <w:color w:val="auto"/>
        </w:rPr>
        <w:t>&gt;$600M</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Open average of </w:t>
      </w:r>
      <w:r>
        <w:rPr>
          <w:rFonts w:ascii="Arial" w:cs="Arial" w:eastAsia="Arial" w:hAnsi="Arial"/>
          <w:sz w:val="22"/>
          <w:szCs w:val="22"/>
          <w:b w:val="1"/>
          <w:bCs w:val="1"/>
          <w:color w:val="auto"/>
        </w:rPr>
        <w:t>10</w:t>
      </w:r>
      <w:r>
        <w:rPr>
          <w:rFonts w:ascii="Arial" w:cs="Arial" w:eastAsia="Arial" w:hAnsi="Arial"/>
          <w:sz w:val="22"/>
          <w:szCs w:val="22"/>
          <w:color w:val="auto"/>
        </w:rPr>
        <w:t xml:space="preserve"> DXL stores per year</w:t>
      </w:r>
    </w:p>
    <w:p>
      <w:pPr>
        <w:spacing w:after="0" w:line="276" w:lineRule="exact"/>
        <w:rPr>
          <w:sz w:val="20"/>
          <w:szCs w:val="20"/>
          <w:color w:val="auto"/>
        </w:rPr>
      </w:pPr>
    </w:p>
    <w:p>
      <w:pPr>
        <w:ind w:right="1960"/>
        <w:spacing w:after="0" w:line="333" w:lineRule="auto"/>
        <w:rPr>
          <w:sz w:val="20"/>
          <w:szCs w:val="20"/>
          <w:color w:val="auto"/>
        </w:rPr>
      </w:pPr>
      <w:r>
        <w:rPr>
          <w:rFonts w:ascii="Arial" w:cs="Arial" w:eastAsia="Arial" w:hAnsi="Arial"/>
          <w:sz w:val="20"/>
          <w:szCs w:val="20"/>
          <w:color w:val="auto"/>
        </w:rPr>
        <w:t>Approximately</w:t>
      </w:r>
      <w:r>
        <w:rPr>
          <w:rFonts w:ascii="Arial" w:cs="Arial" w:eastAsia="Arial" w:hAnsi="Arial"/>
          <w:sz w:val="20"/>
          <w:szCs w:val="20"/>
          <w:b w:val="1"/>
          <w:bCs w:val="1"/>
          <w:color w:val="auto"/>
        </w:rPr>
        <w:t>50</w:t>
      </w:r>
      <w:r>
        <w:rPr>
          <w:rFonts w:ascii="Arial" w:cs="Arial" w:eastAsia="Arial" w:hAnsi="Arial"/>
          <w:sz w:val="20"/>
          <w:szCs w:val="20"/>
          <w:color w:val="auto"/>
        </w:rPr>
        <w:t xml:space="preserve"> CMXLoutlet stores and </w:t>
      </w:r>
      <w:r>
        <w:rPr>
          <w:rFonts w:ascii="Arial" w:cs="Arial" w:eastAsia="Arial" w:hAnsi="Arial"/>
          <w:sz w:val="20"/>
          <w:szCs w:val="20"/>
          <w:b w:val="1"/>
          <w:bCs w:val="1"/>
          <w:color w:val="auto"/>
        </w:rPr>
        <w:t xml:space="preserve">5 </w:t>
      </w:r>
      <w:r>
        <w:rPr>
          <w:rFonts w:ascii="Arial" w:cs="Arial" w:eastAsia="Arial" w:hAnsi="Arial"/>
          <w:sz w:val="20"/>
          <w:szCs w:val="20"/>
          <w:color w:val="auto"/>
        </w:rPr>
        <w:t>Rochester Clothing stores remain open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Operating margins </w:t>
      </w:r>
      <w:r>
        <w:rPr>
          <w:rFonts w:ascii="Arial" w:cs="Arial" w:eastAsia="Arial" w:hAnsi="Arial"/>
          <w:sz w:val="22"/>
          <w:szCs w:val="22"/>
          <w:b w:val="1"/>
          <w:bCs w:val="1"/>
          <w:color w:val="auto"/>
        </w:rPr>
        <w:t>&gt;10%</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Generating freecash flowin the rangeof </w:t>
      </w:r>
      <w:r>
        <w:rPr>
          <w:rFonts w:ascii="Arial" w:cs="Arial" w:eastAsia="Arial" w:hAnsi="Arial"/>
          <w:sz w:val="21"/>
          <w:szCs w:val="21"/>
          <w:b w:val="1"/>
          <w:bCs w:val="1"/>
          <w:color w:val="auto"/>
        </w:rPr>
        <w:t>$55 -$65M</w:t>
      </w:r>
    </w:p>
    <w:p>
      <w:pPr>
        <w:spacing w:after="0" w:line="1006" w:lineRule="exact"/>
        <w:rPr>
          <w:sz w:val="20"/>
          <w:szCs w:val="20"/>
          <w:color w:val="auto"/>
        </w:rPr>
      </w:pPr>
    </w:p>
    <w:p>
      <w:pPr>
        <w:sectPr>
          <w:pgSz w:w="11900" w:h="16838" w:orient="portrait"/>
          <w:cols w:equalWidth="0" w:num="2">
            <w:col w:w="3420" w:space="720"/>
            <w:col w:w="5620"/>
          </w:cols>
          <w:pgMar w:left="1240" w:top="124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560"/>
        <w:spacing w:after="0"/>
        <w:rPr>
          <w:sz w:val="20"/>
          <w:szCs w:val="20"/>
          <w:color w:val="auto"/>
        </w:rPr>
      </w:pPr>
      <w:r>
        <w:rPr>
          <w:rFonts w:ascii="Arial" w:cs="Arial" w:eastAsia="Arial" w:hAnsi="Arial"/>
          <w:sz w:val="17"/>
          <w:szCs w:val="17"/>
          <w:color w:val="898989"/>
        </w:rPr>
        <w:t>27</w:t>
      </w:r>
    </w:p>
    <w:p>
      <w:pPr>
        <w:sectPr>
          <w:pgSz w:w="11900" w:h="16838" w:orient="portrait"/>
          <w:cols w:equalWidth="0" w:num="1">
            <w:col w:w="9760"/>
          </w:cols>
          <w:pgMar w:left="1240" w:top="1240" w:right="899" w:bottom="144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52"/>
          <w:szCs w:val="52"/>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Increased Awareness = Opportunity</w:t>
      </w:r>
    </w:p>
    <w:p>
      <w:pPr>
        <w:sectPr>
          <w:pgSz w:w="11900" w:h="16838" w:orient="portrait"/>
          <w:cols w:equalWidth="0" w:num="1">
            <w:col w:w="10780"/>
          </w:cols>
          <w:pgMar w:left="480" w:top="888" w:right="639" w:bottom="1440" w:gutter="0" w:footer="0" w:header="0"/>
        </w:sectPr>
      </w:pPr>
    </w:p>
    <w:p>
      <w:pPr>
        <w:spacing w:after="0" w:line="365" w:lineRule="exact"/>
        <w:rPr>
          <w:sz w:val="20"/>
          <w:szCs w:val="20"/>
          <w:color w:val="auto"/>
        </w:rPr>
      </w:pPr>
    </w:p>
    <w:p>
      <w:pPr>
        <w:ind w:left="1420"/>
        <w:spacing w:after="0"/>
        <w:rPr>
          <w:sz w:val="20"/>
          <w:szCs w:val="20"/>
          <w:color w:val="auto"/>
        </w:rPr>
      </w:pPr>
      <w:r>
        <w:rPr>
          <w:rFonts w:ascii="Arial" w:cs="Arial" w:eastAsia="Arial" w:hAnsi="Arial"/>
          <w:sz w:val="25"/>
          <w:szCs w:val="25"/>
          <w:color w:val="auto"/>
        </w:rPr>
        <w:t>DXL Customer Purchase Funnel*</w:t>
      </w:r>
    </w:p>
    <w:p>
      <w:pPr>
        <w:spacing w:after="0" w:line="387" w:lineRule="exact"/>
        <w:rPr>
          <w:sz w:val="20"/>
          <w:szCs w:val="20"/>
          <w:color w:val="auto"/>
        </w:rPr>
      </w:pPr>
    </w:p>
    <w:p>
      <w:pPr>
        <w:ind w:left="2160"/>
        <w:spacing w:after="0"/>
        <w:rPr>
          <w:sz w:val="20"/>
          <w:szCs w:val="20"/>
          <w:color w:val="auto"/>
        </w:rPr>
      </w:pPr>
      <w:r>
        <w:rPr>
          <w:rFonts w:ascii="Arial" w:cs="Arial" w:eastAsia="Arial" w:hAnsi="Arial"/>
          <w:sz w:val="25"/>
          <w:szCs w:val="25"/>
          <w:b w:val="1"/>
          <w:bCs w:val="1"/>
          <w:color w:val="auto"/>
        </w:rPr>
        <w:t>Addressable Population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00"/>
        <w:spacing w:after="0"/>
        <w:rPr>
          <w:sz w:val="20"/>
          <w:szCs w:val="20"/>
          <w:color w:val="auto"/>
        </w:rPr>
      </w:pPr>
      <w:r>
        <w:rPr>
          <w:rFonts w:ascii="Arial" w:cs="Arial" w:eastAsia="Arial" w:hAnsi="Arial"/>
          <w:sz w:val="25"/>
          <w:szCs w:val="25"/>
          <w:b w:val="1"/>
          <w:bCs w:val="1"/>
          <w:color w:val="auto"/>
        </w:rPr>
        <w:t>Aware of DXL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60"/>
        <w:spacing w:after="0"/>
        <w:rPr>
          <w:sz w:val="20"/>
          <w:szCs w:val="20"/>
          <w:color w:val="auto"/>
        </w:rPr>
      </w:pPr>
      <w:r>
        <w:rPr>
          <w:rFonts w:ascii="Arial" w:cs="Arial" w:eastAsia="Arial" w:hAnsi="Arial"/>
          <w:sz w:val="25"/>
          <w:szCs w:val="25"/>
          <w:b w:val="1"/>
          <w:bCs w:val="1"/>
          <w:color w:val="auto"/>
        </w:rPr>
        <w:t>Visiting DXL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1140"/>
        <w:spacing w:after="0"/>
        <w:rPr>
          <w:sz w:val="20"/>
          <w:szCs w:val="20"/>
          <w:color w:val="auto"/>
        </w:rPr>
      </w:pPr>
      <w:r>
        <w:rPr>
          <w:rFonts w:ascii="Arial" w:cs="Arial" w:eastAsia="Arial" w:hAnsi="Arial"/>
          <w:sz w:val="25"/>
          <w:szCs w:val="25"/>
          <w:b w:val="1"/>
          <w:bCs w:val="1"/>
          <w:color w:val="auto"/>
        </w:rPr>
        <w:t>Purchasing</w:t>
      </w:r>
    </w:p>
    <w:p>
      <w:pPr>
        <w:spacing w:after="0" w:line="35" w:lineRule="exact"/>
        <w:rPr>
          <w:sz w:val="20"/>
          <w:szCs w:val="20"/>
          <w:color w:val="auto"/>
        </w:rPr>
      </w:pPr>
    </w:p>
    <w:p>
      <w:pPr>
        <w:jc w:val="right"/>
        <w:ind w:right="1140"/>
        <w:spacing w:after="0"/>
        <w:rPr>
          <w:sz w:val="20"/>
          <w:szCs w:val="20"/>
          <w:color w:val="auto"/>
        </w:rPr>
      </w:pPr>
      <w:r>
        <w:rPr>
          <w:rFonts w:ascii="Arial" w:cs="Arial" w:eastAsia="Arial" w:hAnsi="Arial"/>
          <w:sz w:val="25"/>
          <w:szCs w:val="25"/>
          <w:b w:val="1"/>
          <w:bCs w:val="1"/>
          <w:color w:val="auto"/>
        </w:rPr>
        <w:t>from DXL</w:t>
      </w:r>
    </w:p>
    <w:p>
      <w:pPr>
        <w:spacing w:after="0" w:line="200" w:lineRule="exact"/>
        <w:rPr>
          <w:sz w:val="20"/>
          <w:szCs w:val="20"/>
          <w:color w:val="auto"/>
        </w:rPr>
      </w:pPr>
    </w:p>
    <w:p>
      <w:pPr>
        <w:spacing w:after="0" w:line="202" w:lineRule="exact"/>
        <w:rPr>
          <w:sz w:val="20"/>
          <w:szCs w:val="20"/>
          <w:color w:val="auto"/>
        </w:rPr>
      </w:pPr>
    </w:p>
    <w:p>
      <w:pPr>
        <w:ind w:left="3160"/>
        <w:spacing w:after="0"/>
        <w:rPr>
          <w:sz w:val="20"/>
          <w:szCs w:val="20"/>
          <w:color w:val="auto"/>
        </w:rPr>
      </w:pPr>
      <w:r>
        <w:rPr>
          <w:rFonts w:ascii="Arial" w:cs="Arial" w:eastAsia="Arial" w:hAnsi="Arial"/>
          <w:sz w:val="25"/>
          <w:szCs w:val="25"/>
          <w:b w:val="1"/>
          <w:bCs w:val="1"/>
          <w:color w:val="auto"/>
        </w:rPr>
        <w:t>Repeat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DXL’s addressable market is primarily men with over 40”waist</w:t>
      </w:r>
    </w:p>
    <w:p>
      <w:pPr>
        <w:spacing w:after="0" w:line="200" w:lineRule="exact"/>
        <w:rPr>
          <w:sz w:val="20"/>
          <w:szCs w:val="20"/>
          <w:color w:val="auto"/>
        </w:rPr>
      </w:pPr>
    </w:p>
    <w:p>
      <w:pPr>
        <w:spacing w:after="0" w:line="35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Awareness of DXL is low across its markets, directly impacting 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Of those aware of DXL, only 8% are visiting the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73% of those that visit the store make a purchase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auto"/>
        </w:rPr>
        <w:t>89% of those that make a purchase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intend to return</w:t>
      </w:r>
    </w:p>
    <w:p>
      <w:pPr>
        <w:spacing w:after="0" w:line="200" w:lineRule="exact"/>
        <w:rPr>
          <w:sz w:val="20"/>
          <w:szCs w:val="20"/>
          <w:color w:val="auto"/>
        </w:rPr>
      </w:pPr>
    </w:p>
    <w:p>
      <w:pPr>
        <w:sectPr>
          <w:pgSz w:w="11900" w:h="16838" w:orient="portrait"/>
          <w:cols w:equalWidth="0" w:num="2">
            <w:col w:w="5240" w:space="680"/>
            <w:col w:w="4860"/>
          </w:cols>
          <w:pgMar w:left="480" w:top="888"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20"/>
                <w:szCs w:val="20"/>
                <w:color w:val="auto"/>
              </w:rPr>
            </w:pPr>
            <w:r>
              <w:rPr>
                <w:rFonts w:ascii="Arial" w:cs="Arial" w:eastAsia="Arial" w:hAnsi="Arial"/>
                <w:sz w:val="19"/>
                <w:szCs w:val="19"/>
                <w:color w:val="auto"/>
              </w:rPr>
              <w:t>*Based on consumers’stated responses per L.E.K’s survey within DXL markets</w:t>
            </w:r>
          </w:p>
        </w:tc>
        <w:tc>
          <w:tcPr>
            <w:tcW w:w="2380" w:type="dxa"/>
            <w:vAlign w:val="bottom"/>
            <w:vMerge w:val="restart"/>
          </w:tcPr>
          <w:p>
            <w:pPr>
              <w:jc w:val="right"/>
              <w:spacing w:after="0"/>
              <w:rPr>
                <w:sz w:val="20"/>
                <w:szCs w:val="20"/>
                <w:color w:val="auto"/>
              </w:rPr>
            </w:pPr>
            <w:r>
              <w:rPr>
                <w:rFonts w:ascii="Arial" w:cs="Arial" w:eastAsia="Arial" w:hAnsi="Arial"/>
                <w:sz w:val="19"/>
                <w:szCs w:val="19"/>
                <w:color w:val="898989"/>
              </w:rPr>
              <w:t>28</w:t>
            </w:r>
          </w:p>
        </w:tc>
        <w:tc>
          <w:tcPr>
            <w:tcW w:w="0" w:type="dxa"/>
            <w:vAlign w:val="bottom"/>
          </w:tcPr>
          <w:p>
            <w:pPr>
              <w:spacing w:after="0"/>
              <w:rPr>
                <w:sz w:val="1"/>
                <w:szCs w:val="1"/>
                <w:color w:val="auto"/>
              </w:rPr>
            </w:pPr>
          </w:p>
        </w:tc>
      </w:tr>
      <w:tr>
        <w:trPr>
          <w:trHeight w:val="110"/>
        </w:trPr>
        <w:tc>
          <w:tcPr>
            <w:tcW w:w="8140" w:type="dxa"/>
            <w:vAlign w:val="bottom"/>
            <w:vMerge w:val="restart"/>
          </w:tcPr>
          <w:p>
            <w:pPr>
              <w:spacing w:after="0"/>
              <w:rPr>
                <w:sz w:val="20"/>
                <w:szCs w:val="20"/>
                <w:color w:val="auto"/>
              </w:rPr>
            </w:pPr>
            <w:r>
              <w:rPr>
                <w:rFonts w:ascii="Arial" w:cs="Arial" w:eastAsia="Arial" w:hAnsi="Arial"/>
                <w:sz w:val="19"/>
                <w:szCs w:val="19"/>
                <w:color w:val="auto"/>
              </w:rPr>
              <w:t>Source: L.E.K analysis</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140" w:type="dxa"/>
            <w:vAlign w:val="bottom"/>
            <w:vMerge w:val="continue"/>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480" w:top="888" w:right="6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54"/>
          <w:szCs w:val="54"/>
          <w:b w:val="1"/>
          <w:bCs w:val="1"/>
          <w:color w:val="595959"/>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Raising DestinationXL </w:t>
      </w:r>
      <w:r>
        <w:rPr>
          <w:rFonts w:ascii="Arial" w:cs="Arial" w:eastAsia="Arial" w:hAnsi="Arial"/>
          <w:sz w:val="69"/>
          <w:szCs w:val="69"/>
          <w:b w:val="1"/>
          <w:bCs w:val="1"/>
          <w:color w:val="595959"/>
          <w:vertAlign w:val="superscript"/>
        </w:rPr>
        <w:t>®</w:t>
      </w:r>
      <w:r>
        <w:rPr>
          <w:rFonts w:ascii="Arial" w:cs="Arial" w:eastAsia="Arial" w:hAnsi="Arial"/>
          <w:sz w:val="54"/>
          <w:szCs w:val="54"/>
          <w:b w:val="1"/>
          <w:bCs w:val="1"/>
          <w:color w:val="595959"/>
        </w:rPr>
        <w:t xml:space="preserve">  Awareness</w:t>
      </w:r>
    </w:p>
    <w:p>
      <w:pPr>
        <w:sectPr>
          <w:pgSz w:w="11900" w:h="16838" w:orient="portrait"/>
          <w:cols w:equalWidth="0" w:num="1">
            <w:col w:w="10380"/>
          </w:cols>
          <w:pgMar w:left="620" w:top="77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60" w:right="420" w:hanging="340"/>
        <w:spacing w:after="0" w:line="327" w:lineRule="auto"/>
        <w:rPr>
          <w:sz w:val="20"/>
          <w:szCs w:val="20"/>
          <w:color w:val="auto"/>
        </w:rPr>
      </w:pPr>
      <w:r>
        <w:rPr>
          <w:rFonts w:ascii="Arial" w:cs="Arial" w:eastAsia="Arial" w:hAnsi="Arial"/>
          <w:sz w:val="29"/>
          <w:szCs w:val="29"/>
          <w:b w:val="1"/>
          <w:bCs w:val="1"/>
          <w:color w:val="auto"/>
        </w:rPr>
        <w:t>Launched DestinationXL rebranding initiative</w:t>
      </w:r>
    </w:p>
    <w:p>
      <w:pPr>
        <w:spacing w:after="0" w:line="349" w:lineRule="exact"/>
        <w:rPr>
          <w:sz w:val="20"/>
          <w:szCs w:val="20"/>
          <w:color w:val="auto"/>
        </w:rPr>
      </w:pPr>
    </w:p>
    <w:p>
      <w:pPr>
        <w:ind w:left="1000" w:right="540" w:hanging="222"/>
        <w:spacing w:after="0" w:line="317" w:lineRule="auto"/>
        <w:rPr>
          <w:sz w:val="20"/>
          <w:szCs w:val="20"/>
          <w:color w:val="auto"/>
        </w:rPr>
      </w:pPr>
      <w:r>
        <w:rPr>
          <w:rFonts w:ascii="Arial" w:cs="Arial" w:eastAsia="Arial" w:hAnsi="Arial"/>
          <w:sz w:val="30"/>
          <w:szCs w:val="30"/>
          <w:b w:val="1"/>
          <w:bCs w:val="1"/>
          <w:color w:val="auto"/>
        </w:rPr>
        <w:t>Hired Chief Marketing Officer in June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0"/>
        <w:spacing w:after="0"/>
        <w:rPr>
          <w:sz w:val="20"/>
          <w:szCs w:val="20"/>
          <w:color w:val="auto"/>
        </w:rPr>
      </w:pPr>
      <w:r>
        <w:rPr>
          <w:rFonts w:ascii="Arial" w:cs="Arial" w:eastAsia="Arial" w:hAnsi="Arial"/>
          <w:sz w:val="32"/>
          <w:szCs w:val="32"/>
          <w:b w:val="1"/>
          <w:bCs w:val="1"/>
          <w:color w:val="auto"/>
        </w:rPr>
        <w:t>Began developing</w:t>
      </w:r>
    </w:p>
    <w:p>
      <w:pPr>
        <w:spacing w:after="0" w:line="45" w:lineRule="exact"/>
        <w:rPr>
          <w:sz w:val="20"/>
          <w:szCs w:val="20"/>
          <w:color w:val="auto"/>
        </w:rPr>
      </w:pPr>
    </w:p>
    <w:p>
      <w:pPr>
        <w:ind w:left="1060"/>
        <w:spacing w:after="0"/>
        <w:rPr>
          <w:sz w:val="20"/>
          <w:szCs w:val="20"/>
          <w:color w:val="auto"/>
        </w:rPr>
      </w:pPr>
      <w:r>
        <w:rPr>
          <w:rFonts w:ascii="Arial" w:cs="Arial" w:eastAsia="Arial" w:hAnsi="Arial"/>
          <w:sz w:val="32"/>
          <w:szCs w:val="32"/>
          <w:b w:val="1"/>
          <w:bCs w:val="1"/>
          <w:color w:val="auto"/>
        </w:rPr>
        <w:t>marketing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Engaged</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advertising firm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440"/>
        <w:spacing w:after="0"/>
        <w:rPr>
          <w:sz w:val="20"/>
          <w:szCs w:val="20"/>
          <w:color w:val="auto"/>
        </w:rPr>
      </w:pPr>
      <w:r>
        <w:rPr>
          <w:rFonts w:ascii="Arial" w:cs="Arial" w:eastAsia="Arial" w:hAnsi="Arial"/>
          <w:sz w:val="32"/>
          <w:szCs w:val="32"/>
          <w:b w:val="1"/>
          <w:bCs w:val="1"/>
          <w:color w:val="auto"/>
        </w:rPr>
        <w:t>Identified</w:t>
      </w:r>
    </w:p>
    <w:p>
      <w:pPr>
        <w:spacing w:after="0" w:line="45" w:lineRule="exact"/>
        <w:rPr>
          <w:sz w:val="20"/>
          <w:szCs w:val="20"/>
          <w:color w:val="auto"/>
        </w:rPr>
      </w:pPr>
    </w:p>
    <w:p>
      <w:pPr>
        <w:jc w:val="center"/>
        <w:ind w:right="2420"/>
        <w:spacing w:after="0"/>
        <w:rPr>
          <w:sz w:val="20"/>
          <w:szCs w:val="20"/>
          <w:color w:val="auto"/>
        </w:rPr>
      </w:pPr>
      <w:r>
        <w:rPr>
          <w:rFonts w:ascii="Arial" w:cs="Arial" w:eastAsia="Arial" w:hAnsi="Arial"/>
          <w:sz w:val="32"/>
          <w:szCs w:val="32"/>
          <w:b w:val="1"/>
          <w:bCs w:val="1"/>
          <w:color w:val="auto"/>
        </w:rPr>
        <w:t>target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Developed balanced</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30"/>
          <w:szCs w:val="30"/>
          <w:b w:val="1"/>
          <w:bCs w:val="1"/>
          <w:color w:val="auto"/>
        </w:rPr>
        <w:t>marketing budget</w:t>
      </w:r>
    </w:p>
    <w:p>
      <w:pPr>
        <w:spacing w:after="0" w:line="200" w:lineRule="exact"/>
        <w:rPr>
          <w:sz w:val="20"/>
          <w:szCs w:val="20"/>
          <w:color w:val="auto"/>
        </w:rPr>
      </w:pPr>
    </w:p>
    <w:p>
      <w:pPr>
        <w:sectPr>
          <w:pgSz w:w="11900" w:h="16838" w:orient="portrait"/>
          <w:cols w:equalWidth="0" w:num="2">
            <w:col w:w="4460" w:space="720"/>
            <w:col w:w="5200"/>
          </w:cols>
          <w:pgMar w:left="620" w:top="770"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180"/>
        <w:spacing w:after="0"/>
        <w:rPr>
          <w:sz w:val="20"/>
          <w:szCs w:val="20"/>
          <w:color w:val="auto"/>
        </w:rPr>
      </w:pPr>
      <w:r>
        <w:rPr>
          <w:rFonts w:ascii="Arial" w:cs="Arial" w:eastAsia="Arial" w:hAnsi="Arial"/>
          <w:sz w:val="17"/>
          <w:szCs w:val="17"/>
          <w:color w:val="898989"/>
        </w:rPr>
        <w:t>29</w:t>
      </w:r>
    </w:p>
    <w:p>
      <w:pPr>
        <w:sectPr>
          <w:pgSz w:w="11900" w:h="16838" w:orient="portrait"/>
          <w:cols w:equalWidth="0" w:num="1">
            <w:col w:w="10380"/>
          </w:cols>
          <w:pgMar w:left="620" w:top="770" w:right="899" w:bottom="1440" w:gutter="0" w:footer="0" w:header="0"/>
          <w:type w:val="continuous"/>
        </w:sectPr>
      </w:pPr>
    </w:p>
    <w:bookmarkStart w:id="32" w:name="page33"/>
    <w:bookmarkEnd w:id="32"/>
    <w:p>
      <w:pPr>
        <w:ind w:left="2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Opportunity to Grow Market Share</w:t>
      </w:r>
    </w:p>
    <w:p>
      <w:pPr>
        <w:spacing w:after="0" w:line="300" w:lineRule="exact"/>
        <w:rPr>
          <w:sz w:val="20"/>
          <w:szCs w:val="20"/>
          <w:color w:val="auto"/>
        </w:rPr>
      </w:pPr>
    </w:p>
    <w:p>
      <w:pPr>
        <w:ind w:left="420" w:hanging="417"/>
        <w:spacing w:after="0"/>
        <w:tabs>
          <w:tab w:leader="none" w:pos="420" w:val="left"/>
        </w:tabs>
        <w:numPr>
          <w:ilvl w:val="0"/>
          <w:numId w:val="10"/>
        </w:numPr>
        <w:rPr>
          <w:rFonts w:ascii="Arial" w:cs="Arial" w:eastAsia="Arial" w:hAnsi="Arial"/>
          <w:sz w:val="38"/>
          <w:szCs w:val="38"/>
          <w:color w:val="5F5F5F"/>
        </w:rPr>
      </w:pPr>
      <w:r>
        <w:rPr>
          <w:rFonts w:ascii="Arial" w:cs="Arial" w:eastAsia="Arial" w:hAnsi="Arial"/>
          <w:sz w:val="38"/>
          <w:szCs w:val="38"/>
          <w:color w:val="5F5F5F"/>
        </w:rPr>
        <w:t>Capture greater wallet share with DXL concept</w:t>
      </w:r>
    </w:p>
    <w:p>
      <w:pPr>
        <w:spacing w:after="0" w:line="77"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Expansive selection blending private label/name brand apparel</w:t>
      </w:r>
    </w:p>
    <w:p>
      <w:pPr>
        <w:spacing w:after="0" w:line="78"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Appealing shopping environment</w:t>
      </w:r>
    </w:p>
    <w:p>
      <w:pPr>
        <w:spacing w:after="0" w:line="78"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Opportunity to grow clothing business with more complete solution</w:t>
      </w:r>
    </w:p>
    <w:p>
      <w:pPr>
        <w:spacing w:after="0" w:line="116" w:lineRule="exact"/>
        <w:rPr>
          <w:rFonts w:ascii="Arial" w:cs="Arial" w:eastAsia="Arial" w:hAnsi="Arial"/>
          <w:sz w:val="38"/>
          <w:szCs w:val="38"/>
          <w:color w:val="5F5F5F"/>
        </w:rPr>
      </w:pPr>
    </w:p>
    <w:p>
      <w:pPr>
        <w:ind w:left="420" w:hanging="417"/>
        <w:spacing w:after="0"/>
        <w:tabs>
          <w:tab w:leader="none" w:pos="420" w:val="left"/>
        </w:tabs>
        <w:numPr>
          <w:ilvl w:val="0"/>
          <w:numId w:val="10"/>
        </w:numPr>
        <w:rPr>
          <w:rFonts w:ascii="Arial" w:cs="Arial" w:eastAsia="Arial" w:hAnsi="Arial"/>
          <w:sz w:val="38"/>
          <w:szCs w:val="38"/>
          <w:color w:val="5F5F5F"/>
        </w:rPr>
      </w:pPr>
      <w:r>
        <w:rPr>
          <w:rFonts w:ascii="Arial" w:cs="Arial" w:eastAsia="Arial" w:hAnsi="Arial"/>
          <w:sz w:val="38"/>
          <w:szCs w:val="38"/>
          <w:color w:val="5F5F5F"/>
        </w:rPr>
        <w:t>Attract a broader customer audience with one-stop-shop</w:t>
      </w:r>
    </w:p>
    <w:p>
      <w:pPr>
        <w:spacing w:after="0" w:line="103" w:lineRule="exact"/>
        <w:rPr>
          <w:rFonts w:ascii="Arial" w:cs="Arial" w:eastAsia="Arial" w:hAnsi="Arial"/>
          <w:sz w:val="38"/>
          <w:szCs w:val="38"/>
          <w:color w:val="5F5F5F"/>
        </w:rPr>
      </w:pPr>
    </w:p>
    <w:p>
      <w:pPr>
        <w:ind w:left="420" w:hanging="417"/>
        <w:spacing w:after="0"/>
        <w:tabs>
          <w:tab w:leader="none" w:pos="420" w:val="left"/>
        </w:tabs>
        <w:numPr>
          <w:ilvl w:val="0"/>
          <w:numId w:val="10"/>
        </w:numPr>
        <w:rPr>
          <w:rFonts w:ascii="Arial" w:cs="Arial" w:eastAsia="Arial" w:hAnsi="Arial"/>
          <w:sz w:val="38"/>
          <w:szCs w:val="38"/>
          <w:color w:val="5F5F5F"/>
        </w:rPr>
      </w:pPr>
      <w:r>
        <w:rPr>
          <w:rFonts w:ascii="Arial" w:cs="Arial" w:eastAsia="Arial" w:hAnsi="Arial"/>
          <w:sz w:val="38"/>
          <w:szCs w:val="38"/>
          <w:color w:val="5F5F5F"/>
        </w:rPr>
        <w:t>Target “end-of-rack”customers</w:t>
      </w:r>
    </w:p>
    <w:p>
      <w:pPr>
        <w:spacing w:after="0" w:line="77"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42”-46”waist size</w:t>
      </w:r>
    </w:p>
    <w:p>
      <w:pPr>
        <w:spacing w:after="0" w:line="78"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Younger than traditional Casual Male customer</w:t>
      </w:r>
    </w:p>
    <w:p>
      <w:pPr>
        <w:spacing w:after="0" w:line="78"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65% of B&amp;T market / 20% of current sales</w:t>
      </w:r>
    </w:p>
    <w:p>
      <w:pPr>
        <w:spacing w:after="0" w:line="90"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Adding regular XL/XLT size in 2013</w:t>
      </w:r>
    </w:p>
    <w:p>
      <w:pPr>
        <w:spacing w:after="0" w:line="116" w:lineRule="exact"/>
        <w:rPr>
          <w:rFonts w:ascii="Arial" w:cs="Arial" w:eastAsia="Arial" w:hAnsi="Arial"/>
          <w:sz w:val="38"/>
          <w:szCs w:val="38"/>
          <w:color w:val="5F5F5F"/>
        </w:rPr>
      </w:pPr>
    </w:p>
    <w:p>
      <w:pPr>
        <w:ind w:left="420" w:hanging="417"/>
        <w:spacing w:after="0"/>
        <w:tabs>
          <w:tab w:leader="none" w:pos="420" w:val="left"/>
        </w:tabs>
        <w:numPr>
          <w:ilvl w:val="0"/>
          <w:numId w:val="10"/>
        </w:numPr>
        <w:rPr>
          <w:rFonts w:ascii="Arial" w:cs="Arial" w:eastAsia="Arial" w:hAnsi="Arial"/>
          <w:sz w:val="38"/>
          <w:szCs w:val="38"/>
          <w:color w:val="5F5F5F"/>
        </w:rPr>
      </w:pPr>
      <w:r>
        <w:rPr>
          <w:rFonts w:ascii="Arial" w:cs="Arial" w:eastAsia="Arial" w:hAnsi="Arial"/>
          <w:sz w:val="38"/>
          <w:szCs w:val="38"/>
          <w:color w:val="5F5F5F"/>
        </w:rPr>
        <w:t>Paradigm shift in marketing improves awareness</w:t>
      </w:r>
    </w:p>
    <w:p>
      <w:pPr>
        <w:spacing w:after="0" w:line="103" w:lineRule="exact"/>
        <w:rPr>
          <w:rFonts w:ascii="Arial" w:cs="Arial" w:eastAsia="Arial" w:hAnsi="Arial"/>
          <w:sz w:val="38"/>
          <w:szCs w:val="38"/>
          <w:color w:val="5F5F5F"/>
        </w:rPr>
      </w:pPr>
    </w:p>
    <w:p>
      <w:pPr>
        <w:ind w:left="420" w:hanging="417"/>
        <w:spacing w:after="0"/>
        <w:tabs>
          <w:tab w:leader="none" w:pos="420" w:val="left"/>
        </w:tabs>
        <w:numPr>
          <w:ilvl w:val="0"/>
          <w:numId w:val="10"/>
        </w:numPr>
        <w:rPr>
          <w:rFonts w:ascii="Arial" w:cs="Arial" w:eastAsia="Arial" w:hAnsi="Arial"/>
          <w:sz w:val="38"/>
          <w:szCs w:val="38"/>
          <w:color w:val="5F5F5F"/>
        </w:rPr>
      </w:pPr>
      <w:r>
        <w:rPr>
          <w:rFonts w:ascii="Arial" w:cs="Arial" w:eastAsia="Arial" w:hAnsi="Arial"/>
          <w:sz w:val="38"/>
          <w:szCs w:val="38"/>
          <w:color w:val="5F5F5F"/>
        </w:rPr>
        <w:t>Improve direct business with new website</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30</w:t>
      </w:r>
    </w:p>
    <w:p>
      <w:pPr>
        <w:sectPr>
          <w:pgSz w:w="11900" w:h="16838" w:orient="portrait"/>
          <w:cols w:equalWidth="0" w:num="1">
            <w:col w:w="10240"/>
          </w:cols>
          <w:pgMar w:left="760" w:top="1052" w:right="8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69"/>
          <w:szCs w:val="69"/>
          <w:b w:val="1"/>
          <w:bCs w:val="1"/>
          <w:color w:val="5F5F5F"/>
        </w:rPr>
        <w:t>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31</w:t>
      </w:r>
    </w:p>
    <w:p>
      <w:pPr>
        <w:sectPr>
          <w:pgSz w:w="11900" w:h="16838" w:orient="portrait"/>
          <w:cols w:equalWidth="0" w:num="1">
            <w:col w:w="9560"/>
          </w:cols>
          <w:pgMar w:left="1440" w:top="1440" w:right="8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666699"/>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Revenue ($ mm)</w:t>
      </w:r>
    </w:p>
    <w:p>
      <w:pPr>
        <w:ind w:left="80"/>
        <w:spacing w:after="0"/>
        <w:rPr>
          <w:sz w:val="20"/>
          <w:szCs w:val="20"/>
          <w:color w:val="auto"/>
        </w:rPr>
      </w:pPr>
      <w:r>
        <w:rPr>
          <w:rFonts w:ascii="Arial" w:cs="Arial" w:eastAsia="Arial" w:hAnsi="Arial"/>
          <w:sz w:val="33"/>
          <w:szCs w:val="33"/>
          <w:b w:val="1"/>
          <w:bCs w:val="1"/>
          <w:color w:val="666699"/>
          <w:vertAlign w:val="subscript"/>
        </w:rPr>
        <w:t>$500</w:t>
      </w:r>
      <w:r>
        <w:rPr>
          <w:rFonts w:ascii="Arial" w:cs="Arial" w:eastAsia="Arial" w:hAnsi="Arial"/>
          <w:sz w:val="56"/>
          <w:szCs w:val="56"/>
          <w:b w:val="1"/>
          <w:bCs w:val="1"/>
          <w:color w:val="5F5F5F"/>
        </w:rPr>
        <w:t xml:space="preserve">   Sales and Gross Margin</w:t>
      </w:r>
    </w:p>
    <w:p>
      <w:pPr>
        <w:spacing w:after="0" w:line="6" w:lineRule="exact"/>
        <w:rPr>
          <w:sz w:val="20"/>
          <w:szCs w:val="20"/>
          <w:color w:val="auto"/>
        </w:rPr>
      </w:pPr>
    </w:p>
    <w:p>
      <w:pPr>
        <w:ind w:left="960"/>
        <w:spacing w:after="0"/>
        <w:tabs>
          <w:tab w:leader="none" w:pos="2140" w:val="left"/>
        </w:tabs>
        <w:rPr>
          <w:sz w:val="20"/>
          <w:szCs w:val="20"/>
          <w:color w:val="auto"/>
        </w:rPr>
      </w:pPr>
      <w:r>
        <w:rPr>
          <w:rFonts w:ascii="Arial" w:cs="Arial" w:eastAsia="Arial" w:hAnsi="Arial"/>
          <w:sz w:val="18"/>
          <w:szCs w:val="18"/>
          <w:b w:val="1"/>
          <w:bCs w:val="1"/>
          <w:color w:val="333333"/>
        </w:rPr>
        <w:t>$465.4</w:t>
      </w:r>
      <w:r>
        <w:rPr>
          <w:sz w:val="20"/>
          <w:szCs w:val="20"/>
          <w:color w:val="auto"/>
        </w:rPr>
        <w:tab/>
      </w:r>
      <w:r>
        <w:rPr>
          <w:rFonts w:ascii="Arial" w:cs="Arial" w:eastAsia="Arial" w:hAnsi="Arial"/>
          <w:sz w:val="17"/>
          <w:szCs w:val="17"/>
          <w:b w:val="1"/>
          <w:bCs w:val="1"/>
          <w:color w:val="333333"/>
        </w:rPr>
        <w:t>$464.1</w:t>
      </w:r>
    </w:p>
    <w:tbl>
      <w:tblPr>
        <w:tblLayout w:type="fixed"/>
        <w:tblInd w:w="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20" w:type="dxa"/>
            <w:vAlign w:val="bottom"/>
          </w:tcPr>
          <w:p>
            <w:pPr>
              <w:jc w:val="right"/>
              <w:ind w:right="1436"/>
              <w:spacing w:after="0"/>
              <w:rPr>
                <w:sz w:val="20"/>
                <w:szCs w:val="20"/>
                <w:color w:val="auto"/>
              </w:rPr>
            </w:pPr>
            <w:r>
              <w:rPr>
                <w:rFonts w:ascii="Arial" w:cs="Arial" w:eastAsia="Arial" w:hAnsi="Arial"/>
                <w:sz w:val="18"/>
                <w:szCs w:val="18"/>
                <w:b w:val="1"/>
                <w:bCs w:val="1"/>
                <w:color w:val="333333"/>
              </w:rPr>
              <w:t>$444.2</w:t>
            </w: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66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666699"/>
                <w:w w:val="94"/>
              </w:rPr>
              <w:t>$400</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20" w:type="dxa"/>
            <w:vAlign w:val="bottom"/>
          </w:tcPr>
          <w:p>
            <w:pPr>
              <w:jc w:val="right"/>
              <w:ind w:right="236"/>
              <w:spacing w:after="0"/>
              <w:rPr>
                <w:sz w:val="20"/>
                <w:szCs w:val="20"/>
                <w:color w:val="auto"/>
              </w:rPr>
            </w:pPr>
            <w:r>
              <w:rPr>
                <w:rFonts w:ascii="Arial" w:cs="Arial" w:eastAsia="Arial" w:hAnsi="Arial"/>
                <w:sz w:val="18"/>
                <w:szCs w:val="18"/>
                <w:b w:val="1"/>
                <w:bCs w:val="1"/>
                <w:color w:val="333333"/>
              </w:rPr>
              <w:t>$395.2</w:t>
            </w:r>
          </w:p>
        </w:tc>
        <w:tc>
          <w:tcPr>
            <w:tcW w:w="1200" w:type="dxa"/>
            <w:vAlign w:val="bottom"/>
          </w:tcPr>
          <w:p>
            <w:pPr>
              <w:jc w:val="right"/>
              <w:ind w:right="238"/>
              <w:spacing w:after="0"/>
              <w:rPr>
                <w:sz w:val="20"/>
                <w:szCs w:val="20"/>
                <w:color w:val="auto"/>
              </w:rPr>
            </w:pPr>
            <w:r>
              <w:rPr>
                <w:rFonts w:ascii="Arial" w:cs="Arial" w:eastAsia="Arial" w:hAnsi="Arial"/>
                <w:sz w:val="18"/>
                <w:szCs w:val="18"/>
                <w:b w:val="1"/>
                <w:bCs w:val="1"/>
                <w:color w:val="333333"/>
              </w:rPr>
              <w:t>$390.0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333333"/>
              </w:rPr>
              <w:t>$397.7</w:t>
            </w: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FFFFFF"/>
              </w:rPr>
              <w:t>47.0%</w:t>
            </w:r>
          </w:p>
        </w:tc>
        <w:tc>
          <w:tcPr>
            <w:tcW w:w="0" w:type="dxa"/>
            <w:vAlign w:val="bottom"/>
          </w:tcPr>
          <w:p>
            <w:pPr>
              <w:spacing w:after="0"/>
              <w:rPr>
                <w:sz w:val="1"/>
                <w:szCs w:val="1"/>
                <w:color w:val="auto"/>
              </w:rPr>
            </w:pPr>
          </w:p>
        </w:tc>
      </w:tr>
      <w:tr>
        <w:trPr>
          <w:trHeight w:val="441"/>
        </w:trPr>
        <w:tc>
          <w:tcPr>
            <w:tcW w:w="660" w:type="dxa"/>
            <w:vAlign w:val="bottom"/>
          </w:tcPr>
          <w:p>
            <w:pPr>
              <w:jc w:val="right"/>
              <w:ind w:right="172"/>
              <w:spacing w:after="0"/>
              <w:rPr>
                <w:sz w:val="20"/>
                <w:szCs w:val="20"/>
                <w:color w:val="auto"/>
              </w:rPr>
            </w:pPr>
            <w:r>
              <w:rPr>
                <w:rFonts w:ascii="Arial" w:cs="Arial" w:eastAsia="Arial" w:hAnsi="Arial"/>
                <w:sz w:val="18"/>
                <w:szCs w:val="18"/>
                <w:b w:val="1"/>
                <w:bCs w:val="1"/>
                <w:color w:val="666699"/>
                <w:w w:val="94"/>
              </w:rPr>
              <w:t>$300</w:t>
            </w:r>
          </w:p>
        </w:tc>
        <w:tc>
          <w:tcPr>
            <w:tcW w:w="1080" w:type="dxa"/>
            <w:vAlign w:val="bottom"/>
            <w:vMerge w:val="restart"/>
          </w:tcPr>
          <w:p>
            <w:pPr>
              <w:jc w:val="right"/>
              <w:ind w:right="304"/>
              <w:spacing w:after="0"/>
              <w:rPr>
                <w:sz w:val="20"/>
                <w:szCs w:val="20"/>
                <w:color w:val="auto"/>
              </w:rPr>
            </w:pPr>
            <w:r>
              <w:rPr>
                <w:rFonts w:ascii="Arial" w:cs="Arial" w:eastAsia="Arial" w:hAnsi="Arial"/>
                <w:sz w:val="15"/>
                <w:szCs w:val="15"/>
                <w:b w:val="1"/>
                <w:bCs w:val="1"/>
                <w:color w:val="FFFFFF"/>
              </w:rPr>
              <w:t>44.5%</w:t>
            </w:r>
          </w:p>
        </w:tc>
        <w:tc>
          <w:tcPr>
            <w:tcW w:w="118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FFFFFF"/>
              </w:rPr>
              <w:t>44.4%</w:t>
            </w:r>
          </w:p>
        </w:tc>
        <w:tc>
          <w:tcPr>
            <w:tcW w:w="2420" w:type="dxa"/>
            <w:vAlign w:val="bottom"/>
            <w:vMerge w:val="restart"/>
          </w:tcPr>
          <w:p>
            <w:pPr>
              <w:jc w:val="right"/>
              <w:ind w:right="296"/>
              <w:spacing w:after="0"/>
              <w:rPr>
                <w:sz w:val="20"/>
                <w:szCs w:val="20"/>
                <w:color w:val="auto"/>
              </w:rPr>
            </w:pPr>
            <w:r>
              <w:rPr>
                <w:rFonts w:ascii="Arial" w:cs="Arial" w:eastAsia="Arial" w:hAnsi="Arial"/>
                <w:sz w:val="15"/>
                <w:szCs w:val="15"/>
                <w:b w:val="1"/>
                <w:bCs w:val="1"/>
                <w:color w:val="FFFFFF"/>
              </w:rPr>
              <w:t>44.2%</w:t>
            </w:r>
          </w:p>
        </w:tc>
        <w:tc>
          <w:tcPr>
            <w:tcW w:w="1200" w:type="dxa"/>
            <w:vAlign w:val="bottom"/>
          </w:tcPr>
          <w:p>
            <w:pPr>
              <w:jc w:val="right"/>
              <w:ind w:right="298"/>
              <w:spacing w:after="0"/>
              <w:rPr>
                <w:sz w:val="20"/>
                <w:szCs w:val="20"/>
                <w:color w:val="auto"/>
              </w:rPr>
            </w:pPr>
            <w:r>
              <w:rPr>
                <w:rFonts w:ascii="Arial" w:cs="Arial" w:eastAsia="Arial" w:hAnsi="Arial"/>
                <w:sz w:val="15"/>
                <w:szCs w:val="15"/>
                <w:b w:val="1"/>
                <w:bCs w:val="1"/>
                <w:color w:val="FFFFFF"/>
              </w:rPr>
              <w:t>44.9%</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FFFFFF"/>
        </w:rPr>
        <w:t>42.7%</w:t>
      </w:r>
    </w:p>
    <w:p>
      <w:pPr>
        <w:ind w:left="80"/>
        <w:spacing w:after="0"/>
        <w:rPr>
          <w:sz w:val="20"/>
          <w:szCs w:val="20"/>
          <w:color w:val="auto"/>
        </w:rPr>
      </w:pPr>
      <w:r>
        <w:rPr>
          <w:rFonts w:ascii="Arial" w:cs="Arial" w:eastAsia="Arial" w:hAnsi="Arial"/>
          <w:sz w:val="18"/>
          <w:szCs w:val="18"/>
          <w:b w:val="1"/>
          <w:bCs w:val="1"/>
          <w:color w:val="666699"/>
        </w:rPr>
        <w:t>$200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666699"/>
        </w:rPr>
        <w:t>$100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666699"/>
        </w:rPr>
        <w:t>$0</w:t>
      </w:r>
    </w:p>
    <w:p>
      <w:pPr>
        <w:spacing w:after="0" w:line="27" w:lineRule="exact"/>
        <w:rPr>
          <w:sz w:val="20"/>
          <w:szCs w:val="20"/>
          <w:color w:val="auto"/>
        </w:rPr>
      </w:pPr>
    </w:p>
    <w:p>
      <w:pPr>
        <w:jc w:val="both"/>
        <w:ind w:left="1020"/>
        <w:spacing w:after="0"/>
        <w:tabs>
          <w:tab w:leader="none" w:pos="2200" w:val="left"/>
          <w:tab w:leader="none" w:pos="3400" w:val="left"/>
          <w:tab w:leader="none" w:pos="4600" w:val="left"/>
          <w:tab w:leader="none" w:pos="5800" w:val="left"/>
          <w:tab w:leader="none" w:pos="7000" w:val="left"/>
        </w:tabs>
        <w:rPr>
          <w:sz w:val="20"/>
          <w:szCs w:val="20"/>
          <w:color w:val="auto"/>
        </w:rPr>
      </w:pPr>
      <w:r>
        <w:rPr>
          <w:rFonts w:ascii="Arial" w:cs="Arial" w:eastAsia="Arial" w:hAnsi="Arial"/>
          <w:sz w:val="18"/>
          <w:szCs w:val="18"/>
          <w:b w:val="1"/>
          <w:bCs w:val="1"/>
          <w:color w:val="666699"/>
        </w:rPr>
        <w:t>2006</w:t>
      </w:r>
      <w:r>
        <w:rPr>
          <w:sz w:val="20"/>
          <w:szCs w:val="20"/>
          <w:color w:val="auto"/>
        </w:rPr>
        <w:tab/>
      </w:r>
      <w:r>
        <w:rPr>
          <w:rFonts w:ascii="Arial" w:cs="Arial" w:eastAsia="Arial" w:hAnsi="Arial"/>
          <w:sz w:val="18"/>
          <w:szCs w:val="18"/>
          <w:b w:val="1"/>
          <w:bCs w:val="1"/>
          <w:color w:val="666699"/>
        </w:rPr>
        <w:t>2007</w:t>
      </w:r>
      <w:r>
        <w:rPr>
          <w:sz w:val="20"/>
          <w:szCs w:val="20"/>
          <w:color w:val="auto"/>
        </w:rPr>
        <w:tab/>
      </w:r>
      <w:r>
        <w:rPr>
          <w:rFonts w:ascii="Arial" w:cs="Arial" w:eastAsia="Arial" w:hAnsi="Arial"/>
          <w:sz w:val="18"/>
          <w:szCs w:val="18"/>
          <w:b w:val="1"/>
          <w:bCs w:val="1"/>
          <w:color w:val="666699"/>
        </w:rPr>
        <w:t>2008</w:t>
      </w:r>
      <w:r>
        <w:rPr>
          <w:sz w:val="20"/>
          <w:szCs w:val="20"/>
          <w:color w:val="auto"/>
        </w:rPr>
        <w:tab/>
      </w:r>
      <w:r>
        <w:rPr>
          <w:rFonts w:ascii="Arial" w:cs="Arial" w:eastAsia="Arial" w:hAnsi="Arial"/>
          <w:sz w:val="18"/>
          <w:szCs w:val="18"/>
          <w:b w:val="1"/>
          <w:bCs w:val="1"/>
          <w:color w:val="666699"/>
        </w:rPr>
        <w:t>2009</w:t>
      </w:r>
      <w:r>
        <w:rPr>
          <w:sz w:val="20"/>
          <w:szCs w:val="20"/>
          <w:color w:val="auto"/>
        </w:rPr>
        <w:tab/>
      </w:r>
      <w:r>
        <w:rPr>
          <w:rFonts w:ascii="Arial" w:cs="Arial" w:eastAsia="Arial" w:hAnsi="Arial"/>
          <w:sz w:val="18"/>
          <w:szCs w:val="18"/>
          <w:b w:val="1"/>
          <w:bCs w:val="1"/>
          <w:color w:val="666699"/>
        </w:rPr>
        <w:t>2010</w:t>
      </w:r>
      <w:r>
        <w:rPr>
          <w:sz w:val="20"/>
          <w:szCs w:val="20"/>
          <w:color w:val="auto"/>
        </w:rPr>
        <w:tab/>
      </w:r>
      <w:r>
        <w:rPr>
          <w:rFonts w:ascii="Arial" w:cs="Arial" w:eastAsia="Arial" w:hAnsi="Arial"/>
          <w:sz w:val="17"/>
          <w:szCs w:val="17"/>
          <w:b w:val="1"/>
          <w:bCs w:val="1"/>
          <w:color w:val="666699"/>
        </w:rPr>
        <w:t>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666699"/>
        </w:rPr>
        <w:t>50%</w:t>
      </w:r>
    </w:p>
    <w:p>
      <w:pPr>
        <w:spacing w:after="0" w:line="200" w:lineRule="exact"/>
        <w:rPr>
          <w:sz w:val="20"/>
          <w:szCs w:val="20"/>
          <w:color w:val="auto"/>
        </w:rPr>
      </w:pPr>
    </w:p>
    <w:p>
      <w:pPr>
        <w:spacing w:after="0" w:line="381"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666699"/>
        </w:rPr>
        <w:t>48%</w:t>
      </w:r>
    </w:p>
    <w:p>
      <w:pPr>
        <w:spacing w:after="0" w:line="37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33399"/>
        </w:rPr>
        <w:t>46.1%</w:t>
      </w:r>
    </w:p>
    <w:p>
      <w:pPr>
        <w:spacing w:after="0" w:line="37"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666699"/>
        </w:rPr>
        <w:t>46%</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333333"/>
        </w:rPr>
        <w:t>$284.8</w:t>
      </w:r>
    </w:p>
    <w:p>
      <w:pPr>
        <w:spacing w:after="0" w:line="287"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666699"/>
        </w:rPr>
        <w:t>44%</w:t>
      </w:r>
    </w:p>
    <w:p>
      <w:pPr>
        <w:spacing w:after="0" w:line="200" w:lineRule="exact"/>
        <w:rPr>
          <w:sz w:val="20"/>
          <w:szCs w:val="20"/>
          <w:color w:val="auto"/>
        </w:rPr>
      </w:pPr>
    </w:p>
    <w:p>
      <w:pPr>
        <w:spacing w:after="0" w:line="369"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666699"/>
        </w:rPr>
        <w:t>42%</w:t>
      </w:r>
    </w:p>
    <w:p>
      <w:pPr>
        <w:spacing w:after="0" w:line="200" w:lineRule="exact"/>
        <w:rPr>
          <w:sz w:val="20"/>
          <w:szCs w:val="20"/>
          <w:color w:val="auto"/>
        </w:rPr>
      </w:pPr>
    </w:p>
    <w:p>
      <w:pPr>
        <w:spacing w:after="0" w:line="381"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666699"/>
        </w:rPr>
        <w:t>40%</w:t>
      </w:r>
    </w:p>
    <w:p>
      <w:pPr>
        <w:spacing w:after="0" w:line="200" w:lineRule="exact"/>
        <w:rPr>
          <w:sz w:val="20"/>
          <w:szCs w:val="20"/>
          <w:color w:val="auto"/>
        </w:rPr>
      </w:pPr>
    </w:p>
    <w:p>
      <w:pPr>
        <w:spacing w:after="0" w:line="381"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666699"/>
        </w:rPr>
        <w:t>38%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666699"/>
        </w:rPr>
        <w:t>2012 YTD</w:t>
      </w:r>
    </w:p>
    <w:p>
      <w:pPr>
        <w:spacing w:after="0" w:line="200" w:lineRule="exact"/>
        <w:rPr>
          <w:sz w:val="20"/>
          <w:szCs w:val="20"/>
          <w:color w:val="auto"/>
        </w:rPr>
      </w:pPr>
    </w:p>
    <w:p>
      <w:pPr>
        <w:sectPr>
          <w:pgSz w:w="11900" w:h="16838" w:orient="portrait"/>
          <w:cols w:equalWidth="0" w:num="2">
            <w:col w:w="7500" w:space="560"/>
            <w:col w:w="2360"/>
          </w:cols>
          <w:pgMar w:left="580" w:top="915" w:right="8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4300"/>
        <w:spacing w:after="0"/>
        <w:rPr>
          <w:sz w:val="20"/>
          <w:szCs w:val="20"/>
          <w:color w:val="auto"/>
        </w:rPr>
      </w:pPr>
      <w:r>
        <w:rPr>
          <w:rFonts w:ascii="Arial" w:cs="Arial" w:eastAsia="Arial" w:hAnsi="Arial"/>
          <w:sz w:val="25"/>
          <w:szCs w:val="25"/>
          <w:color w:val="auto"/>
        </w:rPr>
        <w:t>Strong gross margins provide opportunity for</w:t>
      </w:r>
    </w:p>
    <w:p>
      <w:pPr>
        <w:spacing w:after="0" w:line="72" w:lineRule="exact"/>
        <w:rPr>
          <w:sz w:val="20"/>
          <w:szCs w:val="20"/>
          <w:color w:val="auto"/>
        </w:rPr>
      </w:pPr>
    </w:p>
    <w:p>
      <w:pPr>
        <w:jc w:val="center"/>
        <w:ind w:right="4280"/>
        <w:spacing w:after="0"/>
        <w:rPr>
          <w:sz w:val="20"/>
          <w:szCs w:val="20"/>
          <w:color w:val="auto"/>
        </w:rPr>
      </w:pPr>
      <w:r>
        <w:rPr>
          <w:rFonts w:ascii="Arial" w:cs="Arial" w:eastAsia="Arial" w:hAnsi="Arial"/>
          <w:sz w:val="28"/>
          <w:szCs w:val="28"/>
          <w:color w:val="auto"/>
        </w:rPr>
        <w:t>significant sales leverage</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32</w:t>
      </w:r>
    </w:p>
    <w:p>
      <w:pPr>
        <w:sectPr>
          <w:pgSz w:w="11900" w:h="16838" w:orient="portrait"/>
          <w:cols w:equalWidth="0" w:num="1">
            <w:col w:w="10420"/>
          </w:cols>
          <w:pgMar w:left="580" w:top="915" w:right="899"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49"/>
          <w:szCs w:val="49"/>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Operating Margin &amp; Comparable Sales</w:t>
      </w:r>
    </w:p>
    <w:p>
      <w:pPr>
        <w:sectPr>
          <w:pgSz w:w="11900" w:h="16838" w:orient="portrait"/>
          <w:cols w:equalWidth="0" w:num="1">
            <w:col w:w="10220"/>
          </w:cols>
          <w:pgMar w:left="780" w:top="807"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160"/>
        <w:spacing w:after="0"/>
        <w:rPr>
          <w:sz w:val="20"/>
          <w:szCs w:val="20"/>
          <w:color w:val="auto"/>
        </w:rPr>
      </w:pPr>
      <w:r>
        <w:rPr>
          <w:rFonts w:ascii="Arial" w:cs="Arial" w:eastAsia="Arial" w:hAnsi="Arial"/>
          <w:sz w:val="9"/>
          <w:szCs w:val="9"/>
          <w:b w:val="1"/>
          <w:bCs w:val="1"/>
          <w:color w:val="auto"/>
        </w:rPr>
        <w:t>CMRG Annual Historic Operating Margin</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8"/>
          <w:szCs w:val="8"/>
          <w:b w:val="1"/>
          <w:bCs w:val="1"/>
          <w:color w:val="666699"/>
        </w:rPr>
        <w:t>15%</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8"/>
          <w:szCs w:val="8"/>
          <w:b w:val="1"/>
          <w:bCs w:val="1"/>
          <w:color w:val="666699"/>
        </w:rPr>
        <w:t>10%</w:t>
      </w:r>
    </w:p>
    <w:p>
      <w:pPr>
        <w:spacing w:after="0" w:line="261" w:lineRule="exact"/>
        <w:rPr>
          <w:sz w:val="20"/>
          <w:szCs w:val="20"/>
          <w:color w:val="auto"/>
        </w:rPr>
      </w:pPr>
    </w:p>
    <w:p>
      <w:pPr>
        <w:ind w:left="1500"/>
        <w:spacing w:after="0"/>
        <w:rPr>
          <w:sz w:val="20"/>
          <w:szCs w:val="20"/>
          <w:color w:val="auto"/>
        </w:rPr>
      </w:pPr>
      <w:r>
        <w:rPr>
          <w:rFonts w:ascii="Arial" w:cs="Arial" w:eastAsia="Arial" w:hAnsi="Arial"/>
          <w:sz w:val="8"/>
          <w:szCs w:val="8"/>
          <w:b w:val="1"/>
          <w:bCs w:val="1"/>
          <w:color w:val="auto"/>
        </w:rPr>
        <w:t>5.5%</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92"/>
        </w:trPr>
        <w:tc>
          <w:tcPr>
            <w:tcW w:w="240" w:type="dxa"/>
            <w:vAlign w:val="bottom"/>
          </w:tcPr>
          <w:p>
            <w:pPr>
              <w:jc w:val="right"/>
              <w:ind w:right="79"/>
              <w:spacing w:after="0"/>
              <w:rPr>
                <w:sz w:val="20"/>
                <w:szCs w:val="20"/>
                <w:color w:val="auto"/>
              </w:rPr>
            </w:pPr>
            <w:r>
              <w:rPr>
                <w:rFonts w:ascii="Arial" w:cs="Arial" w:eastAsia="Arial" w:hAnsi="Arial"/>
                <w:sz w:val="8"/>
                <w:szCs w:val="8"/>
                <w:b w:val="1"/>
                <w:bCs w:val="1"/>
                <w:color w:val="666699"/>
                <w:w w:val="86"/>
              </w:rPr>
              <w:t>5%</w:t>
            </w:r>
          </w:p>
        </w:tc>
        <w:tc>
          <w:tcPr>
            <w:tcW w:w="1220" w:type="dxa"/>
            <w:vAlign w:val="bottom"/>
          </w:tcPr>
          <w:p>
            <w:pPr>
              <w:jc w:val="right"/>
              <w:ind w:right="405"/>
              <w:spacing w:after="0"/>
              <w:rPr>
                <w:sz w:val="20"/>
                <w:szCs w:val="20"/>
                <w:color w:val="auto"/>
              </w:rPr>
            </w:pPr>
            <w:r>
              <w:rPr>
                <w:rFonts w:ascii="Arial" w:cs="Arial" w:eastAsia="Arial" w:hAnsi="Arial"/>
                <w:sz w:val="6"/>
                <w:szCs w:val="6"/>
                <w:b w:val="1"/>
                <w:bCs w:val="1"/>
                <w:color w:val="auto"/>
              </w:rPr>
              <w:t>4.2%</w:t>
            </w:r>
          </w:p>
        </w:tc>
        <w:tc>
          <w:tcPr>
            <w:tcW w:w="1000" w:type="dxa"/>
            <w:vAlign w:val="bottom"/>
          </w:tcPr>
          <w:p>
            <w:pPr>
              <w:spacing w:after="0"/>
              <w:rPr>
                <w:sz w:val="7"/>
                <w:szCs w:val="7"/>
                <w:color w:val="auto"/>
              </w:rPr>
            </w:pPr>
          </w:p>
        </w:tc>
        <w:tc>
          <w:tcPr>
            <w:tcW w:w="1240" w:type="dxa"/>
            <w:vAlign w:val="bottom"/>
          </w:tcPr>
          <w:p>
            <w:pPr>
              <w:jc w:val="right"/>
              <w:ind w:right="171"/>
              <w:spacing w:after="0"/>
              <w:rPr>
                <w:sz w:val="20"/>
                <w:szCs w:val="20"/>
                <w:color w:val="auto"/>
              </w:rPr>
            </w:pPr>
            <w:r>
              <w:rPr>
                <w:rFonts w:ascii="Arial" w:cs="Arial" w:eastAsia="Arial" w:hAnsi="Arial"/>
                <w:sz w:val="6"/>
                <w:szCs w:val="6"/>
                <w:b w:val="1"/>
                <w:bCs w:val="1"/>
                <w:color w:val="auto"/>
              </w:rPr>
              <w:t>4.1%</w:t>
            </w:r>
          </w:p>
        </w:tc>
        <w:tc>
          <w:tcPr>
            <w:tcW w:w="880" w:type="dxa"/>
            <w:vAlign w:val="bottom"/>
          </w:tcPr>
          <w:p>
            <w:pPr>
              <w:jc w:val="right"/>
              <w:ind w:right="525"/>
              <w:spacing w:after="0"/>
              <w:rPr>
                <w:sz w:val="20"/>
                <w:szCs w:val="20"/>
                <w:color w:val="auto"/>
              </w:rPr>
            </w:pPr>
            <w:r>
              <w:rPr>
                <w:rFonts w:ascii="Arial" w:cs="Arial" w:eastAsia="Arial" w:hAnsi="Arial"/>
                <w:sz w:val="6"/>
                <w:szCs w:val="6"/>
                <w:b w:val="1"/>
                <w:bCs w:val="1"/>
                <w:color w:val="auto"/>
              </w:rPr>
              <w:t>4.2%</w:t>
            </w: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220" w:type="dxa"/>
            <w:vAlign w:val="bottom"/>
            <w:vMerge w:val="restart"/>
          </w:tcPr>
          <w:p>
            <w:pPr>
              <w:jc w:val="right"/>
              <w:ind w:right="865"/>
              <w:spacing w:after="0"/>
              <w:rPr>
                <w:sz w:val="20"/>
                <w:szCs w:val="20"/>
                <w:color w:val="auto"/>
              </w:rPr>
            </w:pPr>
            <w:r>
              <w:rPr>
                <w:rFonts w:ascii="Arial" w:cs="Arial" w:eastAsia="Arial" w:hAnsi="Arial"/>
                <w:sz w:val="8"/>
                <w:szCs w:val="8"/>
                <w:b w:val="1"/>
                <w:bCs w:val="1"/>
                <w:color w:val="auto"/>
              </w:rPr>
              <w:t>2.2%</w:t>
            </w:r>
          </w:p>
        </w:tc>
        <w:tc>
          <w:tcPr>
            <w:tcW w:w="1000" w:type="dxa"/>
            <w:vAlign w:val="bottom"/>
            <w:vMerge w:val="restart"/>
          </w:tcPr>
          <w:p>
            <w:pPr>
              <w:jc w:val="right"/>
              <w:ind w:right="411"/>
              <w:spacing w:after="0"/>
              <w:rPr>
                <w:sz w:val="20"/>
                <w:szCs w:val="20"/>
                <w:color w:val="auto"/>
              </w:rPr>
            </w:pPr>
            <w:r>
              <w:rPr>
                <w:rFonts w:ascii="Arial" w:cs="Arial" w:eastAsia="Arial" w:hAnsi="Arial"/>
                <w:sz w:val="6"/>
                <w:szCs w:val="6"/>
                <w:b w:val="1"/>
                <w:bCs w:val="1"/>
                <w:color w:val="auto"/>
              </w:rPr>
              <w:t>2.3%</w:t>
            </w:r>
          </w:p>
        </w:tc>
        <w:tc>
          <w:tcPr>
            <w:tcW w:w="1240" w:type="dxa"/>
            <w:vAlign w:val="bottom"/>
          </w:tcPr>
          <w:p>
            <w:pPr>
              <w:spacing w:after="0"/>
              <w:rPr>
                <w:sz w:val="9"/>
                <w:szCs w:val="9"/>
                <w:color w:val="auto"/>
              </w:rPr>
            </w:pP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2.4%</w:t>
            </w:r>
          </w:p>
        </w:tc>
        <w:tc>
          <w:tcPr>
            <w:tcW w:w="0" w:type="dxa"/>
            <w:vAlign w:val="bottom"/>
          </w:tcPr>
          <w:p>
            <w:pPr>
              <w:spacing w:after="0"/>
              <w:rPr>
                <w:sz w:val="1"/>
                <w:szCs w:val="1"/>
                <w:color w:val="auto"/>
              </w:rPr>
            </w:pPr>
          </w:p>
        </w:tc>
      </w:tr>
      <w:tr>
        <w:trPr>
          <w:trHeight w:val="84"/>
        </w:trPr>
        <w:tc>
          <w:tcPr>
            <w:tcW w:w="2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240" w:type="dxa"/>
            <w:vAlign w:val="bottom"/>
          </w:tcPr>
          <w:p>
            <w:pPr>
              <w:jc w:val="right"/>
              <w:ind w:right="631"/>
              <w:spacing w:after="0"/>
              <w:rPr>
                <w:sz w:val="20"/>
                <w:szCs w:val="20"/>
                <w:color w:val="auto"/>
              </w:rPr>
            </w:pPr>
            <w:r>
              <w:rPr>
                <w:rFonts w:ascii="Arial" w:cs="Arial" w:eastAsia="Arial" w:hAnsi="Arial"/>
                <w:sz w:val="6"/>
                <w:szCs w:val="6"/>
                <w:b w:val="1"/>
                <w:bCs w:val="1"/>
                <w:color w:val="auto"/>
              </w:rPr>
              <w:t>2.0%</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40" w:type="dxa"/>
            <w:vAlign w:val="bottom"/>
          </w:tcPr>
          <w:p>
            <w:pPr>
              <w:jc w:val="right"/>
              <w:ind w:right="79"/>
              <w:spacing w:after="0"/>
              <w:rPr>
                <w:sz w:val="20"/>
                <w:szCs w:val="20"/>
                <w:color w:val="auto"/>
              </w:rPr>
            </w:pPr>
            <w:r>
              <w:rPr>
                <w:rFonts w:ascii="Arial" w:cs="Arial" w:eastAsia="Arial" w:hAnsi="Arial"/>
                <w:sz w:val="8"/>
                <w:szCs w:val="8"/>
                <w:b w:val="1"/>
                <w:bCs w:val="1"/>
                <w:color w:val="666699"/>
                <w:w w:val="86"/>
              </w:rPr>
              <w:t>0%</w:t>
            </w:r>
          </w:p>
        </w:tc>
        <w:tc>
          <w:tcPr>
            <w:tcW w:w="1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left="260"/>
        <w:spacing w:after="0"/>
        <w:rPr>
          <w:sz w:val="20"/>
          <w:szCs w:val="20"/>
          <w:color w:val="auto"/>
        </w:rPr>
      </w:pPr>
      <w:r>
        <w:rPr>
          <w:rFonts w:ascii="Arial" w:cs="Arial" w:eastAsia="Arial" w:hAnsi="Arial"/>
          <w:sz w:val="6"/>
          <w:szCs w:val="6"/>
          <w:b w:val="1"/>
          <w:bCs w:val="1"/>
          <w:color w:val="auto"/>
        </w:rPr>
        <w:t>(1.3)%</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8"/>
          <w:szCs w:val="8"/>
          <w:b w:val="1"/>
          <w:bCs w:val="1"/>
          <w:color w:val="666699"/>
        </w:rPr>
        <w:t>(5%)</w:t>
      </w:r>
    </w:p>
    <w:p>
      <w:pPr>
        <w:spacing w:after="0" w:line="343" w:lineRule="exact"/>
        <w:rPr>
          <w:sz w:val="20"/>
          <w:szCs w:val="20"/>
          <w:color w:val="auto"/>
        </w:rPr>
      </w:pPr>
    </w:p>
    <w:p>
      <w:pPr>
        <w:spacing w:after="0"/>
        <w:rPr>
          <w:sz w:val="20"/>
          <w:szCs w:val="20"/>
          <w:color w:val="auto"/>
        </w:rPr>
      </w:pPr>
      <w:r>
        <w:rPr>
          <w:rFonts w:ascii="Arial" w:cs="Arial" w:eastAsia="Arial" w:hAnsi="Arial"/>
          <w:sz w:val="8"/>
          <w:szCs w:val="8"/>
          <w:b w:val="1"/>
          <w:bCs w:val="1"/>
          <w:color w:val="666699"/>
        </w:rPr>
        <w:t>(10%)</w:t>
      </w:r>
    </w:p>
    <w:p>
      <w:pPr>
        <w:spacing w:after="0" w:line="355" w:lineRule="exact"/>
        <w:rPr>
          <w:sz w:val="20"/>
          <w:szCs w:val="20"/>
          <w:color w:val="auto"/>
        </w:rPr>
      </w:pPr>
    </w:p>
    <w:p>
      <w:pPr>
        <w:spacing w:after="0"/>
        <w:rPr>
          <w:sz w:val="20"/>
          <w:szCs w:val="20"/>
          <w:color w:val="auto"/>
        </w:rPr>
      </w:pPr>
      <w:r>
        <w:rPr>
          <w:rFonts w:ascii="Arial" w:cs="Arial" w:eastAsia="Arial" w:hAnsi="Arial"/>
          <w:sz w:val="8"/>
          <w:szCs w:val="8"/>
          <w:b w:val="1"/>
          <w:bCs w:val="1"/>
          <w:color w:val="666699"/>
        </w:rPr>
        <w:t>(15%)</w:t>
      </w:r>
    </w:p>
    <w:p>
      <w:pPr>
        <w:spacing w:after="0" w:line="12" w:lineRule="exact"/>
        <w:rPr>
          <w:sz w:val="20"/>
          <w:szCs w:val="20"/>
          <w:color w:val="auto"/>
        </w:rPr>
      </w:pPr>
    </w:p>
    <w:p>
      <w:pPr>
        <w:ind w:left="460"/>
        <w:spacing w:after="0"/>
        <w:tabs>
          <w:tab w:leader="none" w:pos="920" w:val="left"/>
          <w:tab w:leader="none" w:pos="1440" w:val="left"/>
          <w:tab w:leader="none" w:pos="1940" w:val="left"/>
          <w:tab w:leader="none" w:pos="2440" w:val="left"/>
          <w:tab w:leader="none" w:pos="2940" w:val="left"/>
          <w:tab w:leader="none" w:pos="3440" w:val="left"/>
          <w:tab w:leader="none" w:pos="3920" w:val="left"/>
          <w:tab w:leader="none" w:pos="4380" w:val="left"/>
        </w:tabs>
        <w:rPr>
          <w:sz w:val="20"/>
          <w:szCs w:val="20"/>
          <w:color w:val="auto"/>
        </w:rPr>
      </w:pPr>
      <w:r>
        <w:rPr>
          <w:rFonts w:ascii="Arial" w:cs="Arial" w:eastAsia="Arial" w:hAnsi="Arial"/>
          <w:sz w:val="8"/>
          <w:szCs w:val="8"/>
          <w:b w:val="1"/>
          <w:bCs w:val="1"/>
          <w:color w:val="666699"/>
        </w:rPr>
        <w:t>2004</w:t>
      </w:r>
      <w:r>
        <w:rPr>
          <w:sz w:val="20"/>
          <w:szCs w:val="20"/>
          <w:color w:val="auto"/>
        </w:rPr>
        <w:tab/>
      </w:r>
      <w:r>
        <w:rPr>
          <w:rFonts w:ascii="Arial" w:cs="Arial" w:eastAsia="Arial" w:hAnsi="Arial"/>
          <w:sz w:val="8"/>
          <w:szCs w:val="8"/>
          <w:b w:val="1"/>
          <w:bCs w:val="1"/>
          <w:color w:val="666699"/>
        </w:rPr>
        <w:t>2005</w:t>
      </w:r>
      <w:r>
        <w:rPr>
          <w:sz w:val="20"/>
          <w:szCs w:val="20"/>
          <w:color w:val="auto"/>
        </w:rPr>
        <w:tab/>
      </w:r>
      <w:r>
        <w:rPr>
          <w:rFonts w:ascii="Arial" w:cs="Arial" w:eastAsia="Arial" w:hAnsi="Arial"/>
          <w:sz w:val="8"/>
          <w:szCs w:val="8"/>
          <w:b w:val="1"/>
          <w:bCs w:val="1"/>
          <w:color w:val="666699"/>
        </w:rPr>
        <w:t>2006</w:t>
      </w:r>
      <w:r>
        <w:rPr>
          <w:sz w:val="20"/>
          <w:szCs w:val="20"/>
          <w:color w:val="auto"/>
        </w:rPr>
        <w:tab/>
      </w:r>
      <w:r>
        <w:rPr>
          <w:rFonts w:ascii="Arial" w:cs="Arial" w:eastAsia="Arial" w:hAnsi="Arial"/>
          <w:sz w:val="8"/>
          <w:szCs w:val="8"/>
          <w:b w:val="1"/>
          <w:bCs w:val="1"/>
          <w:color w:val="666699"/>
        </w:rPr>
        <w:t>2007</w:t>
      </w:r>
      <w:r>
        <w:rPr>
          <w:sz w:val="20"/>
          <w:szCs w:val="20"/>
          <w:color w:val="auto"/>
        </w:rPr>
        <w:tab/>
      </w:r>
      <w:r>
        <w:rPr>
          <w:rFonts w:ascii="Arial" w:cs="Arial" w:eastAsia="Arial" w:hAnsi="Arial"/>
          <w:sz w:val="8"/>
          <w:szCs w:val="8"/>
          <w:b w:val="1"/>
          <w:bCs w:val="1"/>
          <w:color w:val="666699"/>
        </w:rPr>
        <w:t>2008</w:t>
      </w:r>
      <w:r>
        <w:rPr>
          <w:sz w:val="20"/>
          <w:szCs w:val="20"/>
          <w:color w:val="auto"/>
        </w:rPr>
        <w:tab/>
      </w:r>
      <w:r>
        <w:rPr>
          <w:rFonts w:ascii="Arial" w:cs="Arial" w:eastAsia="Arial" w:hAnsi="Arial"/>
          <w:sz w:val="8"/>
          <w:szCs w:val="8"/>
          <w:b w:val="1"/>
          <w:bCs w:val="1"/>
          <w:color w:val="666699"/>
        </w:rPr>
        <w:t>2009</w:t>
      </w:r>
      <w:r>
        <w:rPr>
          <w:sz w:val="20"/>
          <w:szCs w:val="20"/>
          <w:color w:val="auto"/>
        </w:rPr>
        <w:tab/>
      </w:r>
      <w:r>
        <w:rPr>
          <w:rFonts w:ascii="Arial" w:cs="Arial" w:eastAsia="Arial" w:hAnsi="Arial"/>
          <w:sz w:val="8"/>
          <w:szCs w:val="8"/>
          <w:b w:val="1"/>
          <w:bCs w:val="1"/>
          <w:color w:val="666699"/>
        </w:rPr>
        <w:t>2010</w:t>
      </w:r>
      <w:r>
        <w:rPr>
          <w:sz w:val="20"/>
          <w:szCs w:val="20"/>
          <w:color w:val="auto"/>
        </w:rPr>
        <w:tab/>
      </w:r>
      <w:r>
        <w:rPr>
          <w:rFonts w:ascii="Arial" w:cs="Arial" w:eastAsia="Arial" w:hAnsi="Arial"/>
          <w:sz w:val="8"/>
          <w:szCs w:val="8"/>
          <w:b w:val="1"/>
          <w:bCs w:val="1"/>
          <w:color w:val="666699"/>
        </w:rPr>
        <w:t>2011*</w:t>
      </w:r>
      <w:r>
        <w:rPr>
          <w:sz w:val="20"/>
          <w:szCs w:val="20"/>
          <w:color w:val="auto"/>
        </w:rPr>
        <w:tab/>
      </w:r>
      <w:r>
        <w:rPr>
          <w:rFonts w:ascii="Arial" w:cs="Arial" w:eastAsia="Arial" w:hAnsi="Arial"/>
          <w:sz w:val="7"/>
          <w:szCs w:val="7"/>
          <w:b w:val="1"/>
          <w:bCs w:val="1"/>
          <w:color w:val="666699"/>
        </w:rPr>
        <w:t>2012 YTD</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19"/>
          <w:szCs w:val="19"/>
          <w:color w:val="697D88"/>
        </w:rPr>
        <w:t>* Before impairment charge of $23.1m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640"/>
        <w:spacing w:after="0"/>
        <w:rPr>
          <w:sz w:val="20"/>
          <w:szCs w:val="20"/>
          <w:color w:val="auto"/>
        </w:rPr>
      </w:pPr>
      <w:r>
        <w:rPr>
          <w:rFonts w:ascii="Arial" w:cs="Arial" w:eastAsia="Arial" w:hAnsi="Arial"/>
          <w:sz w:val="20"/>
          <w:szCs w:val="20"/>
          <w:b w:val="1"/>
          <w:bCs w:val="1"/>
          <w:color w:val="auto"/>
        </w:rPr>
        <w:t>CMRG Historical Annual Comp Sales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666699"/>
        </w:rPr>
        <w:t>15%</w:t>
      </w: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267"/>
        </w:trPr>
        <w:tc>
          <w:tcPr>
            <w:tcW w:w="440" w:type="dxa"/>
            <w:vAlign w:val="bottom"/>
          </w:tcPr>
          <w:p>
            <w:pPr>
              <w:jc w:val="right"/>
              <w:spacing w:after="0"/>
              <w:rPr>
                <w:sz w:val="20"/>
                <w:szCs w:val="20"/>
                <w:color w:val="auto"/>
              </w:rPr>
            </w:pPr>
            <w:r>
              <w:rPr>
                <w:rFonts w:ascii="Arial" w:cs="Arial" w:eastAsia="Arial" w:hAnsi="Arial"/>
                <w:sz w:val="18"/>
                <w:szCs w:val="18"/>
                <w:b w:val="1"/>
                <w:bCs w:val="1"/>
                <w:color w:val="666699"/>
                <w:w w:val="94"/>
              </w:rPr>
              <w:t>10%</w:t>
            </w:r>
          </w:p>
        </w:tc>
        <w:tc>
          <w:tcPr>
            <w:tcW w:w="480" w:type="dxa"/>
            <w:vAlign w:val="bottom"/>
          </w:tcPr>
          <w:p>
            <w:pPr>
              <w:spacing w:after="0"/>
              <w:rPr>
                <w:sz w:val="23"/>
                <w:szCs w:val="23"/>
                <w:color w:val="auto"/>
              </w:rPr>
            </w:pPr>
          </w:p>
        </w:tc>
        <w:tc>
          <w:tcPr>
            <w:tcW w:w="1780" w:type="dxa"/>
            <w:vAlign w:val="bottom"/>
          </w:tcPr>
          <w:p>
            <w:pPr>
              <w:jc w:val="right"/>
              <w:ind w:right="864"/>
              <w:spacing w:after="0"/>
              <w:rPr>
                <w:sz w:val="20"/>
                <w:szCs w:val="20"/>
                <w:color w:val="auto"/>
              </w:rPr>
            </w:pPr>
            <w:r>
              <w:rPr>
                <w:rFonts w:ascii="Arial" w:cs="Arial" w:eastAsia="Arial" w:hAnsi="Arial"/>
                <w:sz w:val="15"/>
                <w:szCs w:val="15"/>
                <w:b w:val="1"/>
                <w:bCs w:val="1"/>
                <w:color w:val="auto"/>
              </w:rPr>
              <w:t>9.0%</w:t>
            </w:r>
          </w:p>
        </w:tc>
        <w:tc>
          <w:tcPr>
            <w:tcW w:w="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40" w:type="dxa"/>
            <w:vAlign w:val="bottom"/>
          </w:tcPr>
          <w:p>
            <w:pPr>
              <w:jc w:val="right"/>
              <w:ind w:right="12"/>
              <w:spacing w:after="0"/>
              <w:rPr>
                <w:sz w:val="20"/>
                <w:szCs w:val="20"/>
                <w:color w:val="auto"/>
              </w:rPr>
            </w:pPr>
            <w:r>
              <w:rPr>
                <w:rFonts w:ascii="Arial" w:cs="Arial" w:eastAsia="Arial" w:hAnsi="Arial"/>
                <w:sz w:val="18"/>
                <w:szCs w:val="18"/>
                <w:b w:val="1"/>
                <w:bCs w:val="1"/>
                <w:color w:val="666699"/>
              </w:rPr>
              <w:t>5%</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4.4%</w:t>
            </w:r>
          </w:p>
        </w:tc>
        <w:tc>
          <w:tcPr>
            <w:tcW w:w="1780" w:type="dxa"/>
            <w:vAlign w:val="bottom"/>
          </w:tcPr>
          <w:p>
            <w:pPr>
              <w:jc w:val="right"/>
              <w:ind w:right="1304"/>
              <w:spacing w:after="0"/>
              <w:rPr>
                <w:sz w:val="20"/>
                <w:szCs w:val="20"/>
                <w:color w:val="auto"/>
              </w:rPr>
            </w:pPr>
            <w:r>
              <w:rPr>
                <w:rFonts w:ascii="Arial" w:cs="Arial" w:eastAsia="Arial" w:hAnsi="Arial"/>
                <w:sz w:val="15"/>
                <w:szCs w:val="15"/>
                <w:b w:val="1"/>
                <w:bCs w:val="1"/>
                <w:color w:val="auto"/>
              </w:rPr>
              <w:t>4.5%</w:t>
            </w: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w:t>
            </w: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2.1% 1.5%</w:t>
            </w:r>
          </w:p>
        </w:tc>
        <w:tc>
          <w:tcPr>
            <w:tcW w:w="0" w:type="dxa"/>
            <w:vAlign w:val="bottom"/>
          </w:tcPr>
          <w:p>
            <w:pPr>
              <w:spacing w:after="0"/>
              <w:rPr>
                <w:sz w:val="1"/>
                <w:szCs w:val="1"/>
                <w:color w:val="auto"/>
              </w:rPr>
            </w:pPr>
          </w:p>
        </w:tc>
      </w:tr>
      <w:tr>
        <w:trPr>
          <w:trHeight w:val="208"/>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jc w:val="right"/>
              <w:ind w:right="424"/>
              <w:spacing w:after="0"/>
              <w:rPr>
                <w:sz w:val="20"/>
                <w:szCs w:val="20"/>
                <w:color w:val="auto"/>
              </w:rPr>
            </w:pPr>
            <w:r>
              <w:rPr>
                <w:rFonts w:ascii="Arial" w:cs="Arial" w:eastAsia="Arial" w:hAnsi="Arial"/>
                <w:sz w:val="15"/>
                <w:szCs w:val="15"/>
                <w:b w:val="1"/>
                <w:bCs w:val="1"/>
                <w:color w:val="auto"/>
              </w:rPr>
              <w:t>2.0%</w:t>
            </w:r>
          </w:p>
        </w:tc>
        <w:tc>
          <w:tcPr>
            <w:tcW w:w="9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666699"/>
        </w:rPr>
        <w:t>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20" w:type="dxa"/>
            <w:vAlign w:val="bottom"/>
            <w:vMerge w:val="restart"/>
          </w:tcPr>
          <w:p>
            <w:pPr>
              <w:jc w:val="center"/>
              <w:ind w:right="812"/>
              <w:spacing w:after="0"/>
              <w:rPr>
                <w:sz w:val="20"/>
                <w:szCs w:val="20"/>
                <w:color w:val="auto"/>
              </w:rPr>
            </w:pPr>
            <w:r>
              <w:rPr>
                <w:rFonts w:ascii="Arial" w:cs="Arial" w:eastAsia="Arial" w:hAnsi="Arial"/>
                <w:sz w:val="18"/>
                <w:szCs w:val="18"/>
                <w:b w:val="1"/>
                <w:bCs w:val="1"/>
                <w:color w:val="666699"/>
                <w:w w:val="94"/>
              </w:rPr>
              <w:t>(5%)</w:t>
            </w:r>
          </w:p>
        </w:tc>
        <w:tc>
          <w:tcPr>
            <w:tcW w:w="1880" w:type="dxa"/>
            <w:vAlign w:val="bottom"/>
          </w:tcPr>
          <w:p>
            <w:pPr>
              <w:jc w:val="right"/>
              <w:ind w:right="424"/>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6"/>
        </w:trPr>
        <w:tc>
          <w:tcPr>
            <w:tcW w:w="1420" w:type="dxa"/>
            <w:vAlign w:val="bottom"/>
          </w:tcPr>
          <w:p>
            <w:pPr>
              <w:jc w:val="center"/>
              <w:ind w:right="852"/>
              <w:spacing w:after="0"/>
              <w:rPr>
                <w:sz w:val="20"/>
                <w:szCs w:val="20"/>
                <w:color w:val="auto"/>
              </w:rPr>
            </w:pPr>
            <w:r>
              <w:rPr>
                <w:rFonts w:ascii="Arial" w:cs="Arial" w:eastAsia="Arial" w:hAnsi="Arial"/>
                <w:sz w:val="18"/>
                <w:szCs w:val="18"/>
                <w:b w:val="1"/>
                <w:bCs w:val="1"/>
                <w:color w:val="666699"/>
                <w:w w:val="99"/>
              </w:rPr>
              <w:t>(10%)</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420" w:type="dxa"/>
            <w:vAlign w:val="bottom"/>
            <w:vMerge w:val="restart"/>
          </w:tcPr>
          <w:p>
            <w:pPr>
              <w:jc w:val="center"/>
              <w:ind w:right="852"/>
              <w:spacing w:after="0"/>
              <w:rPr>
                <w:sz w:val="20"/>
                <w:szCs w:val="20"/>
                <w:color w:val="auto"/>
              </w:rPr>
            </w:pPr>
            <w:r>
              <w:rPr>
                <w:rFonts w:ascii="Arial" w:cs="Arial" w:eastAsia="Arial" w:hAnsi="Arial"/>
                <w:sz w:val="18"/>
                <w:szCs w:val="18"/>
                <w:b w:val="1"/>
                <w:bCs w:val="1"/>
                <w:color w:val="666699"/>
                <w:w w:val="99"/>
              </w:rPr>
              <w:t>(15%)</w:t>
            </w:r>
          </w:p>
        </w:tc>
        <w:tc>
          <w:tcPr>
            <w:tcW w:w="1880" w:type="dxa"/>
            <w:vAlign w:val="bottom"/>
          </w:tcPr>
          <w:p>
            <w:pPr>
              <w:jc w:val="right"/>
              <w:spacing w:after="0"/>
              <w:rPr>
                <w:sz w:val="20"/>
                <w:szCs w:val="20"/>
                <w:color w:val="auto"/>
              </w:rPr>
            </w:pPr>
            <w:r>
              <w:rPr>
                <w:rFonts w:ascii="Arial" w:cs="Arial" w:eastAsia="Arial" w:hAnsi="Arial"/>
                <w:sz w:val="15"/>
                <w:szCs w:val="15"/>
                <w:b w:val="1"/>
                <w:bCs w:val="1"/>
                <w:color w:val="auto"/>
              </w:rPr>
              <w:t>(10.8)%</w:t>
            </w:r>
          </w:p>
        </w:tc>
        <w:tc>
          <w:tcPr>
            <w:tcW w:w="0" w:type="dxa"/>
            <w:vAlign w:val="bottom"/>
          </w:tcPr>
          <w:p>
            <w:pPr>
              <w:spacing w:after="0"/>
              <w:rPr>
                <w:sz w:val="1"/>
                <w:szCs w:val="1"/>
                <w:color w:val="auto"/>
              </w:rPr>
            </w:pPr>
          </w:p>
        </w:tc>
      </w:tr>
      <w:tr>
        <w:trPr>
          <w:trHeight w:val="159"/>
        </w:trPr>
        <w:tc>
          <w:tcPr>
            <w:tcW w:w="142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right"/>
        <w:ind w:left="560" w:right="660"/>
        <w:spacing w:after="0" w:line="250" w:lineRule="auto"/>
        <w:rPr>
          <w:sz w:val="20"/>
          <w:szCs w:val="20"/>
          <w:color w:val="auto"/>
        </w:rPr>
      </w:pPr>
      <w:r>
        <w:rPr>
          <w:rFonts w:ascii="Arial" w:cs="Arial" w:eastAsia="Arial" w:hAnsi="Arial"/>
          <w:sz w:val="18"/>
          <w:szCs w:val="18"/>
          <w:b w:val="1"/>
          <w:bCs w:val="1"/>
          <w:color w:val="666699"/>
        </w:rPr>
        <w:t>2004 2005 2006 2007 2008 2009 2010 2011 2012 YTD</w:t>
      </w:r>
    </w:p>
    <w:p>
      <w:pPr>
        <w:spacing w:after="0" w:line="539" w:lineRule="exact"/>
        <w:rPr>
          <w:sz w:val="20"/>
          <w:szCs w:val="20"/>
          <w:color w:val="auto"/>
        </w:rPr>
      </w:pPr>
    </w:p>
    <w:p>
      <w:pPr>
        <w:sectPr>
          <w:pgSz w:w="11900" w:h="16838" w:orient="portrait"/>
          <w:cols w:equalWidth="0" w:num="2">
            <w:col w:w="4760" w:space="260"/>
            <w:col w:w="5200"/>
          </w:cols>
          <w:pgMar w:left="780" w:top="807"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680"/>
        <w:spacing w:after="0"/>
        <w:rPr>
          <w:sz w:val="20"/>
          <w:szCs w:val="20"/>
          <w:color w:val="auto"/>
        </w:rPr>
      </w:pPr>
      <w:r>
        <w:rPr>
          <w:rFonts w:ascii="Arial" w:cs="Arial" w:eastAsia="Arial" w:hAnsi="Arial"/>
          <w:sz w:val="25"/>
          <w:szCs w:val="25"/>
          <w:color w:val="auto"/>
        </w:rPr>
        <w:t>Focus on improving operating margins</w:t>
      </w:r>
    </w:p>
    <w:p>
      <w:pPr>
        <w:spacing w:after="0" w:line="72" w:lineRule="exact"/>
        <w:rPr>
          <w:sz w:val="20"/>
          <w:szCs w:val="20"/>
          <w:color w:val="auto"/>
        </w:rPr>
      </w:pPr>
    </w:p>
    <w:p>
      <w:pPr>
        <w:jc w:val="center"/>
        <w:ind w:right="3720"/>
        <w:spacing w:after="0"/>
        <w:rPr>
          <w:sz w:val="20"/>
          <w:szCs w:val="20"/>
          <w:color w:val="auto"/>
        </w:rPr>
      </w:pPr>
      <w:r>
        <w:rPr>
          <w:rFonts w:ascii="Arial" w:cs="Arial" w:eastAsia="Arial" w:hAnsi="Arial"/>
          <w:sz w:val="28"/>
          <w:szCs w:val="28"/>
          <w:color w:val="auto"/>
        </w:rPr>
        <w:t>through greater DXL sales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33</w:t>
      </w:r>
    </w:p>
    <w:p>
      <w:pPr>
        <w:sectPr>
          <w:pgSz w:w="11900" w:h="16838" w:orient="portrait"/>
          <w:cols w:equalWidth="0" w:num="1">
            <w:col w:w="10220"/>
          </w:cols>
          <w:pgMar w:left="780" w:top="807" w:right="899" w:bottom="1440" w:gutter="0" w:footer="0" w:header="0"/>
          <w:type w:val="continuous"/>
        </w:sectPr>
      </w:pPr>
    </w:p>
    <w:bookmarkStart w:id="36" w:name="page37"/>
    <w:bookmarkEnd w:id="36"/>
    <w:p>
      <w:pPr>
        <w:ind w:left="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Strict Expense Management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687"/>
              <w:spacing w:after="0"/>
              <w:rPr>
                <w:sz w:val="20"/>
                <w:szCs w:val="20"/>
                <w:color w:val="auto"/>
              </w:rPr>
            </w:pPr>
            <w:r>
              <w:rPr>
                <w:rFonts w:ascii="Arial" w:cs="Arial" w:eastAsia="Arial" w:hAnsi="Arial"/>
                <w:sz w:val="18"/>
                <w:szCs w:val="18"/>
                <w:b w:val="1"/>
                <w:bCs w:val="1"/>
                <w:color w:val="697D88"/>
                <w:w w:val="98"/>
              </w:rPr>
              <w:t>($ mm)</w:t>
            </w: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380" w:type="dxa"/>
            <w:vAlign w:val="bottom"/>
          </w:tcPr>
          <w:p>
            <w:pPr>
              <w:jc w:val="right"/>
              <w:ind w:right="927"/>
              <w:spacing w:after="0"/>
              <w:rPr>
                <w:sz w:val="20"/>
                <w:szCs w:val="20"/>
                <w:color w:val="auto"/>
              </w:rPr>
            </w:pPr>
            <w:r>
              <w:rPr>
                <w:rFonts w:ascii="Arial" w:cs="Arial" w:eastAsia="Arial" w:hAnsi="Arial"/>
                <w:sz w:val="19"/>
                <w:szCs w:val="19"/>
                <w:b w:val="1"/>
                <w:bCs w:val="1"/>
                <w:color w:val="697D88"/>
                <w:w w:val="80"/>
              </w:rPr>
              <w:t>$200</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697D88"/>
              </w:rPr>
              <w:t>45.0%</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060" w:type="dxa"/>
            <w:vAlign w:val="bottom"/>
            <w:vMerge w:val="restart"/>
          </w:tcPr>
          <w:p>
            <w:pPr>
              <w:jc w:val="right"/>
              <w:ind w:right="146"/>
              <w:spacing w:after="0"/>
              <w:rPr>
                <w:sz w:val="20"/>
                <w:szCs w:val="20"/>
                <w:color w:val="auto"/>
              </w:rPr>
            </w:pPr>
            <w:r>
              <w:rPr>
                <w:rFonts w:ascii="Arial" w:cs="Arial" w:eastAsia="Arial" w:hAnsi="Arial"/>
                <w:sz w:val="19"/>
                <w:szCs w:val="19"/>
                <w:b w:val="1"/>
                <w:bCs w:val="1"/>
                <w:color w:val="auto"/>
              </w:rPr>
              <w:t>$168.8</w:t>
            </w:r>
          </w:p>
        </w:tc>
        <w:tc>
          <w:tcPr>
            <w:tcW w:w="900" w:type="dxa"/>
            <w:vAlign w:val="bottom"/>
          </w:tcPr>
          <w:p>
            <w:pPr>
              <w:jc w:val="right"/>
              <w:ind w:right="66"/>
              <w:spacing w:after="0"/>
              <w:rPr>
                <w:sz w:val="20"/>
                <w:szCs w:val="20"/>
                <w:color w:val="auto"/>
              </w:rPr>
            </w:pPr>
            <w:r>
              <w:rPr>
                <w:rFonts w:ascii="Arial" w:cs="Arial" w:eastAsia="Arial" w:hAnsi="Arial"/>
                <w:sz w:val="19"/>
                <w:szCs w:val="19"/>
                <w:b w:val="1"/>
                <w:bCs w:val="1"/>
                <w:color w:val="auto"/>
              </w:rPr>
              <w:t>$178.1</w:t>
            </w:r>
          </w:p>
        </w:tc>
        <w:tc>
          <w:tcPr>
            <w:tcW w:w="920" w:type="dxa"/>
            <w:vAlign w:val="bottom"/>
          </w:tcPr>
          <w:p>
            <w:pPr>
              <w:ind w:left="180"/>
              <w:spacing w:after="0"/>
              <w:rPr>
                <w:sz w:val="20"/>
                <w:szCs w:val="20"/>
                <w:color w:val="auto"/>
              </w:rPr>
            </w:pPr>
            <w:r>
              <w:rPr>
                <w:rFonts w:ascii="Arial" w:cs="Arial" w:eastAsia="Arial" w:hAnsi="Arial"/>
                <w:sz w:val="19"/>
                <w:szCs w:val="19"/>
                <w:b w:val="1"/>
                <w:bCs w:val="1"/>
                <w:color w:val="auto"/>
              </w:rPr>
              <w:t>$178.1</w:t>
            </w:r>
          </w:p>
        </w:tc>
        <w:tc>
          <w:tcPr>
            <w:tcW w:w="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3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$151.9</w:t>
            </w:r>
          </w:p>
        </w:tc>
        <w:tc>
          <w:tcPr>
            <w:tcW w:w="10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$151.0</w:t>
            </w:r>
          </w:p>
        </w:tc>
        <w:tc>
          <w:tcPr>
            <w:tcW w:w="104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$150.9</w:t>
            </w:r>
          </w:p>
        </w:tc>
        <w:tc>
          <w:tcPr>
            <w:tcW w:w="880" w:type="dxa"/>
            <w:vAlign w:val="bottom"/>
          </w:tcPr>
          <w:p>
            <w:pPr>
              <w:jc w:val="right"/>
              <w:ind w:right="26"/>
              <w:spacing w:after="0"/>
              <w:rPr>
                <w:sz w:val="20"/>
                <w:szCs w:val="20"/>
                <w:color w:val="auto"/>
              </w:rPr>
            </w:pPr>
            <w:r>
              <w:rPr>
                <w:rFonts w:ascii="Arial" w:cs="Arial" w:eastAsia="Arial" w:hAnsi="Arial"/>
                <w:sz w:val="19"/>
                <w:szCs w:val="19"/>
                <w:b w:val="1"/>
                <w:bCs w:val="1"/>
                <w:color w:val="auto"/>
              </w:rPr>
              <w:t>$154.8</w:t>
            </w:r>
          </w:p>
        </w:tc>
        <w:tc>
          <w:tcPr>
            <w:tcW w:w="164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42.0%</w:t>
            </w:r>
          </w:p>
        </w:tc>
        <w:tc>
          <w:tcPr>
            <w:tcW w:w="0" w:type="dxa"/>
            <w:vAlign w:val="bottom"/>
          </w:tcPr>
          <w:p>
            <w:pPr>
              <w:spacing w:after="0"/>
              <w:rPr>
                <w:sz w:val="1"/>
                <w:szCs w:val="1"/>
                <w:color w:val="auto"/>
              </w:rPr>
            </w:pPr>
          </w:p>
        </w:tc>
      </w:tr>
      <w:tr>
        <w:trPr>
          <w:trHeight w:val="72"/>
        </w:trPr>
        <w:tc>
          <w:tcPr>
            <w:tcW w:w="13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vMerge w:val="restart"/>
          </w:tcPr>
          <w:p>
            <w:pPr>
              <w:ind w:left="200"/>
              <w:spacing w:after="0"/>
              <w:rPr>
                <w:sz w:val="20"/>
                <w:szCs w:val="20"/>
                <w:color w:val="auto"/>
              </w:rPr>
            </w:pPr>
            <w:r>
              <w:rPr>
                <w:rFonts w:ascii="Arial" w:cs="Arial" w:eastAsia="Arial" w:hAnsi="Arial"/>
                <w:sz w:val="19"/>
                <w:szCs w:val="19"/>
                <w:b w:val="1"/>
                <w:bCs w:val="1"/>
                <w:color w:val="FFFFFF"/>
              </w:rPr>
              <w:t>42.7%</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380" w:type="dxa"/>
            <w:vAlign w:val="bottom"/>
          </w:tcPr>
          <w:p>
            <w:pPr>
              <w:jc w:val="right"/>
              <w:ind w:right="927"/>
              <w:spacing w:after="0"/>
              <w:rPr>
                <w:sz w:val="20"/>
                <w:szCs w:val="20"/>
                <w:color w:val="auto"/>
              </w:rPr>
            </w:pPr>
            <w:r>
              <w:rPr>
                <w:rFonts w:ascii="Arial" w:cs="Arial" w:eastAsia="Arial" w:hAnsi="Arial"/>
                <w:sz w:val="19"/>
                <w:szCs w:val="19"/>
                <w:b w:val="1"/>
                <w:bCs w:val="1"/>
                <w:color w:val="697D88"/>
                <w:w w:val="80"/>
              </w:rPr>
              <w:t>$150</w:t>
            </w:r>
          </w:p>
        </w:tc>
        <w:tc>
          <w:tcPr>
            <w:tcW w:w="1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vMerge w:val="restart"/>
          </w:tcPr>
          <w:p>
            <w:pPr>
              <w:jc w:val="right"/>
              <w:ind w:right="766"/>
              <w:spacing w:after="0"/>
              <w:rPr>
                <w:sz w:val="20"/>
                <w:szCs w:val="20"/>
                <w:color w:val="auto"/>
              </w:rPr>
            </w:pPr>
            <w:r>
              <w:rPr>
                <w:rFonts w:ascii="Arial" w:cs="Arial" w:eastAsia="Arial" w:hAnsi="Arial"/>
                <w:sz w:val="19"/>
                <w:szCs w:val="19"/>
                <w:b w:val="1"/>
                <w:bCs w:val="1"/>
                <w:color w:val="auto"/>
              </w:rPr>
              <w:t>$113.1</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697D88"/>
              </w:rPr>
              <w:t>39.0%</w:t>
            </w:r>
          </w:p>
        </w:tc>
        <w:tc>
          <w:tcPr>
            <w:tcW w:w="0" w:type="dxa"/>
            <w:vAlign w:val="bottom"/>
          </w:tcPr>
          <w:p>
            <w:pPr>
              <w:spacing w:after="0"/>
              <w:rPr>
                <w:sz w:val="1"/>
                <w:szCs w:val="1"/>
                <w:color w:val="auto"/>
              </w:rPr>
            </w:pPr>
          </w:p>
        </w:tc>
      </w:tr>
      <w:tr>
        <w:trPr>
          <w:trHeight w:val="317"/>
        </w:trPr>
        <w:tc>
          <w:tcPr>
            <w:tcW w:w="1380" w:type="dxa"/>
            <w:vAlign w:val="bottom"/>
            <w:vMerge w:val="restart"/>
          </w:tcPr>
          <w:p>
            <w:pPr>
              <w:jc w:val="right"/>
              <w:ind w:right="927"/>
              <w:spacing w:after="0"/>
              <w:rPr>
                <w:sz w:val="20"/>
                <w:szCs w:val="20"/>
                <w:color w:val="auto"/>
              </w:rPr>
            </w:pPr>
            <w:r>
              <w:rPr>
                <w:rFonts w:ascii="Arial" w:cs="Arial" w:eastAsia="Arial" w:hAnsi="Arial"/>
                <w:sz w:val="19"/>
                <w:szCs w:val="19"/>
                <w:b w:val="1"/>
                <w:bCs w:val="1"/>
                <w:color w:val="697D88"/>
                <w:w w:val="80"/>
              </w:rPr>
              <w:t>$100</w:t>
            </w:r>
          </w:p>
        </w:tc>
        <w:tc>
          <w:tcPr>
            <w:tcW w:w="1060" w:type="dxa"/>
            <w:vAlign w:val="bottom"/>
          </w:tcPr>
          <w:p>
            <w:pPr>
              <w:spacing w:after="0"/>
              <w:rPr>
                <w:sz w:val="24"/>
                <w:szCs w:val="24"/>
                <w:color w:val="auto"/>
              </w:rPr>
            </w:pPr>
          </w:p>
        </w:tc>
        <w:tc>
          <w:tcPr>
            <w:tcW w:w="90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FFFFFF"/>
              </w:rPr>
              <w:t>38.4%</w:t>
            </w:r>
          </w:p>
        </w:tc>
        <w:tc>
          <w:tcPr>
            <w:tcW w:w="9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38.2%</w:t>
            </w:r>
          </w:p>
        </w:tc>
        <w:tc>
          <w:tcPr>
            <w:tcW w:w="1040" w:type="dxa"/>
            <w:vAlign w:val="bottom"/>
            <w:vMerge w:val="restart"/>
          </w:tcPr>
          <w:p>
            <w:pPr>
              <w:jc w:val="right"/>
              <w:ind w:right="86"/>
              <w:spacing w:after="0"/>
              <w:rPr>
                <w:sz w:val="20"/>
                <w:szCs w:val="20"/>
                <w:color w:val="auto"/>
              </w:rPr>
            </w:pPr>
            <w:r>
              <w:rPr>
                <w:rFonts w:ascii="Arial" w:cs="Arial" w:eastAsia="Arial" w:hAnsi="Arial"/>
                <w:sz w:val="19"/>
                <w:szCs w:val="19"/>
                <w:b w:val="1"/>
                <w:bCs w:val="1"/>
                <w:color w:val="FFFFFF"/>
              </w:rPr>
              <w:t>38.3%</w:t>
            </w:r>
          </w:p>
        </w:tc>
        <w:tc>
          <w:tcPr>
            <w:tcW w:w="880" w:type="dxa"/>
            <w:vAlign w:val="bottom"/>
          </w:tcPr>
          <w:p>
            <w:pPr>
              <w:jc w:val="right"/>
              <w:ind w:right="46"/>
              <w:spacing w:after="0"/>
              <w:rPr>
                <w:sz w:val="20"/>
                <w:szCs w:val="20"/>
                <w:color w:val="auto"/>
              </w:rPr>
            </w:pPr>
            <w:r>
              <w:rPr>
                <w:rFonts w:ascii="Arial" w:cs="Arial" w:eastAsia="Arial" w:hAnsi="Arial"/>
                <w:sz w:val="19"/>
                <w:szCs w:val="19"/>
                <w:b w:val="1"/>
                <w:bCs w:val="1"/>
                <w:color w:val="FFFFFF"/>
              </w:rPr>
              <w:t>38.9%</w:t>
            </w:r>
          </w:p>
        </w:tc>
        <w:tc>
          <w:tcPr>
            <w:tcW w:w="1640" w:type="dxa"/>
            <w:vAlign w:val="bottom"/>
          </w:tcPr>
          <w:p>
            <w:pPr>
              <w:ind w:left="220"/>
              <w:spacing w:after="0"/>
              <w:rPr>
                <w:sz w:val="20"/>
                <w:szCs w:val="20"/>
                <w:color w:val="auto"/>
              </w:rPr>
            </w:pPr>
            <w:r>
              <w:rPr>
                <w:rFonts w:ascii="Arial" w:cs="Arial" w:eastAsia="Arial" w:hAnsi="Arial"/>
                <w:sz w:val="19"/>
                <w:szCs w:val="19"/>
                <w:b w:val="1"/>
                <w:bCs w:val="1"/>
                <w:color w:val="2A63A8"/>
              </w:rPr>
              <w:t>39.7%</w:t>
            </w:r>
          </w:p>
        </w:tc>
        <w:tc>
          <w:tcPr>
            <w:tcW w:w="0" w:type="dxa"/>
            <w:vAlign w:val="bottom"/>
          </w:tcPr>
          <w:p>
            <w:pPr>
              <w:spacing w:after="0"/>
              <w:rPr>
                <w:sz w:val="1"/>
                <w:szCs w:val="1"/>
                <w:color w:val="auto"/>
              </w:rPr>
            </w:pPr>
          </w:p>
        </w:tc>
      </w:tr>
      <w:tr>
        <w:trPr>
          <w:trHeight w:val="141"/>
        </w:trPr>
        <w:tc>
          <w:tcPr>
            <w:tcW w:w="13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3"/>
        </w:trPr>
        <w:tc>
          <w:tcPr>
            <w:tcW w:w="1380" w:type="dxa"/>
            <w:vAlign w:val="bottom"/>
            <w:vMerge w:val="restart"/>
          </w:tcPr>
          <w:p>
            <w:pPr>
              <w:ind w:left="800"/>
              <w:spacing w:after="0"/>
              <w:rPr>
                <w:sz w:val="20"/>
                <w:szCs w:val="20"/>
                <w:color w:val="auto"/>
              </w:rPr>
            </w:pPr>
            <w:r>
              <w:rPr>
                <w:rFonts w:ascii="Arial" w:cs="Arial" w:eastAsia="Arial" w:hAnsi="Arial"/>
                <w:sz w:val="19"/>
                <w:szCs w:val="19"/>
                <w:b w:val="1"/>
                <w:bCs w:val="1"/>
                <w:color w:val="FFFFFF"/>
              </w:rPr>
              <w:t>36.0%</w:t>
            </w:r>
          </w:p>
        </w:tc>
        <w:tc>
          <w:tcPr>
            <w:tcW w:w="1060" w:type="dxa"/>
            <w:vAlign w:val="bottom"/>
          </w:tcPr>
          <w:p>
            <w:pPr>
              <w:jc w:val="right"/>
              <w:ind w:right="86"/>
              <w:spacing w:after="0"/>
              <w:rPr>
                <w:sz w:val="20"/>
                <w:szCs w:val="20"/>
                <w:color w:val="auto"/>
              </w:rPr>
            </w:pPr>
            <w:r>
              <w:rPr>
                <w:rFonts w:ascii="Arial" w:cs="Arial" w:eastAsia="Arial" w:hAnsi="Arial"/>
                <w:sz w:val="19"/>
                <w:szCs w:val="19"/>
                <w:b w:val="1"/>
                <w:bCs w:val="1"/>
                <w:color w:val="FFFFFF"/>
              </w:rPr>
              <w:t>36.7%</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9"/>
                <w:szCs w:val="19"/>
                <w:b w:val="1"/>
                <w:bCs w:val="1"/>
                <w:color w:val="697D88"/>
              </w:rPr>
              <w:t>36.0%</w:t>
            </w:r>
          </w:p>
        </w:tc>
        <w:tc>
          <w:tcPr>
            <w:tcW w:w="0" w:type="dxa"/>
            <w:vAlign w:val="bottom"/>
          </w:tcPr>
          <w:p>
            <w:pPr>
              <w:spacing w:after="0"/>
              <w:rPr>
                <w:sz w:val="1"/>
                <w:szCs w:val="1"/>
                <w:color w:val="auto"/>
              </w:rPr>
            </w:pPr>
          </w:p>
        </w:tc>
      </w:tr>
      <w:tr>
        <w:trPr>
          <w:trHeight w:val="176"/>
        </w:trPr>
        <w:tc>
          <w:tcPr>
            <w:tcW w:w="13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380" w:type="dxa"/>
            <w:vAlign w:val="bottom"/>
          </w:tcPr>
          <w:p>
            <w:pPr>
              <w:jc w:val="right"/>
              <w:ind w:right="927"/>
              <w:spacing w:after="0"/>
              <w:rPr>
                <w:sz w:val="20"/>
                <w:szCs w:val="20"/>
                <w:color w:val="auto"/>
              </w:rPr>
            </w:pPr>
            <w:r>
              <w:rPr>
                <w:rFonts w:ascii="Arial" w:cs="Arial" w:eastAsia="Arial" w:hAnsi="Arial"/>
                <w:sz w:val="19"/>
                <w:szCs w:val="19"/>
                <w:b w:val="1"/>
                <w:bCs w:val="1"/>
                <w:color w:val="697D88"/>
              </w:rPr>
              <w:t>$50</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33.0%</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1380" w:type="dxa"/>
            <w:vAlign w:val="bottom"/>
            <w:vMerge w:val="restart"/>
          </w:tcPr>
          <w:p>
            <w:pPr>
              <w:ind w:left="800"/>
              <w:spacing w:after="0"/>
              <w:rPr>
                <w:sz w:val="20"/>
                <w:szCs w:val="20"/>
                <w:color w:val="auto"/>
              </w:rPr>
            </w:pPr>
            <w:r>
              <w:rPr>
                <w:rFonts w:ascii="Arial" w:cs="Arial" w:eastAsia="Arial" w:hAnsi="Arial"/>
                <w:sz w:val="19"/>
                <w:szCs w:val="19"/>
                <w:b w:val="1"/>
                <w:bCs w:val="1"/>
                <w:color w:val="FFFFFF"/>
              </w:rPr>
              <w:t>$28.6</w:t>
            </w:r>
          </w:p>
        </w:tc>
        <w:tc>
          <w:tcPr>
            <w:tcW w:w="1060" w:type="dxa"/>
            <w:vAlign w:val="bottom"/>
            <w:vMerge w:val="restart"/>
          </w:tcPr>
          <w:p>
            <w:pPr>
              <w:jc w:val="right"/>
              <w:ind w:right="146"/>
              <w:spacing w:after="0"/>
              <w:rPr>
                <w:sz w:val="20"/>
                <w:szCs w:val="20"/>
                <w:color w:val="auto"/>
              </w:rPr>
            </w:pPr>
            <w:r>
              <w:rPr>
                <w:rFonts w:ascii="Arial" w:cs="Arial" w:eastAsia="Arial" w:hAnsi="Arial"/>
                <w:sz w:val="19"/>
                <w:szCs w:val="19"/>
                <w:b w:val="1"/>
                <w:bCs w:val="1"/>
                <w:color w:val="FFFFFF"/>
              </w:rPr>
              <w:t>$30.9</w:t>
            </w:r>
          </w:p>
        </w:tc>
        <w:tc>
          <w:tcPr>
            <w:tcW w:w="900" w:type="dxa"/>
            <w:vAlign w:val="bottom"/>
          </w:tcPr>
          <w:p>
            <w:pPr>
              <w:jc w:val="right"/>
              <w:ind w:right="146"/>
              <w:spacing w:after="0"/>
              <w:rPr>
                <w:sz w:val="20"/>
                <w:szCs w:val="20"/>
                <w:color w:val="auto"/>
              </w:rPr>
            </w:pPr>
            <w:r>
              <w:rPr>
                <w:rFonts w:ascii="Arial" w:cs="Arial" w:eastAsia="Arial" w:hAnsi="Arial"/>
                <w:sz w:val="19"/>
                <w:szCs w:val="19"/>
                <w:b w:val="1"/>
                <w:bCs w:val="1"/>
                <w:color w:val="FFFFFF"/>
              </w:rPr>
              <w:t>$34.4</w:t>
            </w:r>
          </w:p>
        </w:tc>
        <w:tc>
          <w:tcPr>
            <w:tcW w:w="920" w:type="dxa"/>
            <w:vAlign w:val="bottom"/>
          </w:tcPr>
          <w:p>
            <w:pPr>
              <w:ind w:left="200"/>
              <w:spacing w:after="0"/>
              <w:rPr>
                <w:sz w:val="20"/>
                <w:szCs w:val="20"/>
                <w:color w:val="auto"/>
              </w:rPr>
            </w:pPr>
            <w:r>
              <w:rPr>
                <w:rFonts w:ascii="Arial" w:cs="Arial" w:eastAsia="Arial" w:hAnsi="Arial"/>
                <w:sz w:val="19"/>
                <w:szCs w:val="19"/>
                <w:b w:val="1"/>
                <w:bCs w:val="1"/>
                <w:color w:val="FFFFFF"/>
              </w:rPr>
              <w:t>$34.1</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ind w:left="220"/>
              <w:spacing w:after="0"/>
              <w:rPr>
                <w:sz w:val="20"/>
                <w:szCs w:val="20"/>
                <w:color w:val="auto"/>
              </w:rPr>
            </w:pPr>
            <w:r>
              <w:rPr>
                <w:rFonts w:ascii="Arial" w:cs="Arial" w:eastAsia="Arial" w:hAnsi="Arial"/>
                <w:sz w:val="19"/>
                <w:szCs w:val="19"/>
                <w:b w:val="1"/>
                <w:bCs w:val="1"/>
                <w:color w:val="595959"/>
              </w:rPr>
              <w:t>$13.6</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9"/>
                <w:szCs w:val="19"/>
                <w:b w:val="1"/>
                <w:bCs w:val="1"/>
                <w:color w:val="FFFFFF"/>
              </w:rPr>
              <w:t>$19.1</w:t>
            </w:r>
          </w:p>
        </w:tc>
        <w:tc>
          <w:tcPr>
            <w:tcW w:w="1040" w:type="dxa"/>
            <w:vAlign w:val="bottom"/>
            <w:vMerge w:val="restart"/>
          </w:tcPr>
          <w:p>
            <w:pPr>
              <w:jc w:val="right"/>
              <w:ind w:right="126"/>
              <w:spacing w:after="0"/>
              <w:rPr>
                <w:sz w:val="20"/>
                <w:szCs w:val="20"/>
                <w:color w:val="auto"/>
              </w:rPr>
            </w:pPr>
            <w:r>
              <w:rPr>
                <w:rFonts w:ascii="Arial" w:cs="Arial" w:eastAsia="Arial" w:hAnsi="Arial"/>
                <w:sz w:val="19"/>
                <w:szCs w:val="19"/>
                <w:b w:val="1"/>
                <w:bCs w:val="1"/>
                <w:color w:val="FFFFFF"/>
              </w:rPr>
              <w:t>$19.0</w:t>
            </w:r>
          </w:p>
        </w:tc>
        <w:tc>
          <w:tcPr>
            <w:tcW w:w="880" w:type="dxa"/>
            <w:vAlign w:val="bottom"/>
            <w:vMerge w:val="restart"/>
          </w:tcPr>
          <w:p>
            <w:pPr>
              <w:jc w:val="right"/>
              <w:ind w:right="86"/>
              <w:spacing w:after="0"/>
              <w:rPr>
                <w:sz w:val="20"/>
                <w:szCs w:val="20"/>
                <w:color w:val="auto"/>
              </w:rPr>
            </w:pPr>
            <w:r>
              <w:rPr>
                <w:rFonts w:ascii="Arial" w:cs="Arial" w:eastAsia="Arial" w:hAnsi="Arial"/>
                <w:sz w:val="19"/>
                <w:szCs w:val="19"/>
                <w:b w:val="1"/>
                <w:bCs w:val="1"/>
                <w:color w:val="FFFFFF"/>
              </w:rPr>
              <w:t>$19.6</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380" w:type="dxa"/>
            <w:vAlign w:val="bottom"/>
            <w:vMerge w:val="restart"/>
          </w:tcPr>
          <w:p>
            <w:pPr>
              <w:jc w:val="right"/>
              <w:ind w:right="887"/>
              <w:spacing w:after="0"/>
              <w:rPr>
                <w:sz w:val="20"/>
                <w:szCs w:val="20"/>
                <w:color w:val="auto"/>
              </w:rPr>
            </w:pPr>
            <w:r>
              <w:rPr>
                <w:rFonts w:ascii="Arial" w:cs="Arial" w:eastAsia="Arial" w:hAnsi="Arial"/>
                <w:sz w:val="19"/>
                <w:szCs w:val="19"/>
                <w:b w:val="1"/>
                <w:bCs w:val="1"/>
                <w:color w:val="697D88"/>
              </w:rPr>
              <w:t>$0</w:t>
            </w: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Arial" w:cs="Arial" w:eastAsia="Arial" w:hAnsi="Arial"/>
                <w:sz w:val="19"/>
                <w:szCs w:val="19"/>
                <w:b w:val="1"/>
                <w:bCs w:val="1"/>
                <w:color w:val="697D88"/>
              </w:rPr>
              <w:t>30.0%</w:t>
            </w:r>
          </w:p>
        </w:tc>
        <w:tc>
          <w:tcPr>
            <w:tcW w:w="0" w:type="dxa"/>
            <w:vAlign w:val="bottom"/>
          </w:tcPr>
          <w:p>
            <w:pPr>
              <w:spacing w:after="0"/>
              <w:rPr>
                <w:sz w:val="1"/>
                <w:szCs w:val="1"/>
                <w:color w:val="auto"/>
              </w:rPr>
            </w:pPr>
          </w:p>
        </w:tc>
      </w:tr>
      <w:tr>
        <w:trPr>
          <w:trHeight w:val="161"/>
        </w:trPr>
        <w:tc>
          <w:tcPr>
            <w:tcW w:w="13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380" w:type="dxa"/>
            <w:vAlign w:val="bottom"/>
          </w:tcPr>
          <w:p>
            <w:pPr>
              <w:jc w:val="right"/>
              <w:ind w:right="27"/>
              <w:spacing w:after="0"/>
              <w:rPr>
                <w:sz w:val="20"/>
                <w:szCs w:val="20"/>
                <w:color w:val="auto"/>
              </w:rPr>
            </w:pPr>
            <w:r>
              <w:rPr>
                <w:rFonts w:ascii="Arial" w:cs="Arial" w:eastAsia="Arial" w:hAnsi="Arial"/>
                <w:sz w:val="19"/>
                <w:szCs w:val="19"/>
                <w:b w:val="1"/>
                <w:bCs w:val="1"/>
                <w:color w:val="697D88"/>
              </w:rPr>
              <w:t>2005</w:t>
            </w:r>
          </w:p>
        </w:tc>
        <w:tc>
          <w:tcPr>
            <w:tcW w:w="1060" w:type="dxa"/>
            <w:vAlign w:val="bottom"/>
          </w:tcPr>
          <w:p>
            <w:pPr>
              <w:jc w:val="right"/>
              <w:ind w:right="166"/>
              <w:spacing w:after="0"/>
              <w:rPr>
                <w:sz w:val="20"/>
                <w:szCs w:val="20"/>
                <w:color w:val="auto"/>
              </w:rPr>
            </w:pPr>
            <w:r>
              <w:rPr>
                <w:rFonts w:ascii="Arial" w:cs="Arial" w:eastAsia="Arial" w:hAnsi="Arial"/>
                <w:sz w:val="19"/>
                <w:szCs w:val="19"/>
                <w:b w:val="1"/>
                <w:bCs w:val="1"/>
                <w:color w:val="697D88"/>
              </w:rPr>
              <w:t>2006</w:t>
            </w:r>
          </w:p>
        </w:tc>
        <w:tc>
          <w:tcPr>
            <w:tcW w:w="900" w:type="dxa"/>
            <w:vAlign w:val="bottom"/>
          </w:tcPr>
          <w:p>
            <w:pPr>
              <w:jc w:val="right"/>
              <w:ind w:right="146"/>
              <w:spacing w:after="0"/>
              <w:rPr>
                <w:sz w:val="20"/>
                <w:szCs w:val="20"/>
                <w:color w:val="auto"/>
              </w:rPr>
            </w:pPr>
            <w:r>
              <w:rPr>
                <w:rFonts w:ascii="Arial" w:cs="Arial" w:eastAsia="Arial" w:hAnsi="Arial"/>
                <w:sz w:val="19"/>
                <w:szCs w:val="19"/>
                <w:b w:val="1"/>
                <w:bCs w:val="1"/>
                <w:color w:val="697D88"/>
              </w:rPr>
              <w:t>2007</w:t>
            </w:r>
          </w:p>
        </w:tc>
        <w:tc>
          <w:tcPr>
            <w:tcW w:w="920" w:type="dxa"/>
            <w:vAlign w:val="bottom"/>
          </w:tcPr>
          <w:p>
            <w:pPr>
              <w:ind w:left="240"/>
              <w:spacing w:after="0"/>
              <w:rPr>
                <w:sz w:val="20"/>
                <w:szCs w:val="20"/>
                <w:color w:val="auto"/>
              </w:rPr>
            </w:pPr>
            <w:r>
              <w:rPr>
                <w:rFonts w:ascii="Arial" w:cs="Arial" w:eastAsia="Arial" w:hAnsi="Arial"/>
                <w:sz w:val="19"/>
                <w:szCs w:val="19"/>
                <w:b w:val="1"/>
                <w:bCs w:val="1"/>
                <w:color w:val="697D88"/>
              </w:rPr>
              <w:t>2008</w:t>
            </w:r>
          </w:p>
        </w:tc>
        <w:tc>
          <w:tcPr>
            <w:tcW w:w="780" w:type="dxa"/>
            <w:vAlign w:val="bottom"/>
          </w:tcPr>
          <w:p>
            <w:pPr>
              <w:jc w:val="right"/>
              <w:ind w:right="26"/>
              <w:spacing w:after="0"/>
              <w:rPr>
                <w:sz w:val="20"/>
                <w:szCs w:val="20"/>
                <w:color w:val="auto"/>
              </w:rPr>
            </w:pPr>
            <w:r>
              <w:rPr>
                <w:rFonts w:ascii="Arial" w:cs="Arial" w:eastAsia="Arial" w:hAnsi="Arial"/>
                <w:sz w:val="19"/>
                <w:szCs w:val="19"/>
                <w:b w:val="1"/>
                <w:bCs w:val="1"/>
                <w:color w:val="697D88"/>
              </w:rPr>
              <w:t>2009</w:t>
            </w:r>
          </w:p>
        </w:tc>
        <w:tc>
          <w:tcPr>
            <w:tcW w:w="1040" w:type="dxa"/>
            <w:vAlign w:val="bottom"/>
          </w:tcPr>
          <w:p>
            <w:pPr>
              <w:jc w:val="right"/>
              <w:ind w:right="166"/>
              <w:spacing w:after="0"/>
              <w:rPr>
                <w:sz w:val="20"/>
                <w:szCs w:val="20"/>
                <w:color w:val="auto"/>
              </w:rPr>
            </w:pPr>
            <w:r>
              <w:rPr>
                <w:rFonts w:ascii="Arial" w:cs="Arial" w:eastAsia="Arial" w:hAnsi="Arial"/>
                <w:sz w:val="19"/>
                <w:szCs w:val="19"/>
                <w:b w:val="1"/>
                <w:bCs w:val="1"/>
                <w:color w:val="697D88"/>
              </w:rPr>
              <w:t>2010</w:t>
            </w:r>
          </w:p>
        </w:tc>
        <w:tc>
          <w:tcPr>
            <w:tcW w:w="880" w:type="dxa"/>
            <w:vAlign w:val="bottom"/>
          </w:tcPr>
          <w:p>
            <w:pPr>
              <w:jc w:val="right"/>
              <w:ind w:right="126"/>
              <w:spacing w:after="0"/>
              <w:rPr>
                <w:sz w:val="20"/>
                <w:szCs w:val="20"/>
                <w:color w:val="auto"/>
              </w:rPr>
            </w:pPr>
            <w:r>
              <w:rPr>
                <w:rFonts w:ascii="Arial" w:cs="Arial" w:eastAsia="Arial" w:hAnsi="Arial"/>
                <w:sz w:val="19"/>
                <w:szCs w:val="19"/>
                <w:b w:val="1"/>
                <w:bCs w:val="1"/>
                <w:color w:val="697D88"/>
              </w:rPr>
              <w:t>2011</w:t>
            </w:r>
          </w:p>
        </w:tc>
        <w:tc>
          <w:tcPr>
            <w:tcW w:w="1640" w:type="dxa"/>
            <w:vAlign w:val="bottom"/>
          </w:tcPr>
          <w:p>
            <w:pPr>
              <w:jc w:val="right"/>
              <w:ind w:right="586"/>
              <w:spacing w:after="0"/>
              <w:rPr>
                <w:sz w:val="20"/>
                <w:szCs w:val="20"/>
                <w:color w:val="auto"/>
              </w:rPr>
            </w:pPr>
            <w:r>
              <w:rPr>
                <w:rFonts w:ascii="Arial" w:cs="Arial" w:eastAsia="Arial" w:hAnsi="Arial"/>
                <w:sz w:val="19"/>
                <w:szCs w:val="19"/>
                <w:b w:val="1"/>
                <w:bCs w:val="1"/>
                <w:color w:val="697D88"/>
              </w:rPr>
              <w:t>2012 YTD</w:t>
            </w:r>
          </w:p>
        </w:tc>
        <w:tc>
          <w:tcPr>
            <w:tcW w:w="0" w:type="dxa"/>
            <w:vAlign w:val="bottom"/>
          </w:tcPr>
          <w:p>
            <w:pPr>
              <w:spacing w:after="0"/>
              <w:rPr>
                <w:sz w:val="1"/>
                <w:szCs w:val="1"/>
                <w:color w:val="auto"/>
              </w:rPr>
            </w:pPr>
          </w:p>
        </w:tc>
      </w:tr>
      <w:tr>
        <w:trPr>
          <w:trHeight w:val="564"/>
        </w:trPr>
        <w:tc>
          <w:tcPr>
            <w:tcW w:w="1380" w:type="dxa"/>
            <w:vAlign w:val="bottom"/>
          </w:tcPr>
          <w:p>
            <w:pPr>
              <w:spacing w:after="0"/>
              <w:rPr>
                <w:sz w:val="24"/>
                <w:szCs w:val="24"/>
                <w:color w:val="auto"/>
              </w:rPr>
            </w:pPr>
          </w:p>
        </w:tc>
        <w:tc>
          <w:tcPr>
            <w:tcW w:w="1960" w:type="dxa"/>
            <w:vAlign w:val="bottom"/>
            <w:gridSpan w:val="2"/>
          </w:tcPr>
          <w:p>
            <w:pPr>
              <w:jc w:val="right"/>
              <w:ind w:right="206"/>
              <w:spacing w:after="0"/>
              <w:rPr>
                <w:sz w:val="20"/>
                <w:szCs w:val="20"/>
                <w:color w:val="auto"/>
              </w:rPr>
            </w:pPr>
            <w:r>
              <w:rPr>
                <w:rFonts w:ascii="Arial" w:cs="Arial" w:eastAsia="Arial" w:hAnsi="Arial"/>
                <w:sz w:val="19"/>
                <w:szCs w:val="19"/>
                <w:color w:val="auto"/>
              </w:rPr>
              <w:t>Marketing Expense</w:t>
            </w:r>
          </w:p>
        </w:tc>
        <w:tc>
          <w:tcPr>
            <w:tcW w:w="1700" w:type="dxa"/>
            <w:vAlign w:val="bottom"/>
            <w:gridSpan w:val="2"/>
          </w:tcPr>
          <w:p>
            <w:pPr>
              <w:ind w:left="200"/>
              <w:spacing w:after="0"/>
              <w:rPr>
                <w:sz w:val="20"/>
                <w:szCs w:val="20"/>
                <w:color w:val="auto"/>
              </w:rPr>
            </w:pPr>
            <w:r>
              <w:rPr>
                <w:rFonts w:ascii="Arial" w:cs="Arial" w:eastAsia="Arial" w:hAnsi="Arial"/>
                <w:sz w:val="19"/>
                <w:szCs w:val="19"/>
                <w:color w:val="auto"/>
              </w:rPr>
              <w:t>Total SG&amp;A</w:t>
            </w:r>
          </w:p>
        </w:tc>
        <w:tc>
          <w:tcPr>
            <w:tcW w:w="3560" w:type="dxa"/>
            <w:vAlign w:val="bottom"/>
            <w:gridSpan w:val="3"/>
          </w:tcPr>
          <w:p>
            <w:pPr>
              <w:jc w:val="right"/>
              <w:ind w:right="766"/>
              <w:spacing w:after="0"/>
              <w:rPr>
                <w:sz w:val="20"/>
                <w:szCs w:val="20"/>
                <w:color w:val="auto"/>
              </w:rPr>
            </w:pPr>
            <w:r>
              <w:rPr>
                <w:rFonts w:ascii="Arial" w:cs="Arial" w:eastAsia="Arial" w:hAnsi="Arial"/>
                <w:sz w:val="19"/>
                <w:szCs w:val="19"/>
                <w:color w:val="auto"/>
                <w:w w:val="99"/>
              </w:rPr>
              <w:t>SG&amp;A as a Percentage of Sales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34</w:t>
      </w:r>
    </w:p>
    <w:p>
      <w:pPr>
        <w:sectPr>
          <w:pgSz w:w="11900" w:h="16838" w:orient="portrait"/>
          <w:cols w:equalWidth="0" w:num="1">
            <w:col w:w="10040"/>
          </w:cols>
          <w:pgMar w:left="960" w:top="1052" w:right="899" w:bottom="1440" w:gutter="0" w:footer="0" w:header="0"/>
        </w:sectPr>
      </w:pPr>
    </w:p>
    <w:bookmarkStart w:id="37" w:name="page38"/>
    <w:bookmarkEnd w:id="37"/>
    <w:p>
      <w:pPr>
        <w:ind w:left="32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Strong Debt-Free Balance Sheet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32"/>
                <w:szCs w:val="32"/>
                <w:b w:val="1"/>
                <w:bCs w:val="1"/>
                <w:color w:val="auto"/>
                <w:w w:val="98"/>
              </w:rPr>
              <w:t>Q3</w:t>
            </w:r>
          </w:p>
        </w:tc>
        <w:tc>
          <w:tcPr>
            <w:tcW w:w="0" w:type="dxa"/>
            <w:vAlign w:val="bottom"/>
          </w:tcPr>
          <w:p>
            <w:pPr>
              <w:spacing w:after="0"/>
              <w:rPr>
                <w:sz w:val="1"/>
                <w:szCs w:val="1"/>
                <w:color w:val="auto"/>
              </w:rPr>
            </w:pPr>
          </w:p>
        </w:tc>
      </w:tr>
      <w:tr>
        <w:trPr>
          <w:trHeight w:val="413"/>
        </w:trPr>
        <w:tc>
          <w:tcPr>
            <w:tcW w:w="18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32"/>
                <w:szCs w:val="32"/>
                <w:color w:val="auto"/>
                <w:w w:val="89"/>
              </w:rPr>
              <w:t>2007</w:t>
            </w:r>
          </w:p>
        </w:tc>
        <w:tc>
          <w:tcPr>
            <w:tcW w:w="1280" w:type="dxa"/>
            <w:vAlign w:val="bottom"/>
          </w:tcPr>
          <w:p>
            <w:pPr>
              <w:jc w:val="center"/>
              <w:spacing w:after="0"/>
              <w:rPr>
                <w:sz w:val="20"/>
                <w:szCs w:val="20"/>
                <w:color w:val="auto"/>
              </w:rPr>
            </w:pPr>
            <w:r>
              <w:rPr>
                <w:rFonts w:ascii="Arial" w:cs="Arial" w:eastAsia="Arial" w:hAnsi="Arial"/>
                <w:sz w:val="32"/>
                <w:szCs w:val="32"/>
                <w:color w:val="auto"/>
                <w:w w:val="89"/>
              </w:rPr>
              <w:t>2008</w:t>
            </w:r>
          </w:p>
        </w:tc>
        <w:tc>
          <w:tcPr>
            <w:tcW w:w="1320" w:type="dxa"/>
            <w:vAlign w:val="bottom"/>
          </w:tcPr>
          <w:p>
            <w:pPr>
              <w:jc w:val="center"/>
              <w:spacing w:after="0"/>
              <w:rPr>
                <w:sz w:val="20"/>
                <w:szCs w:val="20"/>
                <w:color w:val="auto"/>
              </w:rPr>
            </w:pPr>
            <w:r>
              <w:rPr>
                <w:rFonts w:ascii="Arial" w:cs="Arial" w:eastAsia="Arial" w:hAnsi="Arial"/>
                <w:sz w:val="32"/>
                <w:szCs w:val="32"/>
                <w:color w:val="auto"/>
                <w:w w:val="89"/>
              </w:rPr>
              <w:t>2009</w:t>
            </w:r>
          </w:p>
        </w:tc>
        <w:tc>
          <w:tcPr>
            <w:tcW w:w="1280" w:type="dxa"/>
            <w:vAlign w:val="bottom"/>
          </w:tcPr>
          <w:p>
            <w:pPr>
              <w:jc w:val="center"/>
              <w:spacing w:after="0"/>
              <w:rPr>
                <w:sz w:val="20"/>
                <w:szCs w:val="20"/>
                <w:color w:val="auto"/>
              </w:rPr>
            </w:pPr>
            <w:r>
              <w:rPr>
                <w:rFonts w:ascii="Arial" w:cs="Arial" w:eastAsia="Arial" w:hAnsi="Arial"/>
                <w:sz w:val="32"/>
                <w:szCs w:val="32"/>
                <w:color w:val="auto"/>
                <w:w w:val="89"/>
              </w:rPr>
              <w:t>2010</w:t>
            </w:r>
          </w:p>
        </w:tc>
        <w:tc>
          <w:tcPr>
            <w:tcW w:w="1360" w:type="dxa"/>
            <w:vAlign w:val="bottom"/>
          </w:tcPr>
          <w:p>
            <w:pPr>
              <w:jc w:val="center"/>
              <w:spacing w:after="0"/>
              <w:rPr>
                <w:sz w:val="20"/>
                <w:szCs w:val="20"/>
                <w:color w:val="auto"/>
              </w:rPr>
            </w:pPr>
            <w:r>
              <w:rPr>
                <w:rFonts w:ascii="Arial" w:cs="Arial" w:eastAsia="Arial" w:hAnsi="Arial"/>
                <w:sz w:val="32"/>
                <w:szCs w:val="32"/>
                <w:color w:val="auto"/>
                <w:w w:val="87"/>
              </w:rPr>
              <w:t>2011</w:t>
            </w:r>
          </w:p>
        </w:tc>
        <w:tc>
          <w:tcPr>
            <w:tcW w:w="1160" w:type="dxa"/>
            <w:vAlign w:val="bottom"/>
          </w:tcPr>
          <w:p>
            <w:pPr>
              <w:jc w:val="center"/>
              <w:spacing w:after="0"/>
              <w:rPr>
                <w:sz w:val="20"/>
                <w:szCs w:val="20"/>
                <w:color w:val="auto"/>
              </w:rPr>
            </w:pPr>
            <w:r>
              <w:rPr>
                <w:rFonts w:ascii="Arial" w:cs="Arial" w:eastAsia="Arial" w:hAnsi="Arial"/>
                <w:sz w:val="32"/>
                <w:szCs w:val="32"/>
                <w:b w:val="1"/>
                <w:bCs w:val="1"/>
                <w:color w:val="auto"/>
                <w:w w:val="89"/>
              </w:rPr>
              <w:t>2012</w:t>
            </w:r>
          </w:p>
        </w:tc>
        <w:tc>
          <w:tcPr>
            <w:tcW w:w="0" w:type="dxa"/>
            <w:vAlign w:val="bottom"/>
          </w:tcPr>
          <w:p>
            <w:pPr>
              <w:spacing w:after="0"/>
              <w:rPr>
                <w:sz w:val="1"/>
                <w:szCs w:val="1"/>
                <w:color w:val="auto"/>
              </w:rPr>
            </w:pPr>
          </w:p>
        </w:tc>
      </w:tr>
      <w:tr>
        <w:trPr>
          <w:trHeight w:val="591"/>
        </w:trPr>
        <w:tc>
          <w:tcPr>
            <w:tcW w:w="1860" w:type="dxa"/>
            <w:vAlign w:val="bottom"/>
          </w:tcPr>
          <w:p>
            <w:pPr>
              <w:ind w:left="320"/>
              <w:spacing w:after="0"/>
              <w:rPr>
                <w:sz w:val="20"/>
                <w:szCs w:val="20"/>
                <w:color w:val="auto"/>
              </w:rPr>
            </w:pPr>
            <w:r>
              <w:rPr>
                <w:rFonts w:ascii="Arial" w:cs="Arial" w:eastAsia="Arial" w:hAnsi="Arial"/>
                <w:sz w:val="25"/>
                <w:szCs w:val="25"/>
                <w:color w:val="558ED5"/>
              </w:rPr>
              <w:t>Inventory</w:t>
            </w:r>
          </w:p>
        </w:tc>
        <w:tc>
          <w:tcPr>
            <w:tcW w:w="1340" w:type="dxa"/>
            <w:vAlign w:val="bottom"/>
            <w:vMerge w:val="restart"/>
          </w:tcPr>
          <w:p>
            <w:pPr>
              <w:jc w:val="center"/>
              <w:spacing w:after="0"/>
              <w:rPr>
                <w:sz w:val="20"/>
                <w:szCs w:val="20"/>
                <w:color w:val="auto"/>
              </w:rPr>
            </w:pPr>
            <w:r>
              <w:rPr>
                <w:rFonts w:ascii="Arial" w:cs="Arial" w:eastAsia="Arial" w:hAnsi="Arial"/>
                <w:sz w:val="28"/>
                <w:szCs w:val="28"/>
                <w:color w:val="auto"/>
                <w:w w:val="93"/>
              </w:rPr>
              <w:t>$117.8M</w:t>
            </w:r>
          </w:p>
        </w:tc>
        <w:tc>
          <w:tcPr>
            <w:tcW w:w="1280" w:type="dxa"/>
            <w:vAlign w:val="bottom"/>
            <w:vMerge w:val="restart"/>
          </w:tcPr>
          <w:p>
            <w:pPr>
              <w:jc w:val="center"/>
              <w:spacing w:after="0"/>
              <w:rPr>
                <w:sz w:val="20"/>
                <w:szCs w:val="20"/>
                <w:color w:val="auto"/>
              </w:rPr>
            </w:pPr>
            <w:r>
              <w:rPr>
                <w:rFonts w:ascii="Arial" w:cs="Arial" w:eastAsia="Arial" w:hAnsi="Arial"/>
                <w:sz w:val="28"/>
                <w:szCs w:val="28"/>
                <w:color w:val="auto"/>
                <w:w w:val="94"/>
              </w:rPr>
              <w:t>$98.6M</w:t>
            </w:r>
          </w:p>
        </w:tc>
        <w:tc>
          <w:tcPr>
            <w:tcW w:w="1320" w:type="dxa"/>
            <w:vAlign w:val="bottom"/>
            <w:vMerge w:val="restart"/>
          </w:tcPr>
          <w:p>
            <w:pPr>
              <w:jc w:val="center"/>
              <w:spacing w:after="0"/>
              <w:rPr>
                <w:sz w:val="20"/>
                <w:szCs w:val="20"/>
                <w:color w:val="auto"/>
              </w:rPr>
            </w:pPr>
            <w:r>
              <w:rPr>
                <w:rFonts w:ascii="Arial" w:cs="Arial" w:eastAsia="Arial" w:hAnsi="Arial"/>
                <w:sz w:val="28"/>
                <w:szCs w:val="28"/>
                <w:color w:val="auto"/>
                <w:w w:val="94"/>
              </w:rPr>
              <w:t>$90.0M</w:t>
            </w:r>
          </w:p>
        </w:tc>
        <w:tc>
          <w:tcPr>
            <w:tcW w:w="1280" w:type="dxa"/>
            <w:vAlign w:val="bottom"/>
            <w:vMerge w:val="restart"/>
          </w:tcPr>
          <w:p>
            <w:pPr>
              <w:jc w:val="center"/>
              <w:spacing w:after="0"/>
              <w:rPr>
                <w:sz w:val="20"/>
                <w:szCs w:val="20"/>
                <w:color w:val="auto"/>
              </w:rPr>
            </w:pPr>
            <w:r>
              <w:rPr>
                <w:rFonts w:ascii="Arial" w:cs="Arial" w:eastAsia="Arial" w:hAnsi="Arial"/>
                <w:sz w:val="28"/>
                <w:szCs w:val="28"/>
                <w:color w:val="auto"/>
                <w:w w:val="94"/>
              </w:rPr>
              <w:t>$92.9M</w:t>
            </w:r>
          </w:p>
        </w:tc>
        <w:tc>
          <w:tcPr>
            <w:tcW w:w="1360" w:type="dxa"/>
            <w:vAlign w:val="bottom"/>
            <w:vMerge w:val="restart"/>
          </w:tcPr>
          <w:p>
            <w:pPr>
              <w:jc w:val="center"/>
              <w:spacing w:after="0"/>
              <w:rPr>
                <w:sz w:val="20"/>
                <w:szCs w:val="20"/>
                <w:color w:val="auto"/>
              </w:rPr>
            </w:pPr>
            <w:r>
              <w:rPr>
                <w:rFonts w:ascii="Arial" w:cs="Arial" w:eastAsia="Arial" w:hAnsi="Arial"/>
                <w:sz w:val="28"/>
                <w:szCs w:val="28"/>
                <w:color w:val="auto"/>
                <w:w w:val="93"/>
              </w:rPr>
              <w:t>$104.2M</w:t>
            </w:r>
          </w:p>
        </w:tc>
        <w:tc>
          <w:tcPr>
            <w:tcW w:w="116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3"/>
              </w:rPr>
              <w:t>$116.1M</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6"/>
        </w:trPr>
        <w:tc>
          <w:tcPr>
            <w:tcW w:w="1860" w:type="dxa"/>
            <w:vAlign w:val="bottom"/>
          </w:tcPr>
          <w:p>
            <w:pPr>
              <w:jc w:val="center"/>
              <w:ind w:right="37"/>
              <w:spacing w:after="0"/>
              <w:rPr>
                <w:sz w:val="20"/>
                <w:szCs w:val="20"/>
                <w:color w:val="auto"/>
              </w:rPr>
            </w:pPr>
            <w:r>
              <w:rPr>
                <w:rFonts w:ascii="Arial" w:cs="Arial" w:eastAsia="Arial" w:hAnsi="Arial"/>
                <w:sz w:val="25"/>
                <w:szCs w:val="25"/>
                <w:color w:val="558ED5"/>
                <w:w w:val="92"/>
              </w:rPr>
              <w:t>Borrowing under</w:t>
            </w:r>
          </w:p>
        </w:tc>
        <w:tc>
          <w:tcPr>
            <w:tcW w:w="1340" w:type="dxa"/>
            <w:vAlign w:val="bottom"/>
            <w:vMerge w:val="restart"/>
          </w:tcPr>
          <w:p>
            <w:pPr>
              <w:jc w:val="center"/>
              <w:spacing w:after="0"/>
              <w:rPr>
                <w:sz w:val="20"/>
                <w:szCs w:val="20"/>
                <w:color w:val="auto"/>
              </w:rPr>
            </w:pPr>
            <w:r>
              <w:rPr>
                <w:rFonts w:ascii="Arial" w:cs="Arial" w:eastAsia="Arial" w:hAnsi="Arial"/>
                <w:sz w:val="28"/>
                <w:szCs w:val="28"/>
                <w:color w:val="auto"/>
                <w:w w:val="94"/>
              </w:rPr>
              <w:t>$41.0M</w:t>
            </w:r>
          </w:p>
        </w:tc>
        <w:tc>
          <w:tcPr>
            <w:tcW w:w="1280" w:type="dxa"/>
            <w:vAlign w:val="bottom"/>
            <w:vMerge w:val="restart"/>
          </w:tcPr>
          <w:p>
            <w:pPr>
              <w:jc w:val="center"/>
              <w:spacing w:after="0"/>
              <w:rPr>
                <w:sz w:val="20"/>
                <w:szCs w:val="20"/>
                <w:color w:val="auto"/>
              </w:rPr>
            </w:pPr>
            <w:r>
              <w:rPr>
                <w:rFonts w:ascii="Arial" w:cs="Arial" w:eastAsia="Arial" w:hAnsi="Arial"/>
                <w:sz w:val="28"/>
                <w:szCs w:val="28"/>
                <w:color w:val="auto"/>
                <w:w w:val="94"/>
              </w:rPr>
              <w:t>$38.7M</w:t>
            </w:r>
          </w:p>
        </w:tc>
        <w:tc>
          <w:tcPr>
            <w:tcW w:w="1320" w:type="dxa"/>
            <w:vAlign w:val="bottom"/>
            <w:vMerge w:val="restart"/>
          </w:tcPr>
          <w:p>
            <w:pPr>
              <w:jc w:val="center"/>
              <w:spacing w:after="0"/>
              <w:rPr>
                <w:sz w:val="20"/>
                <w:szCs w:val="20"/>
                <w:color w:val="auto"/>
              </w:rPr>
            </w:pPr>
            <w:r>
              <w:rPr>
                <w:rFonts w:ascii="Arial" w:cs="Arial" w:eastAsia="Arial" w:hAnsi="Arial"/>
                <w:sz w:val="28"/>
                <w:szCs w:val="28"/>
                <w:color w:val="auto"/>
                <w:w w:val="95"/>
              </w:rPr>
              <w:t>$3.5M</w:t>
            </w:r>
          </w:p>
        </w:tc>
        <w:tc>
          <w:tcPr>
            <w:tcW w:w="1280" w:type="dxa"/>
            <w:vAlign w:val="bottom"/>
            <w:vMerge w:val="restart"/>
          </w:tcPr>
          <w:p>
            <w:pPr>
              <w:jc w:val="center"/>
              <w:spacing w:after="0"/>
              <w:rPr>
                <w:sz w:val="20"/>
                <w:szCs w:val="20"/>
                <w:color w:val="auto"/>
              </w:rPr>
            </w:pPr>
            <w:r>
              <w:rPr>
                <w:rFonts w:ascii="Arial" w:cs="Arial" w:eastAsia="Arial" w:hAnsi="Arial"/>
                <w:sz w:val="28"/>
                <w:szCs w:val="28"/>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28"/>
                <w:szCs w:val="28"/>
                <w:color w:val="auto"/>
              </w:rPr>
              <w:t>-</w:t>
            </w:r>
          </w:p>
        </w:tc>
        <w:tc>
          <w:tcPr>
            <w:tcW w:w="1160" w:type="dxa"/>
            <w:vAlign w:val="bottom"/>
            <w:vMerge w:val="restart"/>
          </w:tcPr>
          <w:p>
            <w:pPr>
              <w:jc w:val="center"/>
              <w:spacing w:after="0"/>
              <w:rPr>
                <w:sz w:val="20"/>
                <w:szCs w:val="20"/>
                <w:color w:val="auto"/>
              </w:rPr>
            </w:pPr>
            <w:r>
              <w:rPr>
                <w:rFonts w:ascii="Arial" w:cs="Arial" w:eastAsia="Arial" w:hAnsi="Arial"/>
                <w:sz w:val="28"/>
                <w:szCs w:val="28"/>
                <w:b w:val="1"/>
                <w:bCs w:val="1"/>
                <w:color w:val="auto"/>
                <w:w w:val="97"/>
              </w:rPr>
              <w:t>$7.6M</w:t>
            </w:r>
          </w:p>
        </w:tc>
        <w:tc>
          <w:tcPr>
            <w:tcW w:w="0" w:type="dxa"/>
            <w:vAlign w:val="bottom"/>
          </w:tcPr>
          <w:p>
            <w:pPr>
              <w:spacing w:after="0"/>
              <w:rPr>
                <w:sz w:val="1"/>
                <w:szCs w:val="1"/>
                <w:color w:val="auto"/>
              </w:rPr>
            </w:pPr>
          </w:p>
        </w:tc>
      </w:tr>
      <w:tr>
        <w:trPr>
          <w:trHeight w:val="316"/>
        </w:trPr>
        <w:tc>
          <w:tcPr>
            <w:tcW w:w="1860" w:type="dxa"/>
            <w:vAlign w:val="bottom"/>
          </w:tcPr>
          <w:p>
            <w:pPr>
              <w:jc w:val="center"/>
              <w:spacing w:after="0"/>
              <w:rPr>
                <w:sz w:val="20"/>
                <w:szCs w:val="20"/>
                <w:color w:val="auto"/>
              </w:rPr>
            </w:pPr>
            <w:r>
              <w:rPr>
                <w:rFonts w:ascii="Arial" w:cs="Arial" w:eastAsia="Arial" w:hAnsi="Arial"/>
                <w:sz w:val="25"/>
                <w:szCs w:val="25"/>
                <w:color w:val="558ED5"/>
                <w:w w:val="92"/>
              </w:rPr>
              <w:t>revolver</w:t>
            </w:r>
          </w:p>
        </w:tc>
        <w:tc>
          <w:tcPr>
            <w:tcW w:w="134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1860" w:type="dxa"/>
            <w:vAlign w:val="bottom"/>
          </w:tcPr>
          <w:p>
            <w:pPr>
              <w:jc w:val="center"/>
              <w:ind w:right="37"/>
              <w:spacing w:after="0"/>
              <w:rPr>
                <w:sz w:val="20"/>
                <w:szCs w:val="20"/>
                <w:color w:val="auto"/>
              </w:rPr>
            </w:pPr>
            <w:r>
              <w:rPr>
                <w:rFonts w:ascii="Arial" w:cs="Arial" w:eastAsia="Arial" w:hAnsi="Arial"/>
                <w:sz w:val="25"/>
                <w:szCs w:val="25"/>
                <w:color w:val="558ED5"/>
                <w:w w:val="86"/>
              </w:rPr>
              <w:t>Cash on hand</w:t>
            </w:r>
          </w:p>
        </w:tc>
        <w:tc>
          <w:tcPr>
            <w:tcW w:w="1340" w:type="dxa"/>
            <w:vAlign w:val="bottom"/>
          </w:tcPr>
          <w:p>
            <w:pPr>
              <w:jc w:val="center"/>
              <w:spacing w:after="0"/>
              <w:rPr>
                <w:sz w:val="20"/>
                <w:szCs w:val="20"/>
                <w:color w:val="auto"/>
              </w:rPr>
            </w:pPr>
            <w:r>
              <w:rPr>
                <w:rFonts w:ascii="Arial" w:cs="Arial" w:eastAsia="Arial" w:hAnsi="Arial"/>
                <w:sz w:val="28"/>
                <w:szCs w:val="28"/>
                <w:color w:val="auto"/>
              </w:rPr>
              <w:t>-</w:t>
            </w:r>
          </w:p>
        </w:tc>
        <w:tc>
          <w:tcPr>
            <w:tcW w:w="1280" w:type="dxa"/>
            <w:vAlign w:val="bottom"/>
          </w:tcPr>
          <w:p>
            <w:pPr>
              <w:jc w:val="center"/>
              <w:spacing w:after="0"/>
              <w:rPr>
                <w:sz w:val="20"/>
                <w:szCs w:val="20"/>
                <w:color w:val="auto"/>
              </w:rPr>
            </w:pPr>
            <w:r>
              <w:rPr>
                <w:rFonts w:ascii="Arial" w:cs="Arial" w:eastAsia="Arial" w:hAnsi="Arial"/>
                <w:sz w:val="28"/>
                <w:szCs w:val="28"/>
                <w:color w:val="auto"/>
                <w:w w:val="85"/>
              </w:rPr>
              <w:t>-</w:t>
            </w:r>
          </w:p>
        </w:tc>
        <w:tc>
          <w:tcPr>
            <w:tcW w:w="1320" w:type="dxa"/>
            <w:vAlign w:val="bottom"/>
          </w:tcPr>
          <w:p>
            <w:pPr>
              <w:jc w:val="center"/>
              <w:spacing w:after="0"/>
              <w:rPr>
                <w:sz w:val="20"/>
                <w:szCs w:val="20"/>
                <w:color w:val="auto"/>
              </w:rPr>
            </w:pPr>
            <w:r>
              <w:rPr>
                <w:rFonts w:ascii="Arial" w:cs="Arial" w:eastAsia="Arial" w:hAnsi="Arial"/>
                <w:sz w:val="28"/>
                <w:szCs w:val="28"/>
                <w:color w:val="auto"/>
                <w:w w:val="85"/>
              </w:rPr>
              <w:t>-</w:t>
            </w:r>
          </w:p>
        </w:tc>
        <w:tc>
          <w:tcPr>
            <w:tcW w:w="1280" w:type="dxa"/>
            <w:vAlign w:val="bottom"/>
          </w:tcPr>
          <w:p>
            <w:pPr>
              <w:jc w:val="center"/>
              <w:spacing w:after="0"/>
              <w:rPr>
                <w:sz w:val="20"/>
                <w:szCs w:val="20"/>
                <w:color w:val="auto"/>
              </w:rPr>
            </w:pPr>
            <w:r>
              <w:rPr>
                <w:rFonts w:ascii="Arial" w:cs="Arial" w:eastAsia="Arial" w:hAnsi="Arial"/>
                <w:sz w:val="28"/>
                <w:szCs w:val="28"/>
                <w:color w:val="auto"/>
                <w:w w:val="95"/>
              </w:rPr>
              <w:t>$4.1M</w:t>
            </w:r>
          </w:p>
        </w:tc>
        <w:tc>
          <w:tcPr>
            <w:tcW w:w="1360" w:type="dxa"/>
            <w:vAlign w:val="bottom"/>
          </w:tcPr>
          <w:p>
            <w:pPr>
              <w:jc w:val="center"/>
              <w:spacing w:after="0"/>
              <w:rPr>
                <w:sz w:val="20"/>
                <w:szCs w:val="20"/>
                <w:color w:val="auto"/>
              </w:rPr>
            </w:pPr>
            <w:r>
              <w:rPr>
                <w:rFonts w:ascii="Arial" w:cs="Arial" w:eastAsia="Arial" w:hAnsi="Arial"/>
                <w:sz w:val="28"/>
                <w:szCs w:val="28"/>
                <w:color w:val="auto"/>
                <w:w w:val="94"/>
              </w:rPr>
              <w:t>$10.4M</w:t>
            </w:r>
          </w:p>
        </w:tc>
        <w:tc>
          <w:tcPr>
            <w:tcW w:w="1160" w:type="dxa"/>
            <w:vAlign w:val="bottom"/>
          </w:tcPr>
          <w:p>
            <w:pPr>
              <w:jc w:val="center"/>
              <w:spacing w:after="0"/>
              <w:rPr>
                <w:sz w:val="20"/>
                <w:szCs w:val="20"/>
                <w:color w:val="auto"/>
              </w:rPr>
            </w:pPr>
            <w:r>
              <w:rPr>
                <w:rFonts w:ascii="Arial" w:cs="Arial" w:eastAsia="Arial" w:hAnsi="Arial"/>
                <w:sz w:val="28"/>
                <w:szCs w:val="28"/>
                <w:b w:val="1"/>
                <w:bCs w:val="1"/>
                <w:color w:val="auto"/>
                <w:w w:val="97"/>
              </w:rPr>
              <w:t>$5.2M</w:t>
            </w:r>
          </w:p>
        </w:tc>
        <w:tc>
          <w:tcPr>
            <w:tcW w:w="0" w:type="dxa"/>
            <w:vAlign w:val="bottom"/>
          </w:tcPr>
          <w:p>
            <w:pPr>
              <w:spacing w:after="0"/>
              <w:rPr>
                <w:sz w:val="1"/>
                <w:szCs w:val="1"/>
                <w:color w:val="auto"/>
              </w:rPr>
            </w:pPr>
          </w:p>
        </w:tc>
      </w:tr>
      <w:tr>
        <w:trPr>
          <w:trHeight w:val="741"/>
        </w:trPr>
        <w:tc>
          <w:tcPr>
            <w:tcW w:w="1860" w:type="dxa"/>
            <w:vAlign w:val="bottom"/>
          </w:tcPr>
          <w:p>
            <w:pPr>
              <w:jc w:val="center"/>
              <w:ind w:right="57"/>
              <w:spacing w:after="0"/>
              <w:rPr>
                <w:sz w:val="20"/>
                <w:szCs w:val="20"/>
                <w:color w:val="auto"/>
              </w:rPr>
            </w:pPr>
            <w:r>
              <w:rPr>
                <w:rFonts w:ascii="Arial" w:cs="Arial" w:eastAsia="Arial" w:hAnsi="Arial"/>
                <w:sz w:val="25"/>
                <w:szCs w:val="25"/>
                <w:color w:val="558ED5"/>
                <w:w w:val="90"/>
              </w:rPr>
              <w:t>Fixed term loan</w:t>
            </w:r>
          </w:p>
        </w:tc>
        <w:tc>
          <w:tcPr>
            <w:tcW w:w="1340" w:type="dxa"/>
            <w:vAlign w:val="bottom"/>
            <w:vMerge w:val="restart"/>
          </w:tcPr>
          <w:p>
            <w:pPr>
              <w:jc w:val="center"/>
              <w:spacing w:after="0"/>
              <w:rPr>
                <w:sz w:val="20"/>
                <w:szCs w:val="20"/>
                <w:color w:val="auto"/>
              </w:rPr>
            </w:pPr>
            <w:r>
              <w:rPr>
                <w:rFonts w:ascii="Arial" w:cs="Arial" w:eastAsia="Arial" w:hAnsi="Arial"/>
                <w:sz w:val="28"/>
                <w:szCs w:val="28"/>
                <w:color w:val="auto"/>
                <w:w w:val="94"/>
              </w:rPr>
              <w:t>$17.3M</w:t>
            </w:r>
          </w:p>
        </w:tc>
        <w:tc>
          <w:tcPr>
            <w:tcW w:w="1280" w:type="dxa"/>
            <w:vAlign w:val="bottom"/>
            <w:vMerge w:val="restart"/>
          </w:tcPr>
          <w:p>
            <w:pPr>
              <w:jc w:val="center"/>
              <w:spacing w:after="0"/>
              <w:rPr>
                <w:sz w:val="20"/>
                <w:szCs w:val="20"/>
                <w:color w:val="auto"/>
              </w:rPr>
            </w:pPr>
            <w:r>
              <w:rPr>
                <w:rFonts w:ascii="Arial" w:cs="Arial" w:eastAsia="Arial" w:hAnsi="Arial"/>
                <w:sz w:val="28"/>
                <w:szCs w:val="28"/>
                <w:color w:val="auto"/>
                <w:w w:val="94"/>
              </w:rPr>
              <w:t>$12.5M</w:t>
            </w:r>
          </w:p>
        </w:tc>
        <w:tc>
          <w:tcPr>
            <w:tcW w:w="1320" w:type="dxa"/>
            <w:vAlign w:val="bottom"/>
            <w:vMerge w:val="restart"/>
          </w:tcPr>
          <w:p>
            <w:pPr>
              <w:jc w:val="center"/>
              <w:spacing w:after="0"/>
              <w:rPr>
                <w:sz w:val="20"/>
                <w:szCs w:val="20"/>
                <w:color w:val="auto"/>
              </w:rPr>
            </w:pPr>
            <w:r>
              <w:rPr>
                <w:rFonts w:ascii="Arial" w:cs="Arial" w:eastAsia="Arial" w:hAnsi="Arial"/>
                <w:sz w:val="28"/>
                <w:szCs w:val="28"/>
                <w:color w:val="auto"/>
                <w:w w:val="95"/>
              </w:rPr>
              <w:t>$7.6M</w:t>
            </w:r>
          </w:p>
        </w:tc>
        <w:tc>
          <w:tcPr>
            <w:tcW w:w="1280" w:type="dxa"/>
            <w:vAlign w:val="bottom"/>
            <w:vMerge w:val="restart"/>
          </w:tcPr>
          <w:p>
            <w:pPr>
              <w:jc w:val="center"/>
              <w:spacing w:after="0"/>
              <w:rPr>
                <w:sz w:val="20"/>
                <w:szCs w:val="20"/>
                <w:color w:val="auto"/>
              </w:rPr>
            </w:pPr>
            <w:r>
              <w:rPr>
                <w:rFonts w:ascii="Arial" w:cs="Arial" w:eastAsia="Arial" w:hAnsi="Arial"/>
                <w:sz w:val="28"/>
                <w:szCs w:val="28"/>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28"/>
                <w:szCs w:val="28"/>
                <w:color w:val="auto"/>
              </w:rPr>
              <w:t>-</w:t>
            </w:r>
          </w:p>
        </w:tc>
        <w:tc>
          <w:tcPr>
            <w:tcW w:w="1160" w:type="dxa"/>
            <w:vAlign w:val="bottom"/>
            <w:vMerge w:val="restart"/>
          </w:tcPr>
          <w:p>
            <w:pPr>
              <w:jc w:val="right"/>
              <w:ind w:right="353"/>
              <w:spacing w:after="0"/>
              <w:rPr>
                <w:sz w:val="20"/>
                <w:szCs w:val="20"/>
                <w:color w:val="auto"/>
              </w:rPr>
            </w:pPr>
            <w:r>
              <w:rPr>
                <w:rFonts w:ascii="Arial" w:cs="Arial" w:eastAsia="Arial" w:hAnsi="Arial"/>
                <w:sz w:val="28"/>
                <w:szCs w:val="28"/>
                <w:b w:val="1"/>
                <w:bCs w:val="1"/>
                <w:color w:val="auto"/>
              </w:rPr>
              <w:t>-</w:t>
            </w: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35</w:t>
      </w:r>
    </w:p>
    <w:p>
      <w:pPr>
        <w:sectPr>
          <w:pgSz w:w="11900" w:h="16838" w:orient="portrait"/>
          <w:cols w:equalWidth="0" w:num="1">
            <w:col w:w="10280"/>
          </w:cols>
          <w:pgMar w:left="720" w:top="1052" w:right="899" w:bottom="1440" w:gutter="0" w:footer="0" w:header="0"/>
        </w:sectPr>
      </w:pPr>
    </w:p>
    <w:bookmarkStart w:id="38" w:name="page39"/>
    <w:bookmarkEnd w:id="38"/>
    <w:p>
      <w:pPr>
        <w:ind w:left="380"/>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 xml:space="preserve">Free Cash Flow </w:t>
      </w:r>
      <w:r>
        <w:rPr>
          <w:rFonts w:ascii="Arial" w:cs="Arial" w:eastAsia="Arial" w:hAnsi="Arial"/>
          <w:sz w:val="17"/>
          <w:szCs w:val="17"/>
          <w:b w:val="1"/>
          <w:bCs w:val="1"/>
          <w:color w:val="5F5F5F"/>
        </w:rPr>
        <w:t>*</w:t>
      </w:r>
      <w:r>
        <w:rPr>
          <w:rFonts w:ascii="Arial" w:cs="Arial" w:eastAsia="Arial" w:hAnsi="Arial"/>
          <w:sz w:val="60"/>
          <w:szCs w:val="60"/>
          <w:b w:val="1"/>
          <w:bCs w:val="1"/>
          <w:color w:val="5F5F5F"/>
        </w:rPr>
        <w:t xml:space="preserve">   and CapEx</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1"/>
          <w:szCs w:val="11"/>
          <w:b w:val="1"/>
          <w:bCs w:val="1"/>
          <w:color w:val="666699"/>
        </w:rPr>
        <w:t>($ mm)</w:t>
      </w:r>
    </w:p>
    <w:p>
      <w:pPr>
        <w:spacing w:after="0" w:line="309"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1300" w:type="dxa"/>
            <w:vAlign w:val="bottom"/>
          </w:tcPr>
          <w:p>
            <w:pPr>
              <w:jc w:val="right"/>
              <w:ind w:right="1027"/>
              <w:spacing w:after="0"/>
              <w:rPr>
                <w:sz w:val="20"/>
                <w:szCs w:val="20"/>
                <w:color w:val="auto"/>
              </w:rPr>
            </w:pPr>
            <w:r>
              <w:rPr>
                <w:rFonts w:ascii="Arial" w:cs="Arial" w:eastAsia="Arial" w:hAnsi="Arial"/>
                <w:sz w:val="11"/>
                <w:szCs w:val="11"/>
                <w:b w:val="1"/>
                <w:bCs w:val="1"/>
                <w:color w:val="666699"/>
              </w:rPr>
              <w:t>$30</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tcPr>
          <w:p>
            <w:pPr>
              <w:ind w:left="1120"/>
              <w:spacing w:after="0"/>
              <w:rPr>
                <w:sz w:val="20"/>
                <w:szCs w:val="20"/>
                <w:color w:val="auto"/>
              </w:rPr>
            </w:pPr>
            <w:r>
              <w:rPr>
                <w:rFonts w:ascii="Arial" w:cs="Arial" w:eastAsia="Arial" w:hAnsi="Arial"/>
                <w:sz w:val="11"/>
                <w:szCs w:val="11"/>
                <w:b w:val="1"/>
                <w:bCs w:val="1"/>
                <w:color w:val="666699"/>
              </w:rPr>
              <w:t>$30</w:t>
            </w:r>
          </w:p>
        </w:tc>
        <w:tc>
          <w:tcPr>
            <w:tcW w:w="0" w:type="dxa"/>
            <w:vAlign w:val="bottom"/>
          </w:tcPr>
          <w:p>
            <w:pPr>
              <w:spacing w:after="0"/>
              <w:rPr>
                <w:sz w:val="1"/>
                <w:szCs w:val="1"/>
                <w:color w:val="auto"/>
              </w:rPr>
            </w:pPr>
          </w:p>
        </w:tc>
      </w:tr>
      <w:tr>
        <w:trPr>
          <w:trHeight w:val="176"/>
        </w:trPr>
        <w:tc>
          <w:tcPr>
            <w:tcW w:w="1300" w:type="dxa"/>
            <w:vAlign w:val="bottom"/>
            <w:vMerge w:val="restart"/>
          </w:tcPr>
          <w:p>
            <w:pPr>
              <w:jc w:val="right"/>
              <w:ind w:right="247"/>
              <w:spacing w:after="0"/>
              <w:rPr>
                <w:sz w:val="20"/>
                <w:szCs w:val="20"/>
                <w:color w:val="auto"/>
              </w:rPr>
            </w:pPr>
            <w:r>
              <w:rPr>
                <w:rFonts w:ascii="Arial" w:cs="Arial" w:eastAsia="Arial" w:hAnsi="Arial"/>
                <w:sz w:val="11"/>
                <w:szCs w:val="11"/>
                <w:b w:val="1"/>
                <w:bCs w:val="1"/>
                <w:color w:val="2A63A8"/>
              </w:rPr>
              <w:t>$22.7</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ind w:left="320"/>
              <w:spacing w:after="0"/>
              <w:rPr>
                <w:sz w:val="20"/>
                <w:szCs w:val="20"/>
                <w:color w:val="auto"/>
              </w:rPr>
            </w:pPr>
            <w:r>
              <w:rPr>
                <w:rFonts w:ascii="Arial" w:cs="Arial" w:eastAsia="Arial" w:hAnsi="Arial"/>
                <w:sz w:val="11"/>
                <w:szCs w:val="11"/>
                <w:b w:val="1"/>
                <w:bCs w:val="1"/>
                <w:color w:val="auto"/>
              </w:rPr>
              <w:t>$26.2</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900" w:type="dxa"/>
            <w:vAlign w:val="bottom"/>
            <w:vMerge w:val="restart"/>
          </w:tcPr>
          <w:p>
            <w:pPr>
              <w:ind w:left="320"/>
              <w:spacing w:after="0"/>
              <w:rPr>
                <w:sz w:val="20"/>
                <w:szCs w:val="20"/>
                <w:color w:val="auto"/>
              </w:rPr>
            </w:pPr>
            <w:r>
              <w:rPr>
                <w:rFonts w:ascii="Arial" w:cs="Arial" w:eastAsia="Arial" w:hAnsi="Arial"/>
                <w:sz w:val="11"/>
                <w:szCs w:val="11"/>
                <w:b w:val="1"/>
                <w:bCs w:val="1"/>
                <w:color w:val="2A63A8"/>
              </w:rPr>
              <w:t>$21.4</w:t>
            </w: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60" w:type="dxa"/>
            <w:vAlign w:val="bottom"/>
            <w:vMerge w:val="restart"/>
          </w:tcPr>
          <w:p>
            <w:pPr>
              <w:jc w:val="right"/>
              <w:ind w:right="667"/>
              <w:spacing w:after="0"/>
              <w:rPr>
                <w:sz w:val="20"/>
                <w:szCs w:val="20"/>
                <w:color w:val="auto"/>
              </w:rPr>
            </w:pPr>
            <w:r>
              <w:rPr>
                <w:rFonts w:ascii="Arial" w:cs="Arial" w:eastAsia="Arial" w:hAnsi="Arial"/>
                <w:sz w:val="11"/>
                <w:szCs w:val="11"/>
                <w:b w:val="1"/>
                <w:bCs w:val="1"/>
                <w:color w:val="2A63A8"/>
              </w:rPr>
              <w:t>$21.3</w:t>
            </w:r>
          </w:p>
        </w:tc>
        <w:tc>
          <w:tcPr>
            <w:tcW w:w="0" w:type="dxa"/>
            <w:vAlign w:val="bottom"/>
          </w:tcPr>
          <w:p>
            <w:pPr>
              <w:spacing w:after="0"/>
              <w:rPr>
                <w:sz w:val="1"/>
                <w:szCs w:val="1"/>
                <w:color w:val="auto"/>
              </w:rPr>
            </w:pPr>
          </w:p>
        </w:tc>
      </w:tr>
      <w:tr>
        <w:trPr>
          <w:trHeight w:val="71"/>
        </w:trPr>
        <w:tc>
          <w:tcPr>
            <w:tcW w:w="1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300" w:type="dxa"/>
            <w:vAlign w:val="bottom"/>
          </w:tcPr>
          <w:p>
            <w:pPr>
              <w:jc w:val="right"/>
              <w:ind w:right="1027"/>
              <w:spacing w:after="0"/>
              <w:rPr>
                <w:sz w:val="20"/>
                <w:szCs w:val="20"/>
                <w:color w:val="auto"/>
              </w:rPr>
            </w:pPr>
            <w:r>
              <w:rPr>
                <w:rFonts w:ascii="Arial" w:cs="Arial" w:eastAsia="Arial" w:hAnsi="Arial"/>
                <w:sz w:val="11"/>
                <w:szCs w:val="11"/>
                <w:b w:val="1"/>
                <w:bCs w:val="1"/>
                <w:color w:val="666699"/>
              </w:rPr>
              <w:t>$20</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jc w:val="right"/>
              <w:ind w:right="187"/>
              <w:spacing w:after="0"/>
              <w:rPr>
                <w:sz w:val="20"/>
                <w:szCs w:val="20"/>
                <w:color w:val="auto"/>
              </w:rPr>
            </w:pPr>
            <w:r>
              <w:rPr>
                <w:rFonts w:ascii="Arial" w:cs="Arial" w:eastAsia="Arial" w:hAnsi="Arial"/>
                <w:sz w:val="11"/>
                <w:szCs w:val="11"/>
                <w:b w:val="1"/>
                <w:bCs w:val="1"/>
                <w:color w:val="2A63A8"/>
              </w:rPr>
              <w:t>$18.0</w:t>
            </w:r>
          </w:p>
        </w:tc>
        <w:tc>
          <w:tcPr>
            <w:tcW w:w="1360" w:type="dxa"/>
            <w:vAlign w:val="bottom"/>
          </w:tcPr>
          <w:p>
            <w:pPr>
              <w:ind w:left="1120"/>
              <w:spacing w:after="0"/>
              <w:rPr>
                <w:sz w:val="20"/>
                <w:szCs w:val="20"/>
                <w:color w:val="auto"/>
              </w:rPr>
            </w:pPr>
            <w:r>
              <w:rPr>
                <w:rFonts w:ascii="Arial" w:cs="Arial" w:eastAsia="Arial" w:hAnsi="Arial"/>
                <w:sz w:val="11"/>
                <w:szCs w:val="11"/>
                <w:b w:val="1"/>
                <w:bCs w:val="1"/>
                <w:color w:val="666699"/>
              </w:rPr>
              <w:t>$20</w:t>
            </w: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247"/>
              <w:spacing w:after="0"/>
              <w:rPr>
                <w:sz w:val="20"/>
                <w:szCs w:val="20"/>
                <w:color w:val="auto"/>
              </w:rPr>
            </w:pPr>
            <w:r>
              <w:rPr>
                <w:rFonts w:ascii="Arial" w:cs="Arial" w:eastAsia="Arial" w:hAnsi="Arial"/>
                <w:sz w:val="11"/>
                <w:szCs w:val="11"/>
                <w:b w:val="1"/>
                <w:bCs w:val="1"/>
                <w:color w:val="2A63A8"/>
              </w:rPr>
              <w:t>$12.6</w:t>
            </w: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300" w:type="dxa"/>
            <w:vAlign w:val="bottom"/>
            <w:vMerge w:val="restart"/>
          </w:tcPr>
          <w:p>
            <w:pPr>
              <w:jc w:val="right"/>
              <w:ind w:right="1027"/>
              <w:spacing w:after="0"/>
              <w:rPr>
                <w:sz w:val="20"/>
                <w:szCs w:val="20"/>
                <w:color w:val="auto"/>
              </w:rPr>
            </w:pPr>
            <w:r>
              <w:rPr>
                <w:rFonts w:ascii="Arial" w:cs="Arial" w:eastAsia="Arial" w:hAnsi="Arial"/>
                <w:sz w:val="11"/>
                <w:szCs w:val="11"/>
                <w:b w:val="1"/>
                <w:bCs w:val="1"/>
                <w:color w:val="666699"/>
              </w:rPr>
              <w:t>$10</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jc w:val="right"/>
              <w:ind w:right="267"/>
              <w:spacing w:after="0"/>
              <w:rPr>
                <w:sz w:val="20"/>
                <w:szCs w:val="20"/>
                <w:color w:val="auto"/>
              </w:rPr>
            </w:pPr>
            <w:r>
              <w:rPr>
                <w:rFonts w:ascii="Arial" w:cs="Arial" w:eastAsia="Arial" w:hAnsi="Arial"/>
                <w:sz w:val="11"/>
                <w:szCs w:val="11"/>
                <w:b w:val="1"/>
                <w:bCs w:val="1"/>
                <w:color w:val="auto"/>
              </w:rPr>
              <w:t>$10.0</w:t>
            </w:r>
          </w:p>
        </w:tc>
        <w:tc>
          <w:tcPr>
            <w:tcW w:w="840" w:type="dxa"/>
            <w:vAlign w:val="bottom"/>
          </w:tcPr>
          <w:p>
            <w:pPr>
              <w:spacing w:after="0"/>
              <w:rPr>
                <w:sz w:val="15"/>
                <w:szCs w:val="15"/>
                <w:color w:val="auto"/>
              </w:rPr>
            </w:pPr>
          </w:p>
        </w:tc>
        <w:tc>
          <w:tcPr>
            <w:tcW w:w="1360" w:type="dxa"/>
            <w:vAlign w:val="bottom"/>
            <w:vMerge w:val="restart"/>
          </w:tcPr>
          <w:p>
            <w:pPr>
              <w:ind w:left="1120"/>
              <w:spacing w:after="0"/>
              <w:rPr>
                <w:sz w:val="20"/>
                <w:szCs w:val="20"/>
                <w:color w:val="auto"/>
              </w:rPr>
            </w:pPr>
            <w:r>
              <w:rPr>
                <w:rFonts w:ascii="Arial" w:cs="Arial" w:eastAsia="Arial" w:hAnsi="Arial"/>
                <w:sz w:val="11"/>
                <w:szCs w:val="11"/>
                <w:b w:val="1"/>
                <w:bCs w:val="1"/>
                <w:color w:val="666699"/>
              </w:rPr>
              <w:t>$10</w:t>
            </w:r>
          </w:p>
        </w:tc>
        <w:tc>
          <w:tcPr>
            <w:tcW w:w="0" w:type="dxa"/>
            <w:vAlign w:val="bottom"/>
          </w:tcPr>
          <w:p>
            <w:pPr>
              <w:spacing w:after="0"/>
              <w:rPr>
                <w:sz w:val="1"/>
                <w:szCs w:val="1"/>
                <w:color w:val="auto"/>
              </w:rPr>
            </w:pPr>
          </w:p>
        </w:tc>
      </w:tr>
      <w:tr>
        <w:trPr>
          <w:trHeight w:val="71"/>
        </w:trPr>
        <w:tc>
          <w:tcPr>
            <w:tcW w:w="130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vMerge w:val="restart"/>
          </w:tcPr>
          <w:p>
            <w:pPr>
              <w:jc w:val="right"/>
              <w:ind w:right="287"/>
              <w:spacing w:after="0"/>
              <w:rPr>
                <w:sz w:val="20"/>
                <w:szCs w:val="20"/>
                <w:color w:val="auto"/>
              </w:rPr>
            </w:pPr>
            <w:r>
              <w:rPr>
                <w:rFonts w:ascii="Arial" w:cs="Arial" w:eastAsia="Arial" w:hAnsi="Arial"/>
                <w:sz w:val="11"/>
                <w:szCs w:val="11"/>
                <w:b w:val="1"/>
                <w:bCs w:val="1"/>
                <w:color w:val="auto"/>
              </w:rPr>
              <w:t>$7.6</w:t>
            </w:r>
          </w:p>
        </w:tc>
        <w:tc>
          <w:tcPr>
            <w:tcW w:w="880" w:type="dxa"/>
            <w:vAlign w:val="bottom"/>
            <w:vMerge w:val="restart"/>
          </w:tcPr>
          <w:p>
            <w:pPr>
              <w:ind w:left="320"/>
              <w:spacing w:after="0"/>
              <w:rPr>
                <w:sz w:val="20"/>
                <w:szCs w:val="20"/>
                <w:color w:val="auto"/>
              </w:rPr>
            </w:pPr>
            <w:r>
              <w:rPr>
                <w:rFonts w:ascii="Arial" w:cs="Arial" w:eastAsia="Arial" w:hAnsi="Arial"/>
                <w:sz w:val="11"/>
                <w:szCs w:val="11"/>
                <w:b w:val="1"/>
                <w:bCs w:val="1"/>
                <w:color w:val="FFFFFF"/>
              </w:rPr>
              <w:t>$4.6</w:t>
            </w: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restart"/>
          </w:tcPr>
          <w:p>
            <w:pPr>
              <w:jc w:val="right"/>
              <w:ind w:right="287"/>
              <w:spacing w:after="0"/>
              <w:rPr>
                <w:sz w:val="20"/>
                <w:szCs w:val="20"/>
                <w:color w:val="auto"/>
              </w:rPr>
            </w:pPr>
            <w:r>
              <w:rPr>
                <w:rFonts w:ascii="Arial" w:cs="Arial" w:eastAsia="Arial" w:hAnsi="Arial"/>
                <w:sz w:val="11"/>
                <w:szCs w:val="11"/>
                <w:b w:val="1"/>
                <w:bCs w:val="1"/>
                <w:color w:val="FFFFFF"/>
              </w:rPr>
              <w:t>$9.0</w:t>
            </w:r>
          </w:p>
        </w:tc>
        <w:tc>
          <w:tcPr>
            <w:tcW w:w="840" w:type="dxa"/>
            <w:vAlign w:val="bottom"/>
            <w:vMerge w:val="restart"/>
          </w:tcPr>
          <w:p>
            <w:pPr>
              <w:jc w:val="right"/>
              <w:ind w:right="207"/>
              <w:spacing w:after="0"/>
              <w:rPr>
                <w:sz w:val="20"/>
                <w:szCs w:val="20"/>
                <w:color w:val="auto"/>
              </w:rPr>
            </w:pPr>
            <w:r>
              <w:rPr>
                <w:rFonts w:ascii="Arial" w:cs="Arial" w:eastAsia="Arial" w:hAnsi="Arial"/>
                <w:sz w:val="11"/>
                <w:szCs w:val="11"/>
                <w:b w:val="1"/>
                <w:bCs w:val="1"/>
                <w:color w:val="auto"/>
              </w:rPr>
              <w:t>$5.4</w:t>
            </w: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1300" w:type="dxa"/>
            <w:vAlign w:val="bottom"/>
          </w:tcPr>
          <w:p>
            <w:pPr>
              <w:jc w:val="right"/>
              <w:ind w:right="987"/>
              <w:spacing w:after="0"/>
              <w:rPr>
                <w:sz w:val="20"/>
                <w:szCs w:val="20"/>
                <w:color w:val="auto"/>
              </w:rPr>
            </w:pPr>
            <w:r>
              <w:rPr>
                <w:rFonts w:ascii="Arial" w:cs="Arial" w:eastAsia="Arial" w:hAnsi="Arial"/>
                <w:sz w:val="11"/>
                <w:szCs w:val="11"/>
                <w:b w:val="1"/>
                <w:bCs w:val="1"/>
                <w:color w:val="666699"/>
              </w:rPr>
              <w:t>$0</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ind w:left="1120"/>
              <w:spacing w:after="0"/>
              <w:rPr>
                <w:sz w:val="20"/>
                <w:szCs w:val="20"/>
                <w:color w:val="auto"/>
              </w:rPr>
            </w:pPr>
            <w:r>
              <w:rPr>
                <w:rFonts w:ascii="Arial" w:cs="Arial" w:eastAsia="Arial" w:hAnsi="Arial"/>
                <w:sz w:val="11"/>
                <w:szCs w:val="11"/>
                <w:b w:val="1"/>
                <w:bCs w:val="1"/>
                <w:color w:val="666699"/>
              </w:rPr>
              <w:t>$0</w:t>
            </w:r>
          </w:p>
        </w:tc>
        <w:tc>
          <w:tcPr>
            <w:tcW w:w="0" w:type="dxa"/>
            <w:vAlign w:val="bottom"/>
          </w:tcPr>
          <w:p>
            <w:pPr>
              <w:spacing w:after="0"/>
              <w:rPr>
                <w:sz w:val="1"/>
                <w:szCs w:val="1"/>
                <w:color w:val="auto"/>
              </w:rPr>
            </w:pPr>
          </w:p>
        </w:tc>
      </w:tr>
      <w:tr>
        <w:trPr>
          <w:trHeight w:val="506"/>
        </w:trPr>
        <w:tc>
          <w:tcPr>
            <w:tcW w:w="1300" w:type="dxa"/>
            <w:vAlign w:val="bottom"/>
          </w:tcPr>
          <w:p>
            <w:pPr>
              <w:jc w:val="right"/>
              <w:ind w:right="1007"/>
              <w:spacing w:after="0"/>
              <w:rPr>
                <w:sz w:val="20"/>
                <w:szCs w:val="20"/>
                <w:color w:val="auto"/>
              </w:rPr>
            </w:pPr>
            <w:r>
              <w:rPr>
                <w:rFonts w:ascii="Arial" w:cs="Arial" w:eastAsia="Arial" w:hAnsi="Arial"/>
                <w:sz w:val="11"/>
                <w:szCs w:val="11"/>
                <w:b w:val="1"/>
                <w:bCs w:val="1"/>
                <w:color w:val="666699"/>
                <w:w w:val="85"/>
              </w:rPr>
              <w:t>($10)</w:t>
            </w:r>
          </w:p>
        </w:tc>
        <w:tc>
          <w:tcPr>
            <w:tcW w:w="90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$(9.7)</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ind w:left="1120"/>
              <w:spacing w:after="0"/>
              <w:rPr>
                <w:sz w:val="20"/>
                <w:szCs w:val="20"/>
                <w:color w:val="auto"/>
              </w:rPr>
            </w:pPr>
            <w:r>
              <w:rPr>
                <w:rFonts w:ascii="Arial" w:cs="Arial" w:eastAsia="Arial" w:hAnsi="Arial"/>
                <w:sz w:val="11"/>
                <w:szCs w:val="11"/>
                <w:b w:val="1"/>
                <w:bCs w:val="1"/>
                <w:color w:val="666699"/>
                <w:w w:val="85"/>
              </w:rPr>
              <w:t>($10)</w:t>
            </w:r>
          </w:p>
        </w:tc>
        <w:tc>
          <w:tcPr>
            <w:tcW w:w="0" w:type="dxa"/>
            <w:vAlign w:val="bottom"/>
          </w:tcPr>
          <w:p>
            <w:pPr>
              <w:spacing w:after="0"/>
              <w:rPr>
                <w:sz w:val="1"/>
                <w:szCs w:val="1"/>
                <w:color w:val="auto"/>
              </w:rPr>
            </w:pPr>
          </w:p>
        </w:tc>
      </w:tr>
      <w:tr>
        <w:trPr>
          <w:trHeight w:val="59"/>
        </w:trPr>
        <w:tc>
          <w:tcPr>
            <w:tcW w:w="1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300" w:type="dxa"/>
            <w:vAlign w:val="bottom"/>
          </w:tcPr>
          <w:p>
            <w:pPr>
              <w:jc w:val="right"/>
              <w:ind w:right="247"/>
              <w:spacing w:after="0"/>
              <w:rPr>
                <w:sz w:val="20"/>
                <w:szCs w:val="20"/>
                <w:color w:val="auto"/>
              </w:rPr>
            </w:pPr>
            <w:r>
              <w:rPr>
                <w:rFonts w:ascii="Arial" w:cs="Arial" w:eastAsia="Arial" w:hAnsi="Arial"/>
                <w:sz w:val="11"/>
                <w:szCs w:val="11"/>
                <w:b w:val="1"/>
                <w:bCs w:val="1"/>
                <w:color w:val="auto"/>
              </w:rPr>
              <w:t>$(13.6)</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jc w:val="right"/>
              <w:ind w:right="647"/>
              <w:spacing w:after="0"/>
              <w:rPr>
                <w:sz w:val="20"/>
                <w:szCs w:val="20"/>
                <w:color w:val="auto"/>
              </w:rPr>
            </w:pPr>
            <w:r>
              <w:rPr>
                <w:rFonts w:ascii="Arial" w:cs="Arial" w:eastAsia="Arial" w:hAnsi="Arial"/>
                <w:sz w:val="11"/>
                <w:szCs w:val="11"/>
                <w:b w:val="1"/>
                <w:bCs w:val="1"/>
                <w:color w:val="auto"/>
              </w:rPr>
              <w:t>$(12.9)</w:t>
            </w:r>
          </w:p>
        </w:tc>
        <w:tc>
          <w:tcPr>
            <w:tcW w:w="0" w:type="dxa"/>
            <w:vAlign w:val="bottom"/>
          </w:tcPr>
          <w:p>
            <w:pPr>
              <w:spacing w:after="0"/>
              <w:rPr>
                <w:sz w:val="1"/>
                <w:szCs w:val="1"/>
                <w:color w:val="auto"/>
              </w:rPr>
            </w:pPr>
          </w:p>
        </w:tc>
      </w:tr>
      <w:tr>
        <w:trPr>
          <w:trHeight w:val="235"/>
        </w:trPr>
        <w:tc>
          <w:tcPr>
            <w:tcW w:w="1300" w:type="dxa"/>
            <w:vAlign w:val="bottom"/>
          </w:tcPr>
          <w:p>
            <w:pPr>
              <w:jc w:val="right"/>
              <w:ind w:right="1007"/>
              <w:spacing w:after="0"/>
              <w:rPr>
                <w:sz w:val="20"/>
                <w:szCs w:val="20"/>
                <w:color w:val="auto"/>
              </w:rPr>
            </w:pPr>
            <w:r>
              <w:rPr>
                <w:rFonts w:ascii="Arial" w:cs="Arial" w:eastAsia="Arial" w:hAnsi="Arial"/>
                <w:sz w:val="11"/>
                <w:szCs w:val="11"/>
                <w:b w:val="1"/>
                <w:bCs w:val="1"/>
                <w:color w:val="666699"/>
                <w:w w:val="85"/>
              </w:rPr>
              <w:t>($20)</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ind w:left="1120"/>
              <w:spacing w:after="0"/>
              <w:rPr>
                <w:sz w:val="20"/>
                <w:szCs w:val="20"/>
                <w:color w:val="auto"/>
              </w:rPr>
            </w:pPr>
            <w:r>
              <w:rPr>
                <w:rFonts w:ascii="Arial" w:cs="Arial" w:eastAsia="Arial" w:hAnsi="Arial"/>
                <w:sz w:val="11"/>
                <w:szCs w:val="11"/>
                <w:b w:val="1"/>
                <w:bCs w:val="1"/>
                <w:color w:val="666699"/>
                <w:w w:val="85"/>
              </w:rPr>
              <w:t>($20)</w:t>
            </w:r>
          </w:p>
        </w:tc>
        <w:tc>
          <w:tcPr>
            <w:tcW w:w="0" w:type="dxa"/>
            <w:vAlign w:val="bottom"/>
          </w:tcPr>
          <w:p>
            <w:pPr>
              <w:spacing w:after="0"/>
              <w:rPr>
                <w:sz w:val="1"/>
                <w:szCs w:val="1"/>
                <w:color w:val="auto"/>
              </w:rPr>
            </w:pPr>
          </w:p>
        </w:tc>
      </w:tr>
      <w:tr>
        <w:trPr>
          <w:trHeight w:val="141"/>
        </w:trPr>
        <w:tc>
          <w:tcPr>
            <w:tcW w:w="1300" w:type="dxa"/>
            <w:vAlign w:val="bottom"/>
          </w:tcPr>
          <w:p>
            <w:pPr>
              <w:jc w:val="right"/>
              <w:ind w:right="267"/>
              <w:spacing w:after="0"/>
              <w:rPr>
                <w:sz w:val="20"/>
                <w:szCs w:val="20"/>
                <w:color w:val="auto"/>
              </w:rPr>
            </w:pPr>
            <w:r>
              <w:rPr>
                <w:rFonts w:ascii="Arial" w:cs="Arial" w:eastAsia="Arial" w:hAnsi="Arial"/>
                <w:sz w:val="11"/>
                <w:szCs w:val="11"/>
                <w:b w:val="1"/>
                <w:bCs w:val="1"/>
                <w:color w:val="666699"/>
              </w:rPr>
              <w:t>2006</w:t>
            </w:r>
          </w:p>
        </w:tc>
        <w:tc>
          <w:tcPr>
            <w:tcW w:w="900" w:type="dxa"/>
            <w:vAlign w:val="bottom"/>
          </w:tcPr>
          <w:p>
            <w:pPr>
              <w:jc w:val="right"/>
              <w:ind w:right="267"/>
              <w:spacing w:after="0"/>
              <w:rPr>
                <w:sz w:val="20"/>
                <w:szCs w:val="20"/>
                <w:color w:val="auto"/>
              </w:rPr>
            </w:pPr>
            <w:r>
              <w:rPr>
                <w:rFonts w:ascii="Arial" w:cs="Arial" w:eastAsia="Arial" w:hAnsi="Arial"/>
                <w:sz w:val="11"/>
                <w:szCs w:val="11"/>
                <w:b w:val="1"/>
                <w:bCs w:val="1"/>
                <w:color w:val="666699"/>
              </w:rPr>
              <w:t>2007</w:t>
            </w:r>
          </w:p>
        </w:tc>
        <w:tc>
          <w:tcPr>
            <w:tcW w:w="880" w:type="dxa"/>
            <w:vAlign w:val="bottom"/>
          </w:tcPr>
          <w:p>
            <w:pPr>
              <w:jc w:val="right"/>
              <w:ind w:right="267"/>
              <w:spacing w:after="0"/>
              <w:rPr>
                <w:sz w:val="20"/>
                <w:szCs w:val="20"/>
                <w:color w:val="auto"/>
              </w:rPr>
            </w:pPr>
            <w:r>
              <w:rPr>
                <w:rFonts w:ascii="Arial" w:cs="Arial" w:eastAsia="Arial" w:hAnsi="Arial"/>
                <w:sz w:val="11"/>
                <w:szCs w:val="11"/>
                <w:b w:val="1"/>
                <w:bCs w:val="1"/>
                <w:color w:val="666699"/>
              </w:rPr>
              <w:t>2008</w:t>
            </w:r>
          </w:p>
        </w:tc>
        <w:tc>
          <w:tcPr>
            <w:tcW w:w="880" w:type="dxa"/>
            <w:vAlign w:val="bottom"/>
          </w:tcPr>
          <w:p>
            <w:pPr>
              <w:jc w:val="right"/>
              <w:ind w:right="267"/>
              <w:spacing w:after="0"/>
              <w:rPr>
                <w:sz w:val="20"/>
                <w:szCs w:val="20"/>
                <w:color w:val="auto"/>
              </w:rPr>
            </w:pPr>
            <w:r>
              <w:rPr>
                <w:rFonts w:ascii="Arial" w:cs="Arial" w:eastAsia="Arial" w:hAnsi="Arial"/>
                <w:sz w:val="11"/>
                <w:szCs w:val="11"/>
                <w:b w:val="1"/>
                <w:bCs w:val="1"/>
                <w:color w:val="666699"/>
              </w:rPr>
              <w:t>2009</w:t>
            </w:r>
          </w:p>
        </w:tc>
        <w:tc>
          <w:tcPr>
            <w:tcW w:w="880" w:type="dxa"/>
            <w:vAlign w:val="bottom"/>
          </w:tcPr>
          <w:p>
            <w:pPr>
              <w:jc w:val="right"/>
              <w:ind w:right="247"/>
              <w:spacing w:after="0"/>
              <w:rPr>
                <w:sz w:val="20"/>
                <w:szCs w:val="20"/>
                <w:color w:val="auto"/>
              </w:rPr>
            </w:pPr>
            <w:r>
              <w:rPr>
                <w:rFonts w:ascii="Arial" w:cs="Arial" w:eastAsia="Arial" w:hAnsi="Arial"/>
                <w:sz w:val="11"/>
                <w:szCs w:val="11"/>
                <w:b w:val="1"/>
                <w:bCs w:val="1"/>
                <w:color w:val="666699"/>
              </w:rPr>
              <w:t>2010</w:t>
            </w:r>
          </w:p>
        </w:tc>
        <w:tc>
          <w:tcPr>
            <w:tcW w:w="840" w:type="dxa"/>
            <w:vAlign w:val="bottom"/>
          </w:tcPr>
          <w:p>
            <w:pPr>
              <w:jc w:val="right"/>
              <w:ind w:right="207"/>
              <w:spacing w:after="0"/>
              <w:rPr>
                <w:sz w:val="20"/>
                <w:szCs w:val="20"/>
                <w:color w:val="auto"/>
              </w:rPr>
            </w:pPr>
            <w:r>
              <w:rPr>
                <w:rFonts w:ascii="Arial" w:cs="Arial" w:eastAsia="Arial" w:hAnsi="Arial"/>
                <w:sz w:val="11"/>
                <w:szCs w:val="11"/>
                <w:b w:val="1"/>
                <w:bCs w:val="1"/>
                <w:color w:val="666699"/>
              </w:rPr>
              <w:t>2011</w:t>
            </w:r>
          </w:p>
        </w:tc>
        <w:tc>
          <w:tcPr>
            <w:tcW w:w="1360" w:type="dxa"/>
            <w:vAlign w:val="bottom"/>
          </w:tcPr>
          <w:p>
            <w:pPr>
              <w:ind w:left="260"/>
              <w:spacing w:after="0"/>
              <w:rPr>
                <w:sz w:val="20"/>
                <w:szCs w:val="20"/>
                <w:color w:val="auto"/>
              </w:rPr>
            </w:pPr>
            <w:r>
              <w:rPr>
                <w:rFonts w:ascii="Arial" w:cs="Arial" w:eastAsia="Arial" w:hAnsi="Arial"/>
                <w:sz w:val="11"/>
                <w:szCs w:val="11"/>
                <w:b w:val="1"/>
                <w:bCs w:val="1"/>
                <w:color w:val="666699"/>
              </w:rPr>
              <w:t>2012 YTD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tabs>
          <w:tab w:leader="none" w:pos="5320" w:val="left"/>
        </w:tabs>
        <w:rPr>
          <w:sz w:val="20"/>
          <w:szCs w:val="20"/>
          <w:color w:val="auto"/>
        </w:rPr>
      </w:pPr>
      <w:r>
        <w:rPr>
          <w:rFonts w:ascii="Arial" w:cs="Arial" w:eastAsia="Arial" w:hAnsi="Arial"/>
          <w:sz w:val="11"/>
          <w:szCs w:val="11"/>
          <w:color w:val="auto"/>
        </w:rPr>
        <w:t>Free Cash Flow</w:t>
      </w:r>
      <w:r>
        <w:rPr>
          <w:sz w:val="20"/>
          <w:szCs w:val="20"/>
          <w:color w:val="auto"/>
        </w:rPr>
        <w:tab/>
      </w:r>
      <w:r>
        <w:rPr>
          <w:rFonts w:ascii="Arial" w:cs="Arial" w:eastAsia="Arial" w:hAnsi="Arial"/>
          <w:sz w:val="10"/>
          <w:szCs w:val="10"/>
          <w:color w:val="auto"/>
        </w:rPr>
        <w:t>CAPEX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000"/>
        <w:spacing w:after="0" w:line="319" w:lineRule="auto"/>
        <w:rPr>
          <w:sz w:val="20"/>
          <w:szCs w:val="20"/>
          <w:color w:val="auto"/>
        </w:rPr>
      </w:pPr>
      <w:r>
        <w:rPr>
          <w:rFonts w:ascii="Arial" w:cs="Arial" w:eastAsia="Arial" w:hAnsi="Arial"/>
          <w:sz w:val="16"/>
          <w:szCs w:val="16"/>
          <w:b w:val="1"/>
          <w:bCs w:val="1"/>
          <w:color w:val="5F5F5F"/>
        </w:rPr>
        <w:t>*Free cash flow is defined as cash flow from operating activities, less capital expenditures and discretionary store asset acquisitions.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36</w:t>
      </w:r>
    </w:p>
    <w:p>
      <w:pPr>
        <w:sectPr>
          <w:pgSz w:w="11900" w:h="16838" w:orient="portrait"/>
          <w:cols w:equalWidth="0" w:num="1">
            <w:col w:w="10340"/>
          </w:cols>
          <w:pgMar w:left="660" w:top="1052" w:right="899" w:bottom="1440" w:gutter="0" w:footer="0" w:header="0"/>
        </w:sectPr>
      </w:pPr>
    </w:p>
    <w:bookmarkStart w:id="39" w:name="page40"/>
    <w:bookmarkEnd w:id="39"/>
    <w:p>
      <w:pPr>
        <w:spacing w:after="0"/>
        <w:rPr>
          <w:sz w:val="20"/>
          <w:szCs w:val="20"/>
          <w:color w:val="auto"/>
        </w:rPr>
      </w:pPr>
      <w:r>
        <w:rPr>
          <w:rFonts w:ascii="Arial" w:cs="Arial" w:eastAsia="Arial" w:hAnsi="Arial"/>
          <w:sz w:val="60"/>
          <w:szCs w:val="60"/>
          <w:b w:val="1"/>
          <w:bCs w:val="1"/>
          <w:color w:val="5F5F5F"/>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t>Why Invest in CMRG?</w:t>
      </w:r>
    </w:p>
    <w:p>
      <w:pPr>
        <w:spacing w:after="0" w:line="300" w:lineRule="exact"/>
        <w:rPr>
          <w:sz w:val="20"/>
          <w:szCs w:val="20"/>
          <w:color w:val="auto"/>
        </w:rPr>
      </w:pPr>
    </w:p>
    <w:p>
      <w:pPr>
        <w:ind w:left="420" w:right="540" w:hanging="415"/>
        <w:spacing w:after="0" w:line="260" w:lineRule="auto"/>
        <w:tabs>
          <w:tab w:leader="none" w:pos="420"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Accelerated conversion to DXL concept creates compelling investment opportunity</w:t>
      </w:r>
    </w:p>
    <w:p>
      <w:pPr>
        <w:spacing w:after="0" w:line="3"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Investment to be funded by operating cash flow</w:t>
      </w:r>
    </w:p>
    <w:p>
      <w:pPr>
        <w:spacing w:after="0" w:line="92" w:lineRule="exact"/>
        <w:rPr>
          <w:rFonts w:ascii="Arial" w:cs="Arial" w:eastAsia="Arial" w:hAnsi="Arial"/>
          <w:sz w:val="38"/>
          <w:szCs w:val="38"/>
          <w:color w:val="5F5F5F"/>
        </w:rPr>
      </w:pPr>
    </w:p>
    <w:p>
      <w:pPr>
        <w:ind w:left="420" w:hanging="415"/>
        <w:spacing w:after="0"/>
        <w:tabs>
          <w:tab w:leader="none" w:pos="420"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Leader in large and growing B&amp;T market</w:t>
      </w:r>
    </w:p>
    <w:p>
      <w:pPr>
        <w:spacing w:after="0" w:line="68" w:lineRule="exact"/>
        <w:rPr>
          <w:rFonts w:ascii="Arial" w:cs="Arial" w:eastAsia="Arial" w:hAnsi="Arial"/>
          <w:sz w:val="38"/>
          <w:szCs w:val="38"/>
          <w:color w:val="5F5F5F"/>
        </w:rPr>
      </w:pPr>
    </w:p>
    <w:p>
      <w:pPr>
        <w:ind w:left="420" w:hanging="415"/>
        <w:spacing w:after="0"/>
        <w:tabs>
          <w:tab w:leader="none" w:pos="420"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Strong gross margins</w:t>
      </w:r>
    </w:p>
    <w:p>
      <w:pPr>
        <w:spacing w:after="0" w:line="80" w:lineRule="exact"/>
        <w:rPr>
          <w:rFonts w:ascii="Arial" w:cs="Arial" w:eastAsia="Arial" w:hAnsi="Arial"/>
          <w:sz w:val="38"/>
          <w:szCs w:val="38"/>
          <w:color w:val="5F5F5F"/>
        </w:rPr>
      </w:pPr>
    </w:p>
    <w:p>
      <w:pPr>
        <w:ind w:left="420" w:hanging="415"/>
        <w:spacing w:after="0"/>
        <w:tabs>
          <w:tab w:leader="none" w:pos="420"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Ability to greatly improve operating margins</w:t>
      </w:r>
    </w:p>
    <w:p>
      <w:pPr>
        <w:spacing w:after="0" w:line="80" w:lineRule="exact"/>
        <w:rPr>
          <w:rFonts w:ascii="Arial" w:cs="Arial" w:eastAsia="Arial" w:hAnsi="Arial"/>
          <w:sz w:val="38"/>
          <w:szCs w:val="38"/>
          <w:color w:val="5F5F5F"/>
        </w:rPr>
      </w:pPr>
    </w:p>
    <w:p>
      <w:pPr>
        <w:ind w:left="420" w:right="280" w:hanging="415"/>
        <w:spacing w:after="0" w:line="295" w:lineRule="auto"/>
        <w:tabs>
          <w:tab w:leader="none" w:pos="420" w:val="left"/>
        </w:tabs>
        <w:numPr>
          <w:ilvl w:val="0"/>
          <w:numId w:val="11"/>
        </w:numPr>
        <w:rPr>
          <w:rFonts w:ascii="Arial" w:cs="Arial" w:eastAsia="Arial" w:hAnsi="Arial"/>
          <w:sz w:val="34"/>
          <w:szCs w:val="34"/>
          <w:color w:val="5F5F5F"/>
        </w:rPr>
      </w:pPr>
      <w:r>
        <w:rPr>
          <w:rFonts w:ascii="Arial" w:cs="Arial" w:eastAsia="Arial" w:hAnsi="Arial"/>
          <w:sz w:val="34"/>
          <w:szCs w:val="34"/>
          <w:color w:val="5F5F5F"/>
        </w:rPr>
        <w:t>Three-year $150M investment in DXL rollout to be funded by free cash flow, including use of $47 million in tax benefits</w:t>
      </w:r>
    </w:p>
    <w:p>
      <w:pPr>
        <w:spacing w:after="0" w:line="3" w:lineRule="exact"/>
        <w:rPr>
          <w:rFonts w:ascii="Arial" w:cs="Arial" w:eastAsia="Arial" w:hAnsi="Arial"/>
          <w:sz w:val="34"/>
          <w:szCs w:val="34"/>
          <w:color w:val="5F5F5F"/>
        </w:rPr>
      </w:pPr>
    </w:p>
    <w:p>
      <w:pPr>
        <w:ind w:left="420" w:hanging="415"/>
        <w:spacing w:after="0"/>
        <w:tabs>
          <w:tab w:leader="none" w:pos="420" w:val="left"/>
        </w:tabs>
        <w:numPr>
          <w:ilvl w:val="0"/>
          <w:numId w:val="11"/>
        </w:numPr>
        <w:rPr>
          <w:rFonts w:ascii="Arial" w:cs="Arial" w:eastAsia="Arial" w:hAnsi="Arial"/>
          <w:sz w:val="38"/>
          <w:szCs w:val="38"/>
          <w:color w:val="5F5F5F"/>
        </w:rPr>
      </w:pPr>
      <w:r>
        <w:rPr>
          <w:rFonts w:ascii="Arial" w:cs="Arial" w:eastAsia="Arial" w:hAnsi="Arial"/>
          <w:sz w:val="38"/>
          <w:szCs w:val="38"/>
          <w:color w:val="5F5F5F"/>
        </w:rPr>
        <w:t>Significant market share/sales growth opportunity</w:t>
      </w:r>
    </w:p>
    <w:p>
      <w:pPr>
        <w:spacing w:after="0" w:line="54"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Goal of increasing share from 11% to 17.5%-20% by 2015</w:t>
      </w:r>
    </w:p>
    <w:p>
      <w:pPr>
        <w:spacing w:after="0" w:line="67"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Increasing DXL brand awareness</w:t>
      </w:r>
    </w:p>
    <w:p>
      <w:pPr>
        <w:spacing w:after="0" w:line="78"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Expanding customers to include “end-of-rack”</w:t>
      </w:r>
    </w:p>
    <w:p>
      <w:pPr>
        <w:spacing w:after="0" w:line="67" w:lineRule="exact"/>
        <w:rPr>
          <w:rFonts w:ascii="Arial" w:cs="Arial" w:eastAsia="Arial" w:hAnsi="Arial"/>
          <w:sz w:val="38"/>
          <w:szCs w:val="38"/>
          <w:color w:val="5F5F5F"/>
        </w:rPr>
      </w:pPr>
    </w:p>
    <w:p>
      <w:pPr>
        <w:ind w:left="560"/>
        <w:spacing w:after="0"/>
        <w:rPr>
          <w:rFonts w:ascii="Arial" w:cs="Arial" w:eastAsia="Arial" w:hAnsi="Arial"/>
          <w:sz w:val="38"/>
          <w:szCs w:val="38"/>
          <w:color w:val="5F5F5F"/>
        </w:rPr>
      </w:pPr>
      <w:r>
        <w:rPr>
          <w:rFonts w:ascii="Arial" w:cs="Arial" w:eastAsia="Arial" w:hAnsi="Arial"/>
          <w:sz w:val="32"/>
          <w:szCs w:val="32"/>
          <w:color w:val="5F5F5F"/>
        </w:rPr>
        <w:t>– Improving direct sales business</w:t>
      </w:r>
    </w:p>
    <w:tbl>
      <w:tblPr>
        <w:tblLayout w:type="fixed"/>
        <w:tblInd w:w="0" w:type="dxa"/>
        <w:tblCellMar>
          <w:top w:w="0" w:type="dxa"/>
          <w:left w:w="0" w:type="dxa"/>
          <w:bottom w:w="0" w:type="dxa"/>
          <w:right w:w="0" w:type="dxa"/>
        </w:tblCellMar>
      </w:tblPr>
      <w:tr>
        <w:trPr>
          <w:trHeight w:val="390"/>
        </w:trPr>
        <w:tc>
          <w:tcPr>
            <w:tcW w:w="7420" w:type="dxa"/>
            <w:vAlign w:val="bottom"/>
          </w:tcPr>
          <w:p>
            <w:pPr>
              <w:spacing w:after="0" w:line="388" w:lineRule="exact"/>
              <w:rPr>
                <w:sz w:val="20"/>
                <w:szCs w:val="20"/>
                <w:color w:val="auto"/>
              </w:rPr>
            </w:pPr>
            <w:r>
              <w:rPr>
                <w:rFonts w:ascii="Arial" w:cs="Arial" w:eastAsia="Arial" w:hAnsi="Arial"/>
                <w:sz w:val="38"/>
                <w:szCs w:val="38"/>
                <w:color w:val="5F5F5F"/>
              </w:rPr>
              <w:t>•  Strong, debt-free balance sheet</w:t>
            </w:r>
          </w:p>
        </w:tc>
        <w:tc>
          <w:tcPr>
            <w:tcW w:w="2540" w:type="dxa"/>
            <w:vAlign w:val="bottom"/>
            <w:vMerge w:val="restart"/>
          </w:tcPr>
          <w:p>
            <w:pPr>
              <w:jc w:val="right"/>
              <w:spacing w:after="0"/>
              <w:rPr>
                <w:sz w:val="20"/>
                <w:szCs w:val="20"/>
                <w:color w:val="auto"/>
              </w:rPr>
            </w:pPr>
            <w:r>
              <w:rPr>
                <w:rFonts w:ascii="Arial" w:cs="Arial" w:eastAsia="Arial" w:hAnsi="Arial"/>
                <w:sz w:val="19"/>
                <w:szCs w:val="19"/>
                <w:color w:val="898989"/>
              </w:rPr>
              <w:t>37</w:t>
            </w:r>
          </w:p>
        </w:tc>
        <w:tc>
          <w:tcPr>
            <w:tcW w:w="0" w:type="dxa"/>
            <w:vAlign w:val="bottom"/>
          </w:tcPr>
          <w:p>
            <w:pPr>
              <w:spacing w:after="0"/>
              <w:rPr>
                <w:sz w:val="1"/>
                <w:szCs w:val="1"/>
                <w:color w:val="auto"/>
              </w:rPr>
            </w:pPr>
          </w:p>
        </w:tc>
      </w:tr>
      <w:tr>
        <w:trPr>
          <w:trHeight w:val="56"/>
        </w:trPr>
        <w:tc>
          <w:tcPr>
            <w:tcW w:w="7420" w:type="dxa"/>
            <w:vAlign w:val="bottom"/>
          </w:tcPr>
          <w:p>
            <w:pPr>
              <w:spacing w:after="0"/>
              <w:rPr>
                <w:sz w:val="4"/>
                <w:szCs w:val="4"/>
                <w:color w:val="auto"/>
              </w:rPr>
            </w:pPr>
          </w:p>
        </w:tc>
        <w:tc>
          <w:tcPr>
            <w:tcW w:w="2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1040" w:top="1052" w:right="89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38"/>
          <w:szCs w:val="38"/>
          <w:color w:val="5F5F5F"/>
        </w:rPr>
        <w:t>For additional information:</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Jeffrey Unger</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Casual Male Retail Group, Inc.</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V. P. Investor Relations</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561-482-9715 Office</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561-543-9806 Cell</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jeffunger@usa.net</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2"/>
          <w:szCs w:val="22"/>
          <w:color w:val="5F5F5F"/>
        </w:rPr>
        <w:t>www.destinationxl.com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9"/>
          <w:szCs w:val="19"/>
          <w:color w:val="898989"/>
        </w:rPr>
        <w:t>38</w:t>
      </w:r>
    </w:p>
    <w:sectPr>
      <w:pgSz w:w="11900" w:h="16838" w:orient="portrait"/>
      <w:cols w:equalWidth="0" w:num="1">
        <w:col w:w="9560"/>
      </w:cols>
      <w:pgMar w:left="1440" w:top="144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4"/>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4"/>
    </w:lvl>
  </w:abstractNum>
  <w:abstractNum w:abstractNumId="5">
    <w:nsid w:val="515F007C"/>
    <w:multiLevelType w:val="hybridMultilevel"/>
    <w:lvl w:ilvl="0">
      <w:lvlJc w:val="left"/>
      <w:lvlText w:val="%1"/>
      <w:numFmt w:val="decimal"/>
      <w:start w:val="14"/>
    </w:lvl>
  </w:abstractNum>
  <w:abstractNum w:abstractNumId="6">
    <w:nsid w:val="5BD062C2"/>
    <w:multiLevelType w:val="hybridMultilevel"/>
    <w:lvl w:ilvl="0">
      <w:lvlJc w:val="left"/>
      <w:lvlText w:val="%1"/>
      <w:numFmt w:val="decimal"/>
      <w:start w:val="3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309"/>
    </w:lvl>
  </w:abstractNum>
  <w:abstractNum w:abstractNumId="9">
    <w:nsid w:val="216231B"/>
    <w:multiLevelType w:val="hybridMultilevel"/>
    <w:lvl w:ilvl="0">
      <w:lvlJc w:val="left"/>
      <w:lvlText w:val="•"/>
      <w:numFmt w:val="bullet"/>
      <w:start w:val="1"/>
    </w:lvl>
    <w:lvl w:ilvl="1">
      <w:lvlJc w:val="left"/>
      <w:lvlText w:val="\endash "/>
      <w:numFmt w:val="bullet"/>
      <w:start w:val="1"/>
    </w:lvl>
  </w:abstractNum>
  <w:abstractNum w:abstractNumId="10">
    <w:nsid w:val="1F16E9E8"/>
    <w:multiLevelType w:val="hybridMultilevel"/>
    <w:lvl w:ilvl="0">
      <w:lvlJc w:val="left"/>
      <w:lvlText w:val="•"/>
      <w:numFmt w:val="bullet"/>
      <w:start w:val="1"/>
    </w:lvl>
    <w:lvl w:ilvl="1">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2019-12-09T09:35:17Z</dcterms:created>
  <dcterms:modified xsi:type="dcterms:W3CDTF">2019-12-09T09:35:17Z</dcterms:modified>
</cp:coreProperties>
</file>