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8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206" w:lineRule="exact"/>
        <w:rPr>
          <w:sz w:val="24"/>
          <w:szCs w:val="24"/>
          <w:color w:val="auto"/>
        </w:rPr>
      </w:pPr>
    </w:p>
    <w:p>
      <w:pPr>
        <w:jc w:val="right"/>
        <w:ind w:right="719"/>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RULES 13d-1(b), (c) AND (d) AND AMENDMENTS THERETO FILED</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PURSUANT TO RULE 13d-2(b)</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Destination XL Group, Inc.</w:t>
      </w:r>
    </w:p>
    <w:p>
      <w:pPr>
        <w:spacing w:after="0" w:line="4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3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Common Stock, par value $0.01 per share</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3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25065K104</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3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December 31, 2020</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2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19"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22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1202690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25065K104</w:t>
      </w:r>
    </w:p>
    <w:p>
      <w:pPr>
        <w:spacing w:after="0" w:line="252" w:lineRule="exact"/>
        <w:rPr>
          <w:sz w:val="20"/>
          <w:szCs w:val="20"/>
          <w:color w:val="auto"/>
        </w:rPr>
      </w:pPr>
    </w:p>
    <w:p>
      <w:pPr>
        <w:ind w:left="1220" w:hanging="1122"/>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Prescott Group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22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ind w:left="1220" w:hanging="1122"/>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20" w:hanging="1122"/>
        <w:spacing w:after="0"/>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State of Oklahoma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84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8"/>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Pr>
          <w:p>
            <w:pPr>
              <w:spacing w:after="0"/>
              <w:rPr>
                <w:sz w:val="24"/>
                <w:szCs w:val="24"/>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Borders>
              <w:bottom w:val="single" w:sz="8" w:color="auto"/>
            </w:tcBorders>
          </w:tcPr>
          <w:p>
            <w:pPr>
              <w:spacing w:after="0"/>
              <w:rPr>
                <w:sz w:val="8"/>
                <w:szCs w:val="8"/>
                <w:color w:val="auto"/>
              </w:rPr>
            </w:pPr>
          </w:p>
        </w:tc>
        <w:tc>
          <w:tcPr>
            <w:tcW w:w="8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220" w:type="dxa"/>
            <w:vAlign w:val="bottom"/>
            <w:vMerge w:val="continue"/>
          </w:tcPr>
          <w:p>
            <w:pPr>
              <w:spacing w:after="0"/>
              <w:rPr>
                <w:sz w:val="8"/>
                <w:szCs w:val="8"/>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vMerge w:val="continue"/>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2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8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Pr>
          <w:p>
            <w:pPr>
              <w:spacing w:after="0"/>
              <w:rPr>
                <w:sz w:val="18"/>
                <w:szCs w:val="18"/>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220" w:type="dxa"/>
            <w:vAlign w:val="bottom"/>
            <w:vMerge w:val="continue"/>
          </w:tcPr>
          <w:p>
            <w:pPr>
              <w:spacing w:after="0"/>
              <w:rPr>
                <w:sz w:val="6"/>
                <w:szCs w:val="6"/>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2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8"/>
                <w:szCs w:val="18"/>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5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20" w:type="dxa"/>
            <w:vAlign w:val="bottom"/>
            <w:vMerge w:val="continue"/>
          </w:tcPr>
          <w:p>
            <w:pPr>
              <w:spacing w:after="0"/>
              <w:rPr>
                <w:sz w:val="5"/>
                <w:szCs w:val="5"/>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720" w:hanging="712"/>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720" w:hanging="712"/>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196" w:lineRule="exact"/>
        <w:rPr>
          <w:rFonts w:ascii="Times New Roman" w:cs="Times New Roman" w:eastAsia="Times New Roman" w:hAnsi="Times New Roman"/>
          <w:sz w:val="18"/>
          <w:szCs w:val="18"/>
          <w:color w:val="auto"/>
        </w:rPr>
      </w:pPr>
    </w:p>
    <w:p>
      <w:pPr>
        <w:ind w:left="7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20" w:right="5580" w:hanging="712"/>
        <w:spacing w:after="0" w:line="384"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spacing w:after="0" w:line="1" w:lineRule="exact"/>
        <w:rPr>
          <w:rFonts w:ascii="Times New Roman" w:cs="Times New Roman" w:eastAsia="Times New Roman" w:hAnsi="Times New Roman"/>
          <w:sz w:val="18"/>
          <w:szCs w:val="18"/>
          <w:color w:val="auto"/>
        </w:rPr>
      </w:pPr>
    </w:p>
    <w:p>
      <w:pPr>
        <w:ind w:left="720" w:right="7920" w:hanging="712"/>
        <w:spacing w:after="0" w:line="53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7460" w:firstLine="8"/>
        <w:spacing w:after="0" w:line="282" w:lineRule="auto"/>
        <w:tabs>
          <w:tab w:leader="none" w:pos="2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1322705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25065K104</w:t>
      </w:r>
    </w:p>
    <w:p>
      <w:pPr>
        <w:spacing w:after="0" w:line="252" w:lineRule="exact"/>
        <w:rPr>
          <w:sz w:val="20"/>
          <w:szCs w:val="20"/>
          <w:color w:val="auto"/>
        </w:rPr>
      </w:pPr>
    </w:p>
    <w:p>
      <w:pPr>
        <w:ind w:left="1220" w:hanging="1122"/>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Prescott Group Aggressive Small Cap,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22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ind w:left="1220" w:hanging="1122"/>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20" w:hanging="1122"/>
        <w:spacing w:after="0"/>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State of Oklahoma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84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8"/>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Pr>
          <w:p>
            <w:pPr>
              <w:spacing w:after="0"/>
              <w:rPr>
                <w:sz w:val="24"/>
                <w:szCs w:val="24"/>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Borders>
              <w:bottom w:val="single" w:sz="8" w:color="auto"/>
            </w:tcBorders>
          </w:tcPr>
          <w:p>
            <w:pPr>
              <w:spacing w:after="0"/>
              <w:rPr>
                <w:sz w:val="8"/>
                <w:szCs w:val="8"/>
                <w:color w:val="auto"/>
              </w:rPr>
            </w:pPr>
          </w:p>
        </w:tc>
        <w:tc>
          <w:tcPr>
            <w:tcW w:w="8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220" w:type="dxa"/>
            <w:vAlign w:val="bottom"/>
            <w:vMerge w:val="continue"/>
          </w:tcPr>
          <w:p>
            <w:pPr>
              <w:spacing w:after="0"/>
              <w:rPr>
                <w:sz w:val="8"/>
                <w:szCs w:val="8"/>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vMerge w:val="continue"/>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2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8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Pr>
          <w:p>
            <w:pPr>
              <w:spacing w:after="0"/>
              <w:rPr>
                <w:sz w:val="18"/>
                <w:szCs w:val="18"/>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220" w:type="dxa"/>
            <w:vAlign w:val="bottom"/>
            <w:vMerge w:val="continue"/>
          </w:tcPr>
          <w:p>
            <w:pPr>
              <w:spacing w:after="0"/>
              <w:rPr>
                <w:sz w:val="6"/>
                <w:szCs w:val="6"/>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2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8"/>
                <w:szCs w:val="18"/>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5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20" w:type="dxa"/>
            <w:vAlign w:val="bottom"/>
            <w:vMerge w:val="continue"/>
          </w:tcPr>
          <w:p>
            <w:pPr>
              <w:spacing w:after="0"/>
              <w:rPr>
                <w:sz w:val="5"/>
                <w:szCs w:val="5"/>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720" w:hanging="712"/>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720" w:hanging="712"/>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196" w:lineRule="exact"/>
        <w:rPr>
          <w:rFonts w:ascii="Times New Roman" w:cs="Times New Roman" w:eastAsia="Times New Roman" w:hAnsi="Times New Roman"/>
          <w:sz w:val="18"/>
          <w:szCs w:val="18"/>
          <w:color w:val="auto"/>
        </w:rPr>
      </w:pPr>
    </w:p>
    <w:p>
      <w:pPr>
        <w:ind w:left="7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20" w:right="5580" w:hanging="712"/>
        <w:spacing w:after="0" w:line="384"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spacing w:after="0" w:line="1" w:lineRule="exact"/>
        <w:rPr>
          <w:rFonts w:ascii="Times New Roman" w:cs="Times New Roman" w:eastAsia="Times New Roman" w:hAnsi="Times New Roman"/>
          <w:sz w:val="18"/>
          <w:szCs w:val="18"/>
          <w:color w:val="auto"/>
        </w:rPr>
      </w:pPr>
    </w:p>
    <w:p>
      <w:pPr>
        <w:ind w:left="720" w:right="7920" w:hanging="712"/>
        <w:spacing w:after="0" w:line="53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7460" w:firstLine="8"/>
        <w:spacing w:after="0" w:line="282" w:lineRule="auto"/>
        <w:tabs>
          <w:tab w:leader="none" w:pos="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25065K104</w:t>
      </w:r>
    </w:p>
    <w:p>
      <w:pPr>
        <w:spacing w:after="0" w:line="252" w:lineRule="exact"/>
        <w:rPr>
          <w:sz w:val="20"/>
          <w:szCs w:val="20"/>
          <w:color w:val="auto"/>
        </w:rPr>
      </w:pPr>
    </w:p>
    <w:p>
      <w:pPr>
        <w:ind w:left="1220" w:hanging="1122"/>
        <w:spacing w:after="0"/>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Prescott Group Aggressive Small Cap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22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ind w:left="1220" w:hanging="1122"/>
        <w:spacing w:after="0"/>
        <w:tabs>
          <w:tab w:leader="none" w:pos="12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20" w:hanging="1122"/>
        <w:spacing w:after="0"/>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State of Oklahoma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84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8"/>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Pr>
          <w:p>
            <w:pPr>
              <w:spacing w:after="0"/>
              <w:rPr>
                <w:sz w:val="24"/>
                <w:szCs w:val="24"/>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Borders>
              <w:bottom w:val="single" w:sz="8" w:color="auto"/>
            </w:tcBorders>
          </w:tcPr>
          <w:p>
            <w:pPr>
              <w:spacing w:after="0"/>
              <w:rPr>
                <w:sz w:val="8"/>
                <w:szCs w:val="8"/>
                <w:color w:val="auto"/>
              </w:rPr>
            </w:pPr>
          </w:p>
        </w:tc>
        <w:tc>
          <w:tcPr>
            <w:tcW w:w="8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220" w:type="dxa"/>
            <w:vAlign w:val="bottom"/>
            <w:vMerge w:val="continue"/>
          </w:tcPr>
          <w:p>
            <w:pPr>
              <w:spacing w:after="0"/>
              <w:rPr>
                <w:sz w:val="8"/>
                <w:szCs w:val="8"/>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vMerge w:val="continue"/>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2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8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Pr>
          <w:p>
            <w:pPr>
              <w:spacing w:after="0"/>
              <w:rPr>
                <w:sz w:val="18"/>
                <w:szCs w:val="18"/>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220" w:type="dxa"/>
            <w:vAlign w:val="bottom"/>
            <w:vMerge w:val="continue"/>
          </w:tcPr>
          <w:p>
            <w:pPr>
              <w:spacing w:after="0"/>
              <w:rPr>
                <w:sz w:val="6"/>
                <w:szCs w:val="6"/>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2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8"/>
                <w:szCs w:val="18"/>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5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20" w:type="dxa"/>
            <w:vAlign w:val="bottom"/>
            <w:vMerge w:val="continue"/>
          </w:tcPr>
          <w:p>
            <w:pPr>
              <w:spacing w:after="0"/>
              <w:rPr>
                <w:sz w:val="5"/>
                <w:szCs w:val="5"/>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720" w:hanging="71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720" w:hanging="712"/>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196" w:lineRule="exact"/>
        <w:rPr>
          <w:rFonts w:ascii="Times New Roman" w:cs="Times New Roman" w:eastAsia="Times New Roman" w:hAnsi="Times New Roman"/>
          <w:sz w:val="18"/>
          <w:szCs w:val="18"/>
          <w:color w:val="auto"/>
        </w:rPr>
      </w:pPr>
    </w:p>
    <w:p>
      <w:pPr>
        <w:ind w:left="7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20" w:right="5580" w:hanging="712"/>
        <w:spacing w:after="0" w:line="384"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spacing w:after="0" w:line="1" w:lineRule="exact"/>
        <w:rPr>
          <w:rFonts w:ascii="Times New Roman" w:cs="Times New Roman" w:eastAsia="Times New Roman" w:hAnsi="Times New Roman"/>
          <w:sz w:val="18"/>
          <w:szCs w:val="18"/>
          <w:color w:val="auto"/>
        </w:rPr>
      </w:pPr>
    </w:p>
    <w:p>
      <w:pPr>
        <w:ind w:left="720" w:right="7920" w:hanging="712"/>
        <w:spacing w:after="0" w:line="53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7460" w:firstLine="8"/>
        <w:spacing w:after="0" w:line="282" w:lineRule="auto"/>
        <w:tabs>
          <w:tab w:leader="none" w:pos="2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25065K104</w:t>
      </w:r>
    </w:p>
    <w:p>
      <w:pPr>
        <w:spacing w:after="0" w:line="252" w:lineRule="exact"/>
        <w:rPr>
          <w:sz w:val="20"/>
          <w:szCs w:val="20"/>
          <w:color w:val="auto"/>
        </w:rPr>
      </w:pPr>
    </w:p>
    <w:p>
      <w:pPr>
        <w:ind w:left="1220" w:hanging="1122"/>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Prescott Group Aggressive Small Cap Master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22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ind w:left="1220" w:hanging="1122"/>
        <w:spacing w:after="0"/>
        <w:tabs>
          <w:tab w:leader="none" w:pos="1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20" w:hanging="1122"/>
        <w:spacing w:after="0"/>
        <w:tabs>
          <w:tab w:leader="none" w:pos="1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State of Oklahoma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84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8"/>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Pr>
          <w:p>
            <w:pPr>
              <w:spacing w:after="0"/>
              <w:rPr>
                <w:sz w:val="24"/>
                <w:szCs w:val="24"/>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Borders>
              <w:bottom w:val="single" w:sz="8" w:color="auto"/>
            </w:tcBorders>
          </w:tcPr>
          <w:p>
            <w:pPr>
              <w:spacing w:after="0"/>
              <w:rPr>
                <w:sz w:val="8"/>
                <w:szCs w:val="8"/>
                <w:color w:val="auto"/>
              </w:rPr>
            </w:pPr>
          </w:p>
        </w:tc>
        <w:tc>
          <w:tcPr>
            <w:tcW w:w="8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220" w:type="dxa"/>
            <w:vAlign w:val="bottom"/>
            <w:vMerge w:val="continue"/>
          </w:tcPr>
          <w:p>
            <w:pPr>
              <w:spacing w:after="0"/>
              <w:rPr>
                <w:sz w:val="8"/>
                <w:szCs w:val="8"/>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vMerge w:val="continue"/>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2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8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Pr>
          <w:p>
            <w:pPr>
              <w:spacing w:after="0"/>
              <w:rPr>
                <w:sz w:val="18"/>
                <w:szCs w:val="18"/>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220" w:type="dxa"/>
            <w:vAlign w:val="bottom"/>
            <w:vMerge w:val="continue"/>
          </w:tcPr>
          <w:p>
            <w:pPr>
              <w:spacing w:after="0"/>
              <w:rPr>
                <w:sz w:val="6"/>
                <w:szCs w:val="6"/>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2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8"/>
                <w:szCs w:val="18"/>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5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20" w:type="dxa"/>
            <w:vAlign w:val="bottom"/>
            <w:vMerge w:val="continue"/>
          </w:tcPr>
          <w:p>
            <w:pPr>
              <w:spacing w:after="0"/>
              <w:rPr>
                <w:sz w:val="5"/>
                <w:szCs w:val="5"/>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720" w:hanging="712"/>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720" w:hanging="712"/>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196" w:lineRule="exact"/>
        <w:rPr>
          <w:rFonts w:ascii="Times New Roman" w:cs="Times New Roman" w:eastAsia="Times New Roman" w:hAnsi="Times New Roman"/>
          <w:sz w:val="18"/>
          <w:szCs w:val="18"/>
          <w:color w:val="auto"/>
        </w:rPr>
      </w:pPr>
    </w:p>
    <w:p>
      <w:pPr>
        <w:ind w:left="7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20" w:right="5580" w:hanging="712"/>
        <w:spacing w:after="0" w:line="384"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spacing w:after="0" w:line="1" w:lineRule="exact"/>
        <w:rPr>
          <w:rFonts w:ascii="Times New Roman" w:cs="Times New Roman" w:eastAsia="Times New Roman" w:hAnsi="Times New Roman"/>
          <w:sz w:val="18"/>
          <w:szCs w:val="18"/>
          <w:color w:val="auto"/>
        </w:rPr>
      </w:pPr>
    </w:p>
    <w:p>
      <w:pPr>
        <w:ind w:left="720" w:right="7920" w:hanging="712"/>
        <w:spacing w:after="0" w:line="53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7460" w:firstLine="8"/>
        <w:spacing w:after="0" w:line="282" w:lineRule="auto"/>
        <w:tabs>
          <w:tab w:leader="none" w:pos="2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25065K104</w:t>
      </w:r>
    </w:p>
    <w:p>
      <w:pPr>
        <w:spacing w:after="0" w:line="252" w:lineRule="exact"/>
        <w:rPr>
          <w:sz w:val="20"/>
          <w:szCs w:val="20"/>
          <w:color w:val="auto"/>
        </w:rPr>
      </w:pPr>
    </w:p>
    <w:p>
      <w:pPr>
        <w:ind w:left="1220" w:hanging="1122"/>
        <w:spacing w:after="0"/>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22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ind w:left="1220" w:hanging="1122"/>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20" w:hanging="1122"/>
        <w:spacing w:after="0"/>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U.S. Citizen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84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8"/>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Pr>
          <w:p>
            <w:pPr>
              <w:spacing w:after="0"/>
              <w:rPr>
                <w:sz w:val="24"/>
                <w:szCs w:val="24"/>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Borders>
              <w:bottom w:val="single" w:sz="8" w:color="auto"/>
            </w:tcBorders>
          </w:tcPr>
          <w:p>
            <w:pPr>
              <w:spacing w:after="0"/>
              <w:rPr>
                <w:sz w:val="8"/>
                <w:szCs w:val="8"/>
                <w:color w:val="auto"/>
              </w:rPr>
            </w:pPr>
          </w:p>
        </w:tc>
        <w:tc>
          <w:tcPr>
            <w:tcW w:w="8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220" w:type="dxa"/>
            <w:vAlign w:val="bottom"/>
            <w:vMerge w:val="continue"/>
          </w:tcPr>
          <w:p>
            <w:pPr>
              <w:spacing w:after="0"/>
              <w:rPr>
                <w:sz w:val="8"/>
                <w:szCs w:val="8"/>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vMerge w:val="continue"/>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2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8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Pr>
          <w:p>
            <w:pPr>
              <w:spacing w:after="0"/>
              <w:rPr>
                <w:sz w:val="18"/>
                <w:szCs w:val="18"/>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220" w:type="dxa"/>
            <w:vAlign w:val="bottom"/>
            <w:vMerge w:val="continue"/>
          </w:tcPr>
          <w:p>
            <w:pPr>
              <w:spacing w:after="0"/>
              <w:rPr>
                <w:sz w:val="6"/>
                <w:szCs w:val="6"/>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2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8"/>
                <w:szCs w:val="18"/>
                <w:color w:val="auto"/>
              </w:rPr>
            </w:pP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5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20" w:type="dxa"/>
            <w:vAlign w:val="bottom"/>
            <w:vMerge w:val="continue"/>
          </w:tcPr>
          <w:p>
            <w:pPr>
              <w:spacing w:after="0"/>
              <w:rPr>
                <w:sz w:val="5"/>
                <w:szCs w:val="5"/>
                <w:color w:val="auto"/>
              </w:rPr>
            </w:pPr>
          </w:p>
        </w:tc>
        <w:tc>
          <w:tcPr>
            <w:tcW w:w="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720" w:hanging="712"/>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720" w:hanging="712"/>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196" w:lineRule="exact"/>
        <w:rPr>
          <w:rFonts w:ascii="Times New Roman" w:cs="Times New Roman" w:eastAsia="Times New Roman" w:hAnsi="Times New Roman"/>
          <w:sz w:val="18"/>
          <w:szCs w:val="18"/>
          <w:color w:val="auto"/>
        </w:rPr>
      </w:pPr>
    </w:p>
    <w:p>
      <w:pPr>
        <w:ind w:left="7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20" w:right="5580" w:hanging="712"/>
        <w:spacing w:after="0" w:line="384"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spacing w:after="0" w:line="1" w:lineRule="exact"/>
        <w:rPr>
          <w:rFonts w:ascii="Times New Roman" w:cs="Times New Roman" w:eastAsia="Times New Roman" w:hAnsi="Times New Roman"/>
          <w:sz w:val="18"/>
          <w:szCs w:val="18"/>
          <w:color w:val="auto"/>
        </w:rPr>
      </w:pPr>
    </w:p>
    <w:p>
      <w:pPr>
        <w:ind w:left="720" w:right="7920" w:hanging="712"/>
        <w:spacing w:after="0" w:line="53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7460" w:firstLine="8"/>
        <w:spacing w:after="0" w:line="282" w:lineRule="auto"/>
        <w:tabs>
          <w:tab w:leader="none" w:pos="2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1005840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AMENDMENT NO. 4 TO SCHEDULE 13G</w:t>
      </w:r>
    </w:p>
    <w:p>
      <w:pPr>
        <w:spacing w:after="0" w:line="21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Amendment No. 4 (this “Amendment”) to the Schedule 13G (the “Schedule 13G”) is being filed on behalf of Prescott Group Capital Management, L.L.C., an Oklahoma limited liability company (“Prescott Capital”), Prescott Group Aggressive Small Cap, L.P., an Oklahoma limited partnership (“Prescott Small Cap”), Prescott Group Aggressive Small Cap II, L.P., an Oklahoma limited partnership (“Prescott Small Cap II”, and, together with Prescott Small Cap, the “Small Cap Funds”), Prescott Group Aggressive Small Cap Master Fund, G.P., an Oklahoma general partnership (“Master Fund”) and Mr. Phil Frohlich, the principal of Prescott Capital, relating to Common Stock, par value $0.01 per share (the “Common Stock”), of Destination XL Group, Inc., a Delaware corporation (the “Issuer”).</w:t>
      </w:r>
    </w:p>
    <w:p>
      <w:pPr>
        <w:spacing w:after="0" w:line="18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Amendment relates to shares of Common Stock of the Issuer that were held in the account of the Master Fund, of which the Small Cap Funds are general partners. Prescott Capital serves as the general partner and investment manager of the Small Cap Funds and may direct the Small Cap Funds, the general partners of the Master Fund, to direct the vote and disposition of 0 shares of Common Stock held by the Master Fund. As the principal of Prescott Capital, Mr. Frohlich may direct the vote and disposition of 0 shares of Common Stock held by the Master Fund.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Amendment amends and restates the Schedule 13G as follows.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1(a)Name of Issuer.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Destination XL Group, Inc.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1(b)Address of Issuer’s Principal Executive Offices.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 Turnpike Street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Canton, MA 02021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2(a)Name of Person Filing.</w:t>
      </w:r>
    </w:p>
    <w:p>
      <w:pPr>
        <w:spacing w:after="0" w:line="10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Prescott Group Capital Management, L.L.C. (“Prescott Capital”), Prescott Group Aggressive Small Cap, L.P. (“Prescott Small Cap”), Prescott Group Aggressive Small Cap II, L.P. (“Prescott Small Cap II” and, together with Prescott Small Cap, the “Small Cap Funds”), Prescott Group Aggressive Small Cap Master Fund, G.P. (“Master Fund”) and Mr. Phil Frohlich.</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2(b)Address of Principal Business Office, or, if none, Residence.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1924 South Utica, Suite 1120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Tulsa, Oklahoma 74104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2(c)Citizenship or Place of Organization.</w:t>
      </w:r>
    </w:p>
    <w:p>
      <w:pPr>
        <w:spacing w:after="0" w:line="2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Prescott Capital is an Oklahoma limited liability company. The Small Cap Funds are Oklahoma limited partnerships. The Master Fund is an Oklahoma general partnership. Mr. Phil Frohlich is the principal of Prescott Capital and is a U.S. citizen.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2(d)Title of Class of Securities.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 (the “Common Stock”).</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2(e)CUSIP Number.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25065K104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Reporting Person.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If this statement is filed pursuant to Rule 13d-1(b), or 13d-2(b), check whether the person filing is a:</w:t>
      </w:r>
    </w:p>
    <w:p>
      <w:pPr>
        <w:spacing w:after="0" w:line="200" w:lineRule="exact"/>
        <w:rPr>
          <w:sz w:val="20"/>
          <w:szCs w:val="20"/>
          <w:color w:val="auto"/>
        </w:rPr>
      </w:pPr>
    </w:p>
    <w:p>
      <w:pPr>
        <w:spacing w:after="0" w:line="260" w:lineRule="exact"/>
        <w:rPr>
          <w:sz w:val="20"/>
          <w:szCs w:val="20"/>
          <w:color w:val="auto"/>
        </w:rPr>
      </w:pPr>
    </w:p>
    <w:p>
      <w:pPr>
        <w:ind w:left="1200" w:hanging="423"/>
        <w:spacing w:after="0" w:line="253" w:lineRule="exact"/>
        <w:tabs>
          <w:tab w:leader="none" w:pos="1200" w:val="left"/>
        </w:tabs>
        <w:numPr>
          <w:ilvl w:val="0"/>
          <w:numId w:val="3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Broker or dealer registered under section 15 of the Act (15 U.S.C. 78o).</w:t>
      </w:r>
    </w:p>
    <w:p>
      <w:pPr>
        <w:spacing w:after="0" w:line="246" w:lineRule="exact"/>
        <w:rPr>
          <w:rFonts w:ascii="Times New Roman" w:cs="Times New Roman" w:eastAsia="Times New Roman" w:hAnsi="Times New Roman"/>
          <w:sz w:val="22"/>
          <w:szCs w:val="22"/>
          <w:color w:val="auto"/>
        </w:rPr>
      </w:pPr>
    </w:p>
    <w:p>
      <w:pPr>
        <w:ind w:left="1200" w:hanging="423"/>
        <w:spacing w:after="0" w:line="253" w:lineRule="exact"/>
        <w:tabs>
          <w:tab w:leader="none" w:pos="1200" w:val="left"/>
        </w:tabs>
        <w:numPr>
          <w:ilvl w:val="0"/>
          <w:numId w:val="3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Bank as defined in section 3(a)(6) of the Act (15 U.S.C. 78c).</w:t>
      </w:r>
    </w:p>
    <w:p>
      <w:pPr>
        <w:spacing w:after="0" w:line="246" w:lineRule="exact"/>
        <w:rPr>
          <w:rFonts w:ascii="Times New Roman" w:cs="Times New Roman" w:eastAsia="Times New Roman" w:hAnsi="Times New Roman"/>
          <w:sz w:val="22"/>
          <w:szCs w:val="22"/>
          <w:color w:val="auto"/>
        </w:rPr>
      </w:pPr>
    </w:p>
    <w:p>
      <w:pPr>
        <w:ind w:left="1200" w:hanging="423"/>
        <w:spacing w:after="0" w:line="253" w:lineRule="exact"/>
        <w:tabs>
          <w:tab w:leader="none" w:pos="1200" w:val="left"/>
        </w:tabs>
        <w:numPr>
          <w:ilvl w:val="0"/>
          <w:numId w:val="3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Insurance company as defined in section 3(a)(19) of the Act (15 U.S.C. 78c).</w:t>
      </w:r>
    </w:p>
    <w:p>
      <w:pPr>
        <w:spacing w:after="0" w:line="246" w:lineRule="exact"/>
        <w:rPr>
          <w:rFonts w:ascii="Times New Roman" w:cs="Times New Roman" w:eastAsia="Times New Roman" w:hAnsi="Times New Roman"/>
          <w:sz w:val="22"/>
          <w:szCs w:val="22"/>
          <w:color w:val="auto"/>
        </w:rPr>
      </w:pPr>
    </w:p>
    <w:p>
      <w:pPr>
        <w:ind w:left="1560" w:right="1660" w:hanging="783"/>
        <w:spacing w:after="0" w:line="272" w:lineRule="exact"/>
        <w:tabs>
          <w:tab w:leader="none" w:pos="1209" w:val="left"/>
        </w:tabs>
        <w:numPr>
          <w:ilvl w:val="0"/>
          <w:numId w:val="3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185" w:lineRule="exact"/>
        <w:rPr>
          <w:rFonts w:ascii="Times New Roman" w:cs="Times New Roman" w:eastAsia="Times New Roman" w:hAnsi="Times New Roman"/>
          <w:sz w:val="22"/>
          <w:szCs w:val="22"/>
          <w:color w:val="auto"/>
        </w:rPr>
      </w:pPr>
    </w:p>
    <w:p>
      <w:pPr>
        <w:ind w:left="1200" w:hanging="423"/>
        <w:spacing w:after="0" w:line="253" w:lineRule="exact"/>
        <w:tabs>
          <w:tab w:leader="none" w:pos="1200" w:val="left"/>
        </w:tabs>
        <w:numPr>
          <w:ilvl w:val="0"/>
          <w:numId w:val="3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An investment advisor in accordance with §240.13d-1(b)(1)(ii)(E).</w:t>
      </w:r>
    </w:p>
    <w:p>
      <w:pPr>
        <w:spacing w:after="0" w:line="246" w:lineRule="exact"/>
        <w:rPr>
          <w:rFonts w:ascii="Times New Roman" w:cs="Times New Roman" w:eastAsia="Times New Roman" w:hAnsi="Times New Roman"/>
          <w:sz w:val="22"/>
          <w:szCs w:val="22"/>
          <w:color w:val="auto"/>
        </w:rPr>
      </w:pPr>
    </w:p>
    <w:p>
      <w:pPr>
        <w:ind w:left="1200" w:hanging="423"/>
        <w:spacing w:after="0" w:line="253" w:lineRule="exact"/>
        <w:tabs>
          <w:tab w:leader="none" w:pos="1200" w:val="left"/>
        </w:tabs>
        <w:numPr>
          <w:ilvl w:val="0"/>
          <w:numId w:val="3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An employee benefit plan or endowment fund in accordance with §240.13d-1(b)(1)(ii)(F).</w:t>
      </w:r>
    </w:p>
    <w:p>
      <w:pPr>
        <w:spacing w:after="0" w:line="246" w:lineRule="exact"/>
        <w:rPr>
          <w:rFonts w:ascii="Times New Roman" w:cs="Times New Roman" w:eastAsia="Times New Roman" w:hAnsi="Times New Roman"/>
          <w:sz w:val="22"/>
          <w:szCs w:val="22"/>
          <w:color w:val="auto"/>
        </w:rPr>
      </w:pPr>
    </w:p>
    <w:p>
      <w:pPr>
        <w:ind w:left="1200" w:hanging="423"/>
        <w:spacing w:after="0" w:line="253" w:lineRule="exact"/>
        <w:tabs>
          <w:tab w:leader="none" w:pos="1200" w:val="left"/>
        </w:tabs>
        <w:numPr>
          <w:ilvl w:val="0"/>
          <w:numId w:val="3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parent holding company or control person in accordance with §240.13d-1(b)(1)(ii)(G).</w:t>
      </w:r>
    </w:p>
    <w:p>
      <w:pPr>
        <w:sectPr>
          <w:pgSz w:w="11900" w:h="16838" w:orient="portrait"/>
          <w:cols w:equalWidth="0" w:num="1">
            <w:col w:w="11200"/>
          </w:cols>
          <w:pgMar w:left="320" w:top="108" w:right="379" w:bottom="0" w:gutter="0" w:footer="0" w:header="0"/>
        </w:sectPr>
      </w:pPr>
    </w:p>
    <w:bookmarkStart w:id="7" w:name="page8"/>
    <w:bookmarkEnd w:id="7"/>
    <w:p>
      <w:pPr>
        <w:ind w:left="1560" w:right="1280" w:hanging="783"/>
        <w:spacing w:after="0" w:line="272" w:lineRule="exact"/>
        <w:tabs>
          <w:tab w:leader="none" w:pos="1209" w:val="left"/>
        </w:tabs>
        <w:numPr>
          <w:ilvl w:val="0"/>
          <w:numId w:val="39"/>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savings association as defined in Section 3(b) of the Federal Deposit Insurance Act (12 U.S.C. 1813).</w:t>
      </w:r>
    </w:p>
    <w:p>
      <w:pPr>
        <w:spacing w:after="0" w:line="185" w:lineRule="exact"/>
        <w:rPr>
          <w:rFonts w:ascii="Times New Roman" w:cs="Times New Roman" w:eastAsia="Times New Roman" w:hAnsi="Times New Roman"/>
          <w:sz w:val="22"/>
          <w:szCs w:val="22"/>
          <w:color w:val="auto"/>
        </w:rPr>
      </w:pPr>
    </w:p>
    <w:p>
      <w:pPr>
        <w:ind w:left="1560" w:right="1340" w:hanging="783"/>
        <w:spacing w:after="0" w:line="272" w:lineRule="exact"/>
        <w:tabs>
          <w:tab w:leader="none" w:pos="1209" w:val="left"/>
        </w:tabs>
        <w:numPr>
          <w:ilvl w:val="0"/>
          <w:numId w:val="39"/>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church plan that is excluded from the definition of an investment company under Section 3(c) (14) of the Investment Company Act of 1940 (15 U.S.C. 80a-3).</w:t>
      </w:r>
    </w:p>
    <w:p>
      <w:pPr>
        <w:spacing w:after="0" w:line="185" w:lineRule="exact"/>
        <w:rPr>
          <w:rFonts w:ascii="Times New Roman" w:cs="Times New Roman" w:eastAsia="Times New Roman" w:hAnsi="Times New Roman"/>
          <w:sz w:val="22"/>
          <w:szCs w:val="22"/>
          <w:color w:val="auto"/>
        </w:rPr>
      </w:pPr>
    </w:p>
    <w:p>
      <w:pPr>
        <w:ind w:left="1200" w:hanging="423"/>
        <w:spacing w:after="0" w:line="253" w:lineRule="exact"/>
        <w:tabs>
          <w:tab w:leader="none" w:pos="1200" w:val="left"/>
        </w:tabs>
        <w:numPr>
          <w:ilvl w:val="0"/>
          <w:numId w:val="39"/>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non-U.S. institution in accordance with §240.13d-1(b)(1)(ii)(J).</w:t>
      </w:r>
    </w:p>
    <w:p>
      <w:pPr>
        <w:spacing w:after="0" w:line="246" w:lineRule="exact"/>
        <w:rPr>
          <w:rFonts w:ascii="Times New Roman" w:cs="Times New Roman" w:eastAsia="Times New Roman" w:hAnsi="Times New Roman"/>
          <w:sz w:val="22"/>
          <w:szCs w:val="22"/>
          <w:color w:val="auto"/>
        </w:rPr>
      </w:pPr>
    </w:p>
    <w:p>
      <w:pPr>
        <w:ind w:left="1560" w:right="1060" w:hanging="783"/>
        <w:spacing w:after="0" w:line="272" w:lineRule="exact"/>
        <w:tabs>
          <w:tab w:leader="none" w:pos="1209" w:val="left"/>
        </w:tabs>
        <w:numPr>
          <w:ilvl w:val="0"/>
          <w:numId w:val="39"/>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Group, in accordance with §240.13d-1(b)(1)(ii)(K). If filing as a non-U.S. institution in accordance with §240.13d-1(b)(1)(ii)(J), please specify the type of institution: ____.</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237" w:lineRule="exact"/>
        <w:rPr>
          <w:sz w:val="20"/>
          <w:szCs w:val="20"/>
          <w:color w:val="auto"/>
        </w:rPr>
      </w:pPr>
    </w:p>
    <w:p>
      <w:pPr>
        <w:ind w:left="640" w:right="440" w:hanging="308"/>
        <w:spacing w:after="0" w:line="258" w:lineRule="auto"/>
        <w:tabs>
          <w:tab w:leader="none" w:pos="69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Prescott Capital, the Small Cap Funds, the Master Fund and Mr. Phil Frohlich are the beneficial owners of 0 shares of Common Stock.</w:t>
      </w:r>
    </w:p>
    <w:p>
      <w:pPr>
        <w:spacing w:after="0" w:line="185" w:lineRule="exact"/>
        <w:rPr>
          <w:rFonts w:ascii="Times New Roman" w:cs="Times New Roman" w:eastAsia="Times New Roman" w:hAnsi="Times New Roman"/>
          <w:sz w:val="22"/>
          <w:szCs w:val="22"/>
          <w:color w:val="auto"/>
        </w:rPr>
      </w:pPr>
    </w:p>
    <w:p>
      <w:pPr>
        <w:ind w:left="660" w:right="20" w:hanging="328"/>
        <w:spacing w:after="0" w:line="258" w:lineRule="auto"/>
        <w:tabs>
          <w:tab w:leader="none" w:pos="71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Prescott Capital, the Small Cap Funds, the Master Fund and Mr. Phil Frohlich are the beneficial owners of 0% of the outstanding shares of Common Stock.</w:t>
      </w:r>
    </w:p>
    <w:p>
      <w:pPr>
        <w:spacing w:after="0" w:line="185" w:lineRule="exact"/>
        <w:rPr>
          <w:rFonts w:ascii="Times New Roman" w:cs="Times New Roman" w:eastAsia="Times New Roman" w:hAnsi="Times New Roman"/>
          <w:sz w:val="22"/>
          <w:szCs w:val="22"/>
          <w:color w:val="auto"/>
        </w:rPr>
      </w:pPr>
    </w:p>
    <w:p>
      <w:pPr>
        <w:ind w:left="640" w:right="140" w:hanging="308"/>
        <w:spacing w:after="0" w:line="239" w:lineRule="auto"/>
        <w:tabs>
          <w:tab w:leader="none" w:pos="69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Prescott Capital, as the general partner and investment manager of the Small Cap Funds, the general partners of the Master Fund, may direct the Small Cap Funds to direct the voting and disposition of 0 shares of Common Stock held by the Master Fund. As the principal of Prescott Capital, Mr. Phil Frohlich may direct the voting and disposition of 0 shares of Common Stock held by the Master Fund.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Ownership of Five Percent or Less of a Class.</w:t>
      </w:r>
    </w:p>
    <w:p>
      <w:pPr>
        <w:spacing w:after="0" w:line="102"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Ownership of More Than Five Percent on Behalf of Another Person.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Inapplicable.</w:t>
      </w:r>
    </w:p>
    <w:p>
      <w:pPr>
        <w:spacing w:after="0" w:line="229" w:lineRule="exact"/>
        <w:rPr>
          <w:sz w:val="20"/>
          <w:szCs w:val="20"/>
          <w:color w:val="auto"/>
        </w:rPr>
      </w:pPr>
    </w:p>
    <w:p>
      <w:pPr>
        <w:ind w:left="660" w:right="120" w:hanging="660"/>
        <w:spacing w:after="0" w:line="262" w:lineRule="auto"/>
        <w:rPr>
          <w:sz w:val="20"/>
          <w:szCs w:val="20"/>
          <w:color w:val="auto"/>
        </w:rPr>
      </w:pPr>
      <w:r>
        <w:rPr>
          <w:rFonts w:ascii="Times New Roman" w:cs="Times New Roman" w:eastAsia="Times New Roman" w:hAnsi="Times New Roman"/>
          <w:sz w:val="22"/>
          <w:szCs w:val="22"/>
          <w:b w:val="1"/>
          <w:bCs w:val="1"/>
          <w:color w:val="auto"/>
        </w:rPr>
        <w:t>Item 7 Identification and Classification of the Subsidiary which Acquired the Security Being Reported On by the Parent Holding Company.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Identification and Classification of Members of the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Notice of Dissolution of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10Certification.</w:t>
      </w:r>
    </w:p>
    <w:p>
      <w:pPr>
        <w:spacing w:after="0" w:line="10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2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8" w:name="page9"/>
    <w:bookmarkEnd w:id="8"/>
    <w:p>
      <w:pPr>
        <w:jc w:val="center"/>
        <w:ind w:right="-339"/>
        <w:spacing w:after="0"/>
        <w:rPr>
          <w:sz w:val="20"/>
          <w:szCs w:val="20"/>
          <w:color w:val="auto"/>
        </w:rPr>
      </w:pPr>
      <w:r>
        <w:rPr>
          <w:rFonts w:ascii="Times New Roman" w:cs="Times New Roman" w:eastAsia="Times New Roman" w:hAnsi="Times New Roman"/>
          <w:sz w:val="22"/>
          <w:szCs w:val="22"/>
          <w:b w:val="1"/>
          <w:bCs w:val="1"/>
          <w:u w:val="single" w:color="auto"/>
          <w:color w:val="auto"/>
        </w:rPr>
        <w:t>SIGNATURE</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January 21, 2021</w:t>
      </w: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Prescott Group Capital Management, L.L.C.</w:t>
      </w:r>
    </w:p>
    <w:p>
      <w:pPr>
        <w:spacing w:after="0" w:line="212" w:lineRule="exact"/>
        <w:rPr>
          <w:sz w:val="20"/>
          <w:szCs w:val="20"/>
          <w:color w:val="auto"/>
        </w:rPr>
      </w:pPr>
    </w:p>
    <w:tbl>
      <w:tblPr>
        <w:tblLayout w:type="fixed"/>
        <w:tblInd w:w="450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Phil Frohlich</w:t>
            </w:r>
          </w:p>
        </w:tc>
        <w:tc>
          <w:tcPr>
            <w:tcW w:w="2080" w:type="dxa"/>
            <w:vAlign w:val="bottom"/>
          </w:tcPr>
          <w:p>
            <w:pPr>
              <w:spacing w:after="0"/>
              <w:rPr>
                <w:sz w:val="17"/>
                <w:szCs w:val="17"/>
                <w:color w:val="auto"/>
              </w:rPr>
            </w:pPr>
          </w:p>
        </w:tc>
      </w:tr>
      <w:tr>
        <w:trPr>
          <w:trHeight w:val="237"/>
        </w:trPr>
        <w:tc>
          <w:tcPr>
            <w:tcW w:w="60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 FROHLICH, Managing Member</w:t>
            </w:r>
          </w:p>
        </w:tc>
      </w:tr>
      <w:tr>
        <w:trPr>
          <w:trHeight w:val="64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Prescott Group Aggressive Small Cap, L.P.</w:t>
            </w:r>
          </w:p>
        </w:tc>
      </w:tr>
      <w:tr>
        <w:trPr>
          <w:trHeight w:val="41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Prescott Group Capital Management, L.L.C.,</w:t>
            </w:r>
          </w:p>
        </w:tc>
      </w:tr>
      <w:tr>
        <w:trPr>
          <w:trHeight w:val="234"/>
        </w:trPr>
        <w:tc>
          <w:tcPr>
            <w:tcW w:w="60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Phil Frohlich</w:t>
            </w:r>
          </w:p>
        </w:tc>
        <w:tc>
          <w:tcPr>
            <w:tcW w:w="2080" w:type="dxa"/>
            <w:vAlign w:val="bottom"/>
          </w:tcPr>
          <w:p>
            <w:pPr>
              <w:spacing w:after="0"/>
              <w:rPr>
                <w:sz w:val="24"/>
                <w:szCs w:val="24"/>
                <w:color w:val="auto"/>
              </w:rPr>
            </w:pPr>
          </w:p>
        </w:tc>
      </w:tr>
      <w:tr>
        <w:trPr>
          <w:trHeight w:val="237"/>
        </w:trPr>
        <w:tc>
          <w:tcPr>
            <w:tcW w:w="60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 FROHLICH, Managing Member</w:t>
            </w:r>
          </w:p>
        </w:tc>
      </w:tr>
      <w:tr>
        <w:trPr>
          <w:trHeight w:val="64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Prescott Group Aggressive Small Cap II, L.P.</w:t>
            </w:r>
          </w:p>
        </w:tc>
      </w:tr>
      <w:tr>
        <w:trPr>
          <w:trHeight w:val="41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Prescott Group Capital Management, L.L.C.,</w:t>
            </w:r>
          </w:p>
        </w:tc>
      </w:tr>
      <w:tr>
        <w:trPr>
          <w:trHeight w:val="234"/>
        </w:trPr>
        <w:tc>
          <w:tcPr>
            <w:tcW w:w="60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Phil Frohlich</w:t>
            </w:r>
          </w:p>
        </w:tc>
        <w:tc>
          <w:tcPr>
            <w:tcW w:w="2080" w:type="dxa"/>
            <w:vAlign w:val="bottom"/>
          </w:tcPr>
          <w:p>
            <w:pPr>
              <w:spacing w:after="0"/>
              <w:rPr>
                <w:sz w:val="24"/>
                <w:szCs w:val="24"/>
                <w:color w:val="auto"/>
              </w:rPr>
            </w:pPr>
          </w:p>
        </w:tc>
      </w:tr>
      <w:tr>
        <w:trPr>
          <w:trHeight w:val="237"/>
        </w:trPr>
        <w:tc>
          <w:tcPr>
            <w:tcW w:w="60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 FROHLICH, Managing Member</w:t>
            </w:r>
          </w:p>
        </w:tc>
      </w:tr>
    </w:tbl>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Prescott Group Aggressive Small Cap Master Fund, G.P.</w:t>
      </w:r>
    </w:p>
    <w:p>
      <w:pPr>
        <w:spacing w:after="0" w:line="225"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Prescott Group Aggressive Small Cap, L.P.,</w:t>
            </w:r>
          </w:p>
        </w:tc>
      </w:tr>
      <w:tr>
        <w:trPr>
          <w:trHeight w:val="234"/>
        </w:trPr>
        <w:tc>
          <w:tcPr>
            <w:tcW w:w="580" w:type="dxa"/>
            <w:vAlign w:val="bottom"/>
          </w:tcPr>
          <w:p>
            <w:pPr>
              <w:spacing w:after="0"/>
              <w:rPr>
                <w:sz w:val="20"/>
                <w:szCs w:val="20"/>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Prescott Group Aggressive Small Cap II, L.P.,</w:t>
            </w:r>
          </w:p>
        </w:tc>
      </w:tr>
      <w:tr>
        <w:trPr>
          <w:trHeight w:val="234"/>
        </w:trPr>
        <w:tc>
          <w:tcPr>
            <w:tcW w:w="580" w:type="dxa"/>
            <w:vAlign w:val="bottom"/>
          </w:tcPr>
          <w:p>
            <w:pPr>
              <w:spacing w:after="0"/>
              <w:rPr>
                <w:sz w:val="20"/>
                <w:szCs w:val="20"/>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Prescott Group Capital Management, L.L.C.,</w:t>
            </w:r>
          </w:p>
        </w:tc>
      </w:tr>
      <w:tr>
        <w:trPr>
          <w:trHeight w:val="234"/>
        </w:trPr>
        <w:tc>
          <w:tcPr>
            <w:tcW w:w="580" w:type="dxa"/>
            <w:vAlign w:val="bottom"/>
          </w:tcPr>
          <w:p>
            <w:pPr>
              <w:spacing w:after="0"/>
              <w:rPr>
                <w:sz w:val="20"/>
                <w:szCs w:val="20"/>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39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Phil Frohlich</w:t>
            </w:r>
          </w:p>
        </w:tc>
        <w:tc>
          <w:tcPr>
            <w:tcW w:w="212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PHIL FROHLICH, Managing Member</w:t>
            </w:r>
          </w:p>
        </w:tc>
      </w:tr>
      <w:tr>
        <w:trPr>
          <w:trHeight w:val="391"/>
        </w:trPr>
        <w:tc>
          <w:tcPr>
            <w:tcW w:w="58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Phil Frohlich</w:t>
            </w:r>
          </w:p>
        </w:tc>
        <w:tc>
          <w:tcPr>
            <w:tcW w:w="2140" w:type="dxa"/>
            <w:vAlign w:val="bottom"/>
            <w:gridSpan w:val="2"/>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Phil Frohlich</w:t>
            </w:r>
          </w:p>
        </w:tc>
      </w:tr>
    </w:tbl>
    <w:p>
      <w:pPr>
        <w:spacing w:after="0" w:line="1" w:lineRule="exact"/>
        <w:rPr>
          <w:sz w:val="20"/>
          <w:szCs w:val="20"/>
          <w:color w:val="auto"/>
        </w:rPr>
      </w:pPr>
    </w:p>
    <w:sectPr>
      <w:pgSz w:w="11900" w:h="16838" w:orient="portrait"/>
      <w:cols w:equalWidth="0" w:num="1">
        <w:col w:w="10900"/>
      </w:cols>
      <w:pgMar w:left="320" w:top="459"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bullet"/>
      <w:start w:val="1"/>
    </w:lvl>
  </w:abstractNum>
  <w:abstractNum w:abstractNumId="3">
    <w:nsid w:val="721DA317"/>
    <w:multiLevelType w:val="hybridMultilevel"/>
    <w:lvl w:ilvl="0">
      <w:lvlJc w:val="left"/>
      <w:lvlText w:val="2"/>
      <w:numFmt w:val="bullet"/>
      <w:start w:val="1"/>
    </w:lvl>
  </w:abstractNum>
  <w:abstractNum w:abstractNumId="4">
    <w:nsid w:val="2443A858"/>
    <w:multiLevelType w:val="hybridMultilevel"/>
    <w:lvl w:ilvl="0">
      <w:lvlJc w:val="left"/>
      <w:lvlText w:val="3"/>
      <w:numFmt w:val="bullet"/>
      <w:start w:val="1"/>
    </w:lvl>
  </w:abstractNum>
  <w:abstractNum w:abstractNumId="5">
    <w:nsid w:val="2D1D5AE9"/>
    <w:multiLevelType w:val="hybridMultilevel"/>
    <w:lvl w:ilvl="0">
      <w:lvlJc w:val="left"/>
      <w:lvlText w:val="4"/>
      <w:numFmt w:val="bullet"/>
      <w:start w:val="1"/>
    </w:lvl>
  </w:abstractNum>
  <w:abstractNum w:abstractNumId="6">
    <w:nsid w:val="6763845E"/>
    <w:multiLevelType w:val="hybridMultilevel"/>
    <w:lvl w:ilvl="0">
      <w:lvlJc w:val="left"/>
      <w:lvlText w:val="9"/>
      <w:numFmt w:val="bullet"/>
      <w:start w:val="1"/>
    </w:lvl>
  </w:abstractNum>
  <w:abstractNum w:abstractNumId="7">
    <w:nsid w:val="75A2A8D4"/>
    <w:multiLevelType w:val="hybridMultilevel"/>
    <w:lvl w:ilvl="0">
      <w:lvlJc w:val="left"/>
      <w:lvlText w:val="%1"/>
      <w:numFmt w:val="decimal"/>
      <w:start w:val="10"/>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bullet"/>
      <w:start w:val="1"/>
    </w:lvl>
  </w:abstractNum>
  <w:abstractNum w:abstractNumId="10">
    <w:nsid w:val="4353D0CD"/>
    <w:multiLevelType w:val="hybridMultilevel"/>
    <w:lvl w:ilvl="0">
      <w:lvlJc w:val="left"/>
      <w:lvlText w:val="2"/>
      <w:numFmt w:val="bullet"/>
      <w:start w:val="1"/>
    </w:lvl>
  </w:abstractNum>
  <w:abstractNum w:abstractNumId="11">
    <w:nsid w:val="B03E0C6"/>
    <w:multiLevelType w:val="hybridMultilevel"/>
    <w:lvl w:ilvl="0">
      <w:lvlJc w:val="left"/>
      <w:lvlText w:val="3"/>
      <w:numFmt w:val="bullet"/>
      <w:start w:val="1"/>
    </w:lvl>
  </w:abstractNum>
  <w:abstractNum w:abstractNumId="12">
    <w:nsid w:val="189A769B"/>
    <w:multiLevelType w:val="hybridMultilevel"/>
    <w:lvl w:ilvl="0">
      <w:lvlJc w:val="left"/>
      <w:lvlText w:val="4"/>
      <w:numFmt w:val="bullet"/>
      <w:start w:val="1"/>
    </w:lvl>
  </w:abstractNum>
  <w:abstractNum w:abstractNumId="13">
    <w:nsid w:val="54E49EB4"/>
    <w:multiLevelType w:val="hybridMultilevel"/>
    <w:lvl w:ilvl="0">
      <w:lvlJc w:val="left"/>
      <w:lvlText w:val="9"/>
      <w:numFmt w:val="bullet"/>
      <w:start w:val="1"/>
    </w:lvl>
  </w:abstractNum>
  <w:abstractNum w:abstractNumId="14">
    <w:nsid w:val="71F32454"/>
    <w:multiLevelType w:val="hybridMultilevel"/>
    <w:lvl w:ilvl="0">
      <w:lvlJc w:val="left"/>
      <w:lvlText w:val="%1"/>
      <w:numFmt w:val="decimal"/>
      <w:start w:val="10"/>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bullet"/>
      <w:start w:val="1"/>
    </w:lvl>
  </w:abstractNum>
  <w:abstractNum w:abstractNumId="17">
    <w:nsid w:val="2901D82"/>
    <w:multiLevelType w:val="hybridMultilevel"/>
    <w:lvl w:ilvl="0">
      <w:lvlJc w:val="left"/>
      <w:lvlText w:val="2"/>
      <w:numFmt w:val="bullet"/>
      <w:start w:val="1"/>
    </w:lvl>
  </w:abstractNum>
  <w:abstractNum w:abstractNumId="18">
    <w:nsid w:val="3A95F874"/>
    <w:multiLevelType w:val="hybridMultilevel"/>
    <w:lvl w:ilvl="0">
      <w:lvlJc w:val="left"/>
      <w:lvlText w:val="3"/>
      <w:numFmt w:val="bullet"/>
      <w:start w:val="1"/>
    </w:lvl>
  </w:abstractNum>
  <w:abstractNum w:abstractNumId="19">
    <w:nsid w:val="8138641"/>
    <w:multiLevelType w:val="hybridMultilevel"/>
    <w:lvl w:ilvl="0">
      <w:lvlJc w:val="left"/>
      <w:lvlText w:val="4"/>
      <w:numFmt w:val="bullet"/>
      <w:start w:val="1"/>
    </w:lvl>
  </w:abstractNum>
  <w:abstractNum w:abstractNumId="20">
    <w:nsid w:val="1E7FF521"/>
    <w:multiLevelType w:val="hybridMultilevel"/>
    <w:lvl w:ilvl="0">
      <w:lvlJc w:val="left"/>
      <w:lvlText w:val="9"/>
      <w:numFmt w:val="bullet"/>
      <w:start w:val="1"/>
    </w:lvl>
  </w:abstractNum>
  <w:abstractNum w:abstractNumId="21">
    <w:nsid w:val="7C3DBD3D"/>
    <w:multiLevelType w:val="hybridMultilevel"/>
    <w:lvl w:ilvl="0">
      <w:lvlJc w:val="left"/>
      <w:lvlText w:val="%1"/>
      <w:numFmt w:val="decimal"/>
      <w:start w:val="10"/>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bullet"/>
      <w:start w:val="1"/>
    </w:lvl>
  </w:abstractNum>
  <w:abstractNum w:abstractNumId="24">
    <w:nsid w:val="22221A70"/>
    <w:multiLevelType w:val="hybridMultilevel"/>
    <w:lvl w:ilvl="0">
      <w:lvlJc w:val="left"/>
      <w:lvlText w:val="2"/>
      <w:numFmt w:val="bullet"/>
      <w:start w:val="1"/>
    </w:lvl>
  </w:abstractNum>
  <w:abstractNum w:abstractNumId="25">
    <w:nsid w:val="4516DDE9"/>
    <w:multiLevelType w:val="hybridMultilevel"/>
    <w:lvl w:ilvl="0">
      <w:lvlJc w:val="left"/>
      <w:lvlText w:val="3"/>
      <w:numFmt w:val="bullet"/>
      <w:start w:val="1"/>
    </w:lvl>
  </w:abstractNum>
  <w:abstractNum w:abstractNumId="26">
    <w:nsid w:val="3006C83E"/>
    <w:multiLevelType w:val="hybridMultilevel"/>
    <w:lvl w:ilvl="0">
      <w:lvlJc w:val="left"/>
      <w:lvlText w:val="4"/>
      <w:numFmt w:val="bullet"/>
      <w:start w:val="1"/>
    </w:lvl>
  </w:abstractNum>
  <w:abstractNum w:abstractNumId="27">
    <w:nsid w:val="614FD4A1"/>
    <w:multiLevelType w:val="hybridMultilevel"/>
    <w:lvl w:ilvl="0">
      <w:lvlJc w:val="left"/>
      <w:lvlText w:val="9"/>
      <w:numFmt w:val="bullet"/>
      <w:start w:val="1"/>
    </w:lvl>
  </w:abstractNum>
  <w:abstractNum w:abstractNumId="28">
    <w:nsid w:val="419AC241"/>
    <w:multiLevelType w:val="hybridMultilevel"/>
    <w:lvl w:ilvl="0">
      <w:lvlJc w:val="left"/>
      <w:lvlText w:val="%1"/>
      <w:numFmt w:val="decimal"/>
      <w:start w:val="10"/>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bullet"/>
      <w:start w:val="1"/>
    </w:lvl>
  </w:abstractNum>
  <w:abstractNum w:abstractNumId="31">
    <w:nsid w:val="5072367"/>
    <w:multiLevelType w:val="hybridMultilevel"/>
    <w:lvl w:ilvl="0">
      <w:lvlJc w:val="left"/>
      <w:lvlText w:val="2"/>
      <w:numFmt w:val="bullet"/>
      <w:start w:val="1"/>
    </w:lvl>
  </w:abstractNum>
  <w:abstractNum w:abstractNumId="32">
    <w:nsid w:val="3804823E"/>
    <w:multiLevelType w:val="hybridMultilevel"/>
    <w:lvl w:ilvl="0">
      <w:lvlJc w:val="left"/>
      <w:lvlText w:val="3"/>
      <w:numFmt w:val="bullet"/>
      <w:start w:val="1"/>
    </w:lvl>
  </w:abstractNum>
  <w:abstractNum w:abstractNumId="33">
    <w:nsid w:val="77465F01"/>
    <w:multiLevelType w:val="hybridMultilevel"/>
    <w:lvl w:ilvl="0">
      <w:lvlJc w:val="left"/>
      <w:lvlText w:val="4"/>
      <w:numFmt w:val="bullet"/>
      <w:start w:val="1"/>
    </w:lvl>
  </w:abstractNum>
  <w:abstractNum w:abstractNumId="34">
    <w:nsid w:val="7724C67E"/>
    <w:multiLevelType w:val="hybridMultilevel"/>
    <w:lvl w:ilvl="0">
      <w:lvlJc w:val="left"/>
      <w:lvlText w:val="9"/>
      <w:numFmt w:val="bullet"/>
      <w:start w:val="1"/>
    </w:lvl>
  </w:abstractNum>
  <w:abstractNum w:abstractNumId="35">
    <w:nsid w:val="5C482A97"/>
    <w:multiLevelType w:val="hybridMultilevel"/>
    <w:lvl w:ilvl="0">
      <w:lvlJc w:val="left"/>
      <w:lvlText w:val="%1"/>
      <w:numFmt w:val="decimal"/>
      <w:start w:val="10"/>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8"/>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2021-01-21T15:08:54Z</dcterms:created>
  <dcterms:modified xsi:type="dcterms:W3CDTF">2021-01-21T15:08:54Z</dcterms:modified>
</cp:coreProperties>
</file>